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pPr>
      <w:r>
        <w:rPr>
          <w:rFonts w:ascii="Times New Roman" w:cs="Times New Roman" w:eastAsia="Times New Roman" w:hAnsi="Times New Roman"/>
          <w:sz w:val="24"/>
          <w:szCs w:val="24"/>
        </w:rPr>
        <w:t xml:space="preserve">Dear Editor,</w:t>
      </w:r>
    </w:p>
    <w:p>
      <w:pPr>
        <w:spacing w:after="160" w:before="0" w:line="276"/>
      </w:pPr>
      <w:r>
        <w:rPr>
          <w:rFonts w:ascii="Times New Roman" w:cs="Times New Roman" w:eastAsia="Times New Roman" w:hAnsi="Times New Roman"/>
          <w:sz w:val="24"/>
          <w:szCs w:val="24"/>
        </w:rPr>
        <w:t xml:space="preserve">We submit the enclosed manuscript, "When Do LLM Operators Skip Verification? Goal Visibility, Reasoning, and Framing in an Automated Maintenance Environment," for consideration in </w:t>
      </w:r>
      <w:r>
        <w:rPr>
          <w:rFonts w:ascii="Times New Roman" w:cs="Times New Roman" w:eastAsia="Times New Roman" w:hAnsi="Times New Roman"/>
          <w:i/>
          <w:iCs/>
          <w:sz w:val="24"/>
          <w:szCs w:val="24"/>
        </w:rPr>
        <w:t xml:space="preserve">Information Systems Research</w:t>
      </w:r>
      <w:r>
        <w:rPr>
          <w:rFonts w:ascii="Times New Roman" w:cs="Times New Roman" w:eastAsia="Times New Roman" w:hAnsi="Times New Roman"/>
          <w:sz w:val="24"/>
          <w:szCs w:val="24"/>
        </w:rPr>
        <w:t xml:space="preserve">. The manuscript file is prepared for double-anonymous review: it contains no author information, and the link to the replication package is withheld. An online appendix with the prompts, model and run details, the deviations from the registered protocol, and the full list of wordings accompanies the manuscript. This letter contains the contribution statement required by the journal and is kept separate from the anonymized manuscript.</w:t>
      </w:r>
    </w:p>
    <w:p>
      <w:pPr>
        <w:keepNext/>
        <w:spacing w:after="120" w:before="120"/>
      </w:pPr>
      <w:r>
        <w:rPr>
          <w:rFonts w:ascii="Times New Roman" w:cs="Times New Roman" w:eastAsia="Times New Roman" w:hAnsi="Times New Roman"/>
          <w:b/>
          <w:bCs/>
          <w:sz w:val="24"/>
          <w:szCs w:val="24"/>
        </w:rPr>
        <w:t xml:space="preserve">Contribution statement</w:t>
      </w:r>
    </w:p>
    <w:p>
      <w:pPr>
        <w:spacing w:after="160" w:before="0" w:line="276"/>
      </w:pPr>
      <w:r>
        <w:rPr>
          <w:rFonts w:ascii="Times New Roman" w:cs="Times New Roman" w:eastAsia="Times New Roman" w:hAnsi="Times New Roman"/>
          <w:sz w:val="24"/>
          <w:szCs w:val="24"/>
        </w:rPr>
        <w:t xml:space="preserve">Organizations are beginning to delegate maintenance decisions to large language models (LLMs): when to patch, redeploy, roll back, or skip regression tests. In that delegation the prompt that describes the situation is the only contract between the principal and the operator, so its content is a design choice. The question for information systems research is which features of that interface govern whether an operator skips verification. Behavioral economics offers one answer, loss chasing, and prior tests of it come from one-shot tasks and not from a repeated operational loop.</w:t>
      </w:r>
    </w:p>
    <w:p>
      <w:pPr>
        <w:spacing w:after="160" w:before="0" w:line="276"/>
      </w:pPr>
      <w:r>
        <w:rPr>
          <w:rFonts w:ascii="Times New Roman" w:cs="Times New Roman" w:eastAsia="Times New Roman" w:hAnsi="Times New Roman"/>
          <w:sz w:val="24"/>
          <w:szCs w:val="24"/>
        </w:rPr>
        <w:t xml:space="preserve">The paper contributes in four ways. First, it moves the question from whether LLMs copy human biases to which features of the delegation interface control an operator’s risk behavior. In the commercial model that skips, stating the target in the headline raised test-skipping by up to 54 percentage points, loss text lowered it by 13, enabling extended thinking lowered it from 27.2% to 9.7%, and time pressure brought it out (27.2% of first choices with three turns left, 0.5% with six, and none with twelve). Second, it reports a registered test of loss chasing, defined through three jointly necessary conditions in an environment where skipping is dominated, and then identifies what is associated with skipping instead; the registered hypothesis is not supported. Third, it provides a design for evaluating LLM operators in which the wording is the unit of replication, with 16 independently generated wordings per frame so that the frame, wording, and interaction effects are separated, together with a measurement argument: when a rollback of positive expected value exists, the natural “risk rises after failures” test is not diagnostic, and we propose excess risk over an expected-value benchmark together with test-skipping. Fourth, it shows where the question is informative: three larger commercial models that reason by default did not skip in any of 4,320 first choices each, so frame effects cannot be estimated for them.</w:t>
      </w:r>
    </w:p>
    <w:p>
      <w:pPr>
        <w:spacing w:after="160" w:before="0" w:line="276"/>
      </w:pPr>
      <w:r>
        <w:rPr>
          <w:rFonts w:ascii="Times New Roman" w:cs="Times New Roman" w:eastAsia="Times New Roman" w:hAnsi="Times New Roman"/>
          <w:sz w:val="24"/>
          <w:szCs w:val="24"/>
        </w:rPr>
        <w:t xml:space="preserve">The registered protocol executed on three models does not support the loss-chasing hypothesis, and we report that result first. The four studies that follow were designed after it and are not registered; we state this where each is reported, and the order of design is given in the online appendix. The contribution is therefore not a claim that LLM operators chase losses, but evidence on which interface features are associated with a dominated shortcut, with a design and a measurement argument for how such claims should be tested.</w:t>
      </w:r>
    </w:p>
    <w:p>
      <w:pPr>
        <w:spacing w:after="160" w:before="0" w:line="276"/>
      </w:pPr>
      <w:r>
        <w:rPr>
          <w:rFonts w:ascii="Times New Roman" w:cs="Times New Roman" w:eastAsia="Times New Roman" w:hAnsi="Times New Roman"/>
          <w:sz w:val="24"/>
          <w:szCs w:val="24"/>
        </w:rPr>
        <w:t xml:space="preserve">For practice, the results support stating the objective deliberately, setting the reasoning budget for decisions that involve verification, treating status text as controlled configuration, and auditing a specific operator model on the organization’s own payoff structure before delegation. We state the limits plainly: one model that skips, a commercial ladder in which tier is confounded with reasoning and sampling control, and follow-up studies that were not registered.</w:t>
      </w:r>
    </w:p>
    <w:p>
      <w:pPr>
        <w:keepNext/>
        <w:spacing w:after="120" w:before="120"/>
      </w:pPr>
      <w:r>
        <w:rPr>
          <w:rFonts w:ascii="Times New Roman" w:cs="Times New Roman" w:eastAsia="Times New Roman" w:hAnsi="Times New Roman"/>
          <w:b/>
          <w:bCs/>
          <w:sz w:val="24"/>
          <w:szCs w:val="24"/>
        </w:rPr>
        <w:t xml:space="preserve">Relation to prior work</w:t>
      </w:r>
    </w:p>
    <w:p>
      <w:pPr>
        <w:spacing w:after="160" w:before="0" w:line="276"/>
      </w:pPr>
      <w:r>
        <w:rPr>
          <w:rFonts w:ascii="Times New Roman" w:cs="Times New Roman" w:eastAsia="Times New Roman" w:hAnsi="Times New Roman"/>
          <w:sz w:val="24"/>
          <w:szCs w:val="24"/>
        </w:rPr>
        <w:t xml:space="preserve">The study builds on the registered protocol for an evaluation of LLM maintenance decisions, executed in the first study of the manuscript, and extends it with four further studies. The manuscript adds the executed runs, the measurement argument about excess risk and floor effects, the wording design, and the discussion for information systems practice.</w:t>
      </w:r>
    </w:p>
    <w:p>
      <w:pPr>
        <w:spacing w:after="160" w:before="0" w:line="276"/>
      </w:pPr>
      <w:r>
        <w:rPr>
          <w:rFonts w:ascii="Times New Roman" w:cs="Times New Roman" w:eastAsia="Times New Roman" w:hAnsi="Times New Roman"/>
          <w:sz w:val="24"/>
          <w:szCs w:val="24"/>
        </w:rPr>
        <w:t xml:space="preserve">Sincerely,</w:t>
      </w:r>
    </w:p>
    <w:p>
      <w:pPr>
        <w:spacing w:after="160" w:before="0" w:line="276"/>
      </w:pPr>
      <w:r>
        <w:rPr>
          <w:rFonts w:ascii="Times New Roman" w:cs="Times New Roman" w:eastAsia="Times New Roman" w:hAnsi="Times New Roman"/>
          <w:sz w:val="24"/>
          <w:szCs w:val="24"/>
        </w:rPr>
        <w:t xml:space="preserve">The authors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cp:lastModifiedBy>Un-named</cp:lastModifiedBy>
  <cp:revision>1</cp:revision>
  <dcterms:created xsi:type="dcterms:W3CDTF">2026-10-02T12:57:37.846Z</dcterms:created>
  <dcterms:modified xsi:type="dcterms:W3CDTF">2026-10-02T12:57:37.846Z</dcterms:modified>
</cp:coreProperties>
</file>

<file path=docProps/custom.xml><?xml version="1.0" encoding="utf-8"?>
<Properties xmlns="http://schemas.openxmlformats.org/officeDocument/2006/custom-properties" xmlns:vt="http://schemas.openxmlformats.org/officeDocument/2006/docPropsVTypes"/>
</file>