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 Customers with Language Models: Heterogeneity Compression in Synthetic Purchase Data</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Large language models (LLMs) are increasingly used to create synthetic customers for pre-testing marketing decisions, but evaluations have concentrated on ratings, choices, and stated willingness to pay. We study an output that customer analytics depends on more directly: the number of purchases a customer makes in a period. Building on the Poisson–gamma account of purchase counts, we show analytically that overdispersion measures unobserved customer heterogeneity, derive how much of it a persona-conditioned simulator can carry, and show how a hybrid design avoids double counting. We evaluate four elicitation designs across three LLMs in two public transaction settings (mean counts of about 0.5 and 4.8) and in a randomized email experiment. Direct and day-by-day designs collapse toward a single value in both settings. Describing a distribution recovers part of the dispersion but under-produces zero counts where zeros are common. Personas built from real household demographics change nothing, because those demographics explain about 1% of the heterogeneity in counts. The hybrid matches dispersion only when the model’s mean is accurate. Promotion effects have the right sign in most settings, yet their size varies by an order of magnitude with model and prompt, and the absolute lift in purchase probability is overstated four- to 26-fold. We offer a diagnostic protocol for practitioners who consider synthetic customers for decision support.</w:t>
      </w:r>
    </w:p>
    <w:p>
      <w:pPr>
        <w:pStyle w:val="BodyText"/>
      </w:pPr>
      <w:r>
        <w:rPr>
          <w:bCs/>
          <w:b/>
        </w:rPr>
        <w:t xml:space="preserve">Keywords:</w:t>
      </w:r>
      <w:r>
        <w:t xml:space="preserve"> </w:t>
      </w:r>
      <w:r>
        <w:t xml:space="preserve">synthetic customers, large language models, purchase counts, overdispersion, customer heterogeneity, decision support, digital twins</w:t>
      </w:r>
    </w:p>
    <w:bookmarkStart w:id="20" w:name="introduction"/>
    <w:p>
      <w:pPr>
        <w:pStyle w:val="Heading1"/>
      </w:pPr>
      <w:r>
        <w:t xml:space="preserve">1. Introduction</w:t>
      </w:r>
    </w:p>
    <w:p>
      <w:pPr>
        <w:pStyle w:val="FirstParagraph"/>
      </w:pPr>
      <w:r>
        <w:t xml:space="preserve">Firms routinely test promotions, prices, and messages before committing money to them. Large language models (LLMs) promise a cheaper way to do so: prompt a model with a customer description, ask what that customer would do, and repeat for thousands of customers. Early studies found that such synthetic respondents produce plausible willingness-to-pay estimates and conjoint results (Brand et al. 2023), reproduce the qualitative pattern of classic behavioral experiments (Horton 2023), and, with suitable elicitation, mimic human purchase-intent ratings (Maier et al. 2025). Vendors now market</w:t>
      </w:r>
      <w:r>
        <w:t xml:space="preserve"> </w:t>
      </w:r>
      <w:r>
        <w:t xml:space="preserve">“</w:t>
      </w:r>
      <w:r>
        <w:t xml:space="preserve">digital twins</w:t>
      </w:r>
      <w:r>
        <w:t xml:space="preserve">”</w:t>
      </w:r>
      <w:r>
        <w:t xml:space="preserve"> </w:t>
      </w:r>
      <w:r>
        <w:t xml:space="preserve">of consumer panels on this basis.</w:t>
      </w:r>
    </w:p>
    <w:p>
      <w:pPr>
        <w:pStyle w:val="BodyText"/>
      </w:pPr>
      <w:r>
        <w:t xml:space="preserve">What counts as validation in these studies is almost always a rating, a choice, or a price. Customer analytics, however, runs on counts. The number of purchases or visits per customer and period feeds customer lifetime value, repeat-purchase forecasts, and budget allocation, and marketing science has long modeled these counts as a Poisson process whose rate differs across customers (Ehrenberg 1959, Schmittlein et al. 1987, Fader et al. 2005). Because of this structure, the spread of a count distribution carries information about something firms care about, namely how much customers differ. A simulator that gets the average right but flattens the spread will mislead any decision that depends on heavy buyers, on the share of customers who do not buy at all, or on the uncertainty around a forecast.</w:t>
      </w:r>
    </w:p>
    <w:p>
      <w:pPr>
        <w:pStyle w:val="BodyText"/>
      </w:pPr>
      <w:r>
        <w:t xml:space="preserve">There is good reason to worry about flattening. Studies of silicon samples repeatedly report variance collapse: simulated answers cluster on the modal response and are narrower than human ones (Li et al. 2025, Tigre and Souto 2026), and instruction-tuned models appear unable to sample from distributions they can otherwise describe (Jang et al. 2026). For count data this problem has a precise statistical form. If customers differ in their purchase rates, counts are overdispersed relative to a Poisson process; a simulator that compresses heterogeneity therefore shows up first as underdispersion and as a distorted share of zeros. Yet we found no study that evaluates LLM-generated purchase counts against Poisson or negative binomial benchmarks.</w:t>
      </w:r>
    </w:p>
    <w:p>
      <w:pPr>
        <w:pStyle w:val="BodyText"/>
      </w:pPr>
      <w:r>
        <w:t xml:space="preserve">We ask four questions. Does the per-period purchase-count distribution of synthetic customers match the real one in mean, dispersion, zero share, and tail (RQ1)? Does variance collapse appear in count data as underdispersion (RQ2)? Do the elicitation and sampling design change fidelity (RQ3)? And does the promotion effect estimated with synthetic customers agree with a randomized experiment in direction and size (RQ4)? To answer them we compare four elicitation designs, run with three LLMs and two prompt variants, against two public transaction data sets whose mean counts differ by a factor of ten, and we test the same models against a randomized email experiment.</w:t>
      </w:r>
    </w:p>
    <w:p>
      <w:pPr>
        <w:pStyle w:val="BodyText"/>
      </w:pPr>
      <w:r>
        <w:t xml:space="preserve">The study makes four contributions. First, we give a short analytical account of how much heterogeneity a persona-conditioned simulator can carry, and of how an externally injected heterogeneity term must be calibrated to avoid double counting (Propositions 1 and 2). Second, we provide evidence across designs, models, and settings that direct and day-by-day designs collapse, that describing a distribution only partly repairs the problem, and that a hybrid design reproduces dispersion only when the model supplies an accurate mean. Third, in the experimental setting we show that relative and absolute effects can tell different stories when the simulated base rate is wrong, and that the absolute lift in purchase probability is overstated by a large factor in every configuration we tested. Fourth, we translate these findings into a diagnostic protocol for practitioners.</w:t>
      </w:r>
    </w:p>
    <w:p>
      <w:pPr>
        <w:pStyle w:val="BodyText"/>
      </w:pPr>
      <w:r>
        <w:t xml:space="preserve">The remainder of the paper is organized as follows. Section 2 reviews the literature and states the gap. Section 3 develops the framework and hypotheses. Section 4 describes the data, designs, and measures. Section 5 reports results, Section 6 discusses implications and limitations, and Section 7 concludes.</w:t>
      </w:r>
    </w:p>
    <w:bookmarkEnd w:id="20"/>
    <w:bookmarkStart w:id="25"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research-gap"/>
    <w:p>
      <w:pPr>
        <w:pStyle w:val="Heading2"/>
      </w:pPr>
      <w:r>
        <w:t xml:space="preserve">2.4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4"/>
    <w:bookmarkEnd w:id="25"/>
    <w:bookmarkStart w:id="32" w:name="theoretical-framework-and-hypotheses"/>
    <w:p>
      <w:pPr>
        <w:pStyle w:val="Heading1"/>
      </w:pPr>
      <w:r>
        <w:t xml:space="preserve">3. Theoretical Framework and Hypotheses</w:t>
      </w:r>
    </w:p>
    <w:bookmarkStart w:id="26"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6"/>
    <w:bookmarkStart w:id="27"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7"/>
    <w:bookmarkStart w:id="28"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8"/>
    <w:bookmarkStart w:id="29"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29"/>
    <w:bookmarkStart w:id="30"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0"/>
    <w:bookmarkStart w:id="31"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1"/>
    <w:bookmarkEnd w:id="32"/>
    <w:bookmarkStart w:id="37" w:name="research-design"/>
    <w:p>
      <w:pPr>
        <w:pStyle w:val="Heading1"/>
      </w:pPr>
      <w:r>
        <w:t xml:space="preserve">4. Research Design</w:t>
      </w:r>
    </w:p>
    <w:bookmarkStart w:id="33"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3"/>
    <w:bookmarkStart w:id="34"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4"/>
    <w:bookmarkStart w:id="35" w:name="models-runs-and-measures"/>
    <w:p>
      <w:pPr>
        <w:pStyle w:val="Heading2"/>
      </w:pPr>
      <w:r>
        <w:t xml:space="preserve">4.3 Models, runs, and measures</w:t>
      </w:r>
    </w:p>
    <w:p>
      <w:pPr>
        <w:pStyle w:val="FirstParagraph"/>
      </w:pPr>
      <w:r>
        <w:t xml:space="preserve">We used GPT-4o-mini, Llama-3.3-70B-Instruct, and Claude Haiku 5.5, all through the OpenRouter interface. In the low-mean setting GPT-4o-mini and Llama were run at temperatures 0.3, 0.7, and 1.0 and the results pooled (600 customers per cell); in the high-mean and email settings the temperature was fixed at 0.7 (200 and 300 customers). Claude Haiku 5.5 does not accept a temperature setting, so it contributes one run per prompt variant; its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w:t>
      </w:r>
    </w:p>
    <w:bookmarkEnd w:id="35"/>
    <w:bookmarkStart w:id="36" w:name="email-experiment"/>
    <w:p>
      <w:pPr>
        <w:pStyle w:val="Heading2"/>
      </w:pPr>
      <w:r>
        <w:t xml:space="preserve">4.4 Email experiment</w:t>
      </w:r>
    </w:p>
    <w:p>
      <w:pPr>
        <w:pStyle w:val="FirstParagraph"/>
      </w:pPr>
      <w:r>
        <w:t xml:space="preserve">For each of 300 customers sampled from the real data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6"/>
    <w:bookmarkEnd w:id="37"/>
    <w:bookmarkStart w:id="51" w:name="results"/>
    <w:p>
      <w:pPr>
        <w:pStyle w:val="Heading1"/>
      </w:pPr>
      <w:r>
        <w:t xml:space="preserve">5. Results</w:t>
      </w:r>
    </w:p>
    <w:bookmarkStart w:id="41" w:name="overview"/>
    <w:p>
      <w:pPr>
        <w:pStyle w:val="Heading2"/>
      </w:pPr>
      <w:r>
        <w:t xml:space="preserve">5.1 Overview</w:t>
      </w:r>
    </w:p>
    <w:p>
      <w:pPr>
        <w:pStyle w:val="FirstParagraph"/>
        <w:spacing w:line="240" w:lineRule="auto"/>
        <w:ind w:firstLine="0"/>
      </w:pPr>
      <w:r>
        <w:t xml:space="preserve">Table 2 summarizes the first two settings by design. Appendix B gives all cells. The main pattern is that variance collapse is severe in designs A and B in both settings, that design C moves toward the real dispersion but loses zeros, and that design D matches dispersion in about half of the cells.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1.92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-0.00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0.57 to 13.57</w:t>
            </w:r>
          </w:p>
        </w:tc>
        <w:tc>
          <w:tcPr/>
          <w:p>
            <w:pPr>
              <w:pStyle w:val="Compact"/>
              <w:spacing w:before="20" w:after="20" w:line="240" w:lineRule="auto"/>
              <w:ind w:firstLine="0"/>
              <w:jc w:val="left"/>
            </w:pPr>
            <w:r>
              <w:rPr>
                <w:rFonts w:ascii="Times New Roman" w:hAnsi="Times New Roman"/>
                <w:sz w:val="17"/>
              </w:rPr>
              <w:t xml:space="preserve">0.25 to 1.26</w:t>
            </w:r>
          </w:p>
        </w:tc>
        <w:tc>
          <w:tcPr/>
          <w:p>
            <w:pPr>
              <w:pStyle w:val="Compact"/>
              <w:spacing w:before="20" w:after="20" w:line="240" w:lineRule="auto"/>
              <w:ind w:firstLine="0"/>
              <w:jc w:val="left"/>
            </w:pPr>
            <w:r>
              <w:rPr>
                <w:rFonts w:ascii="Times New Roman" w:hAnsi="Times New Roman"/>
                <w:sz w:val="17"/>
              </w:rPr>
              <w:t xml:space="preserve">0.00 to 0.63</w:t>
            </w:r>
          </w:p>
        </w:tc>
        <w:tc>
          <w:tcPr/>
          <w:p>
            <w:pPr>
              <w:pStyle w:val="Compact"/>
              <w:spacing w:before="20" w:after="20" w:line="240" w:lineRule="auto"/>
              <w:ind w:firstLine="0"/>
              <w:jc w:val="left"/>
            </w:pPr>
            <w:r>
              <w:rPr>
                <w:rFonts w:ascii="Times New Roman" w:hAnsi="Times New Roman"/>
                <w:sz w:val="17"/>
              </w:rPr>
              <w:t xml:space="preserve">-0.19 to 0.46</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0.38 to 1.34</w:t>
            </w:r>
          </w:p>
        </w:tc>
        <w:tc>
          <w:tcPr/>
          <w:p>
            <w:pPr>
              <w:pStyle w:val="Compact"/>
              <w:spacing w:before="20" w:after="20" w:line="240" w:lineRule="auto"/>
              <w:ind w:firstLine="0"/>
              <w:jc w:val="left"/>
            </w:pPr>
            <w:r>
              <w:rPr>
                <w:rFonts w:ascii="Times New Roman" w:hAnsi="Times New Roman"/>
                <w:sz w:val="17"/>
              </w:rPr>
              <w:t xml:space="preserve">0.96 to 1.59</w:t>
            </w:r>
          </w:p>
        </w:tc>
        <w:tc>
          <w:tcPr/>
          <w:p>
            <w:pPr>
              <w:pStyle w:val="Compact"/>
              <w:spacing w:before="20" w:after="20" w:line="240" w:lineRule="auto"/>
              <w:ind w:firstLine="0"/>
              <w:jc w:val="left"/>
            </w:pPr>
            <w:r>
              <w:rPr>
                <w:rFonts w:ascii="Times New Roman" w:hAnsi="Times New Roman"/>
                <w:sz w:val="17"/>
              </w:rPr>
              <w:t xml:space="preserve">0.32 to 0.68</w:t>
            </w:r>
          </w:p>
        </w:tc>
        <w:tc>
          <w:tcPr/>
          <w:p>
            <w:pPr>
              <w:pStyle w:val="Compact"/>
              <w:spacing w:before="20" w:after="20" w:line="240" w:lineRule="auto"/>
              <w:ind w:firstLine="0"/>
              <w:jc w:val="left"/>
            </w:pPr>
            <w:r>
              <w:rPr>
                <w:rFonts w:ascii="Times New Roman" w:hAnsi="Times New Roman"/>
                <w:sz w:val="17"/>
              </w:rPr>
              <w:t xml:space="preserve">-0.11 to 0.65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 to 1.00</w:t>
            </w:r>
          </w:p>
        </w:tc>
        <w:tc>
          <w:tcPr/>
          <w:p>
            <w:pPr>
              <w:pStyle w:val="Compact"/>
              <w:spacing w:before="20" w:after="20" w:line="240" w:lineRule="auto"/>
              <w:ind w:firstLine="0"/>
              <w:jc w:val="left"/>
            </w:pPr>
            <w:r>
              <w:rPr>
                <w:rFonts w:ascii="Times New Roman" w:hAnsi="Times New Roman"/>
                <w:sz w:val="17"/>
              </w:rPr>
              <w:t xml:space="preserve">1.95 to 3.36</w:t>
            </w:r>
          </w:p>
        </w:tc>
        <w:tc>
          <w:tcPr/>
          <w:p>
            <w:pPr>
              <w:pStyle w:val="Compact"/>
              <w:spacing w:before="20" w:after="20" w:line="240" w:lineRule="auto"/>
              <w:ind w:firstLine="0"/>
              <w:jc w:val="left"/>
            </w:pPr>
            <w:r>
              <w:rPr>
                <w:rFonts w:ascii="Times New Roman" w:hAnsi="Times New Roman"/>
                <w:sz w:val="17"/>
              </w:rPr>
              <w:t xml:space="preserve">0.61 to 0.75</w:t>
            </w:r>
          </w:p>
        </w:tc>
        <w:tc>
          <w:tcPr/>
          <w:p>
            <w:pPr>
              <w:pStyle w:val="Compact"/>
              <w:spacing w:before="20" w:after="20" w:line="240" w:lineRule="auto"/>
              <w:ind w:firstLine="0"/>
              <w:jc w:val="left"/>
            </w:pPr>
            <w:r>
              <w:rPr>
                <w:rFonts w:ascii="Times New Roman" w:hAnsi="Times New Roman"/>
                <w:sz w:val="17"/>
              </w:rPr>
              <w:t xml:space="preserve">1.91 to 3.52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3.69 to 8.01</w:t>
            </w:r>
          </w:p>
        </w:tc>
        <w:tc>
          <w:tcPr/>
          <w:p>
            <w:pPr>
              <w:pStyle w:val="Compact"/>
              <w:spacing w:before="20" w:after="20" w:line="240" w:lineRule="auto"/>
              <w:ind w:firstLine="0"/>
              <w:jc w:val="left"/>
            </w:pPr>
            <w:r>
              <w:rPr>
                <w:rFonts w:ascii="Times New Roman" w:hAnsi="Times New Roman"/>
                <w:sz w:val="17"/>
              </w:rPr>
              <w:t xml:space="preserve">0.00 to 0.27</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7.11 to 16.57</w:t>
            </w:r>
          </w:p>
        </w:tc>
        <w:tc>
          <w:tcPr/>
          <w:p>
            <w:pPr>
              <w:pStyle w:val="Compact"/>
              <w:spacing w:before="20" w:after="20" w:line="240" w:lineRule="auto"/>
              <w:ind w:firstLine="0"/>
              <w:jc w:val="left"/>
            </w:pPr>
            <w:r>
              <w:rPr>
                <w:rFonts w:ascii="Times New Roman" w:hAnsi="Times New Roman"/>
                <w:sz w:val="17"/>
              </w:rPr>
              <w:t xml:space="preserve">0.04 to 0.25</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-0.11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5.21 to 6.96</w:t>
            </w:r>
          </w:p>
        </w:tc>
        <w:tc>
          <w:tcPr/>
          <w:p>
            <w:pPr>
              <w:pStyle w:val="Compact"/>
              <w:spacing w:before="20" w:after="20" w:line="240" w:lineRule="auto"/>
              <w:ind w:firstLine="0"/>
              <w:jc w:val="left"/>
            </w:pPr>
            <w:r>
              <w:rPr>
                <w:rFonts w:ascii="Times New Roman" w:hAnsi="Times New Roman"/>
                <w:sz w:val="17"/>
              </w:rPr>
              <w:t xml:space="preserve">4.05 to 6.28</w:t>
            </w:r>
          </w:p>
        </w:tc>
        <w:tc>
          <w:tcPr/>
          <w:p>
            <w:pPr>
              <w:pStyle w:val="Compact"/>
              <w:spacing w:before="20" w:after="20" w:line="240" w:lineRule="auto"/>
              <w:ind w:firstLine="0"/>
              <w:jc w:val="left"/>
            </w:pPr>
            <w:r>
              <w:rPr>
                <w:rFonts w:ascii="Times New Roman" w:hAnsi="Times New Roman"/>
                <w:sz w:val="17"/>
              </w:rPr>
              <w:t xml:space="preserve">0.01 to 0.12</w:t>
            </w:r>
          </w:p>
        </w:tc>
        <w:tc>
          <w:tcPr/>
          <w:p>
            <w:pPr>
              <w:pStyle w:val="Compact"/>
              <w:spacing w:before="20" w:after="20" w:line="240" w:lineRule="auto"/>
              <w:ind w:firstLine="0"/>
              <w:jc w:val="left"/>
            </w:pPr>
            <w:r>
              <w:rPr>
                <w:rFonts w:ascii="Times New Roman" w:hAnsi="Times New Roman"/>
                <w:sz w:val="17"/>
              </w:rPr>
              <w:t xml:space="preserve">0.50 to 0.96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2.94 to 5.80</w:t>
            </w:r>
          </w:p>
        </w:tc>
        <w:tc>
          <w:tcPr/>
          <w:p>
            <w:pPr>
              <w:pStyle w:val="Compact"/>
              <w:spacing w:before="20" w:after="20" w:line="240" w:lineRule="auto"/>
              <w:ind w:firstLine="0"/>
              <w:jc w:val="left"/>
            </w:pPr>
            <w:r>
              <w:rPr>
                <w:rFonts w:ascii="Times New Roman" w:hAnsi="Times New Roman"/>
                <w:sz w:val="17"/>
              </w:rPr>
              <w:t xml:space="preserve">3.95 to 9.66</w:t>
            </w:r>
          </w:p>
        </w:tc>
        <w:tc>
          <w:tcPr/>
          <w:p>
            <w:pPr>
              <w:pStyle w:val="Compact"/>
              <w:spacing w:before="20" w:after="20" w:line="240" w:lineRule="auto"/>
              <w:ind w:firstLine="0"/>
              <w:jc w:val="left"/>
            </w:pPr>
            <w:r>
              <w:rPr>
                <w:rFonts w:ascii="Times New Roman" w:hAnsi="Times New Roman"/>
                <w:sz w:val="17"/>
              </w:rPr>
              <w:t xml:space="preserve">0.18 to 0.31</w:t>
            </w:r>
          </w:p>
        </w:tc>
        <w:tc>
          <w:tcPr/>
          <w:p>
            <w:pPr>
              <w:pStyle w:val="Compact"/>
              <w:spacing w:before="20" w:after="20" w:line="240" w:lineRule="auto"/>
              <w:ind w:firstLine="0"/>
              <w:jc w:val="left"/>
            </w:pPr>
            <w:r>
              <w:rPr>
                <w:rFonts w:ascii="Times New Roman" w:hAnsi="Times New Roman"/>
                <w:sz w:val="17"/>
              </w:rPr>
              <w:t xml:space="preserve">0.77 to 1.88</w:t>
            </w:r>
          </w:p>
        </w:tc>
      </w:tr>
    </w:tbl>
    <w:p>
      <w:pPr>
        <w:pStyle w:val="BodyText"/>
        <w:spacing w:line="240" w:lineRule="auto"/>
        <w:ind w:firstLine="0"/>
      </w:pPr>
      <w:r>
        <w:rPr>
          <w:iCs/>
          <w:i/>
        </w:rPr>
        <w:t xml:space="preserve">Table 2. Range of results across the six model-and-prompt cells of each design.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2667000"/>
            <wp:effectExtent b="0" l="0" r="0" t="0"/>
            <wp:docPr descr="Figure 1. Variance-to-mean ratio of simulated purchase counts with 95% intervals. The dashed line is the real value; the dotted line is the largest value that design C can reach with its count bins. Filled markers: plain prompt; hollow markers: anchored prompt." title="" id="39" name="Picture"/>
            <a:graphic>
              <a:graphicData uri="http://schemas.openxmlformats.org/drawingml/2006/picture">
                <pic:pic>
                  <pic:nvPicPr>
                    <pic:cNvPr descr="fig1_dispersion.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The dashed line is the real value; the dotted line is the largest value that design C can reach with its count bins. Filled markers: plain prompt; hollow markers: anchored prompt.</w:t>
      </w:r>
    </w:p>
    <w:bookmarkEnd w:id="41"/>
    <w:bookmarkStart w:id="42" w:name="low-mean-setting"/>
    <w:p>
      <w:pPr>
        <w:pStyle w:val="Heading2"/>
      </w:pPr>
      <w:r>
        <w:t xml:space="preserve">5.2 Low-mean setting</w:t>
      </w:r>
    </w:p>
    <w:p>
      <w:pPr>
        <w:pStyle w:val="FirstParagraph"/>
      </w:pPr>
      <w:r>
        <w:t xml:space="preserve">No direct or daily design reproduces the real dispersion. In all 18 cells of designs A, B, and C the upper bound of the variance-to-mean interval is below the reference of 2.49 (Table B1, Figure 1a). Direct answers are the most compressed, with ratios of at most 0.57 (excluding the degenerate all-zero cell). Under the anchored prompt Llama answered</w:t>
      </w:r>
      <w:r>
        <w:t xml:space="preserve"> </w:t>
      </w:r>
      <w:r>
        <w:t xml:space="preserve">“</w:t>
      </w:r>
      <w:r>
        <w:t xml:space="preserve">0</w:t>
      </w:r>
      <w:r>
        <w:t xml:space="preserve">”</w:t>
      </w:r>
      <w:r>
        <w:t xml:space="preserve"> </w:t>
      </w:r>
      <w:r>
        <w:t xml:space="preserve">and GPT-4o-mini answered</w:t>
      </w:r>
      <w:r>
        <w:t xml:space="preserve"> </w:t>
      </w:r>
      <w:r>
        <w:t xml:space="preserve">“</w:t>
      </w:r>
      <w:r>
        <w:t xml:space="preserve">1</w:t>
      </w:r>
      <w:r>
        <w:t xml:space="preserve">”</w:t>
      </w:r>
      <w:r>
        <w:t xml:space="preserve"> </w:t>
      </w:r>
      <w:r>
        <w:t xml:space="preserve">for practically every customer; in both cases the answer carries no persona information. Daily simulation overstates the mean without the anchor (GPT-4o-mini: 13.6 purchases in 28 days) and stays close to Poisson or below it. Describing a distribution reaches ratios of 0.96 to 1.59, comparable to or above daily simulation, but remains below its own ceiling of 2.10 in every cell, and its zero share is too low (0.32 to 0.68, against 0.74).</w:t>
      </w:r>
    </w:p>
    <w:p>
      <w:pPr>
        <w:pStyle w:val="BodyText"/>
      </w:pPr>
      <w:r>
        <w:t xml:space="preserve">The hybrid matches the reference ratio in three of six cells (both Claude Haiku cells and GPT-4o-mini plain). This agreement is partly by construction, because the gamma multiplier injects the dispersion. What the model contributes is the mean, and the means differ: Llama’s anchored mean is twice the reference (1.00 against 0.49).</w:t>
      </w:r>
    </w:p>
    <w:bookmarkEnd w:id="42"/>
    <w:bookmarkStart w:id="43" w:name="high-mean-setting"/>
    <w:p>
      <w:pPr>
        <w:pStyle w:val="Heading2"/>
      </w:pPr>
      <w:r>
        <w:t xml:space="preserve">5.3 High-mean setting</w:t>
      </w:r>
    </w:p>
    <w:p>
      <w:pPr>
        <w:pStyle w:val="FirstParagraph"/>
      </w:pPr>
      <w:r>
        <w:t xml:space="preserve">A higher mean does not relieve the collapse of direct answers (Table B2, Figure 1b). Ratios for design A lie between 0.00 and 0.27 against a reference of 7.85; GPT-4o-mini and Llama answered</w:t>
      </w:r>
      <w:r>
        <w:t xml:space="preserve"> </w:t>
      </w:r>
      <w:r>
        <w:t xml:space="preserve">“</w:t>
      </w:r>
      <w:r>
        <w:t xml:space="preserve">8</w:t>
      </w:r>
      <w:r>
        <w:t xml:space="preserve">”</w:t>
      </w:r>
      <w:r>
        <w:t xml:space="preserve"> </w:t>
      </w:r>
      <w:r>
        <w:t xml:space="preserve">for practically every customer without the anchor, and GPT-4o-mini answered</w:t>
      </w:r>
      <w:r>
        <w:t xml:space="preserve"> </w:t>
      </w:r>
      <w:r>
        <w:t xml:space="preserve">“</w:t>
      </w:r>
      <w:r>
        <w:t xml:space="preserve">5</w:t>
      </w:r>
      <w:r>
        <w:t xml:space="preserve">”</w:t>
      </w:r>
      <w:r>
        <w:t xml:space="preserve"> </w:t>
      </w:r>
      <w:r>
        <w:t xml:space="preserve">for everyone with it. Daily simulation again overstates the mean (7.1 to 16.6 trips against 4.84) and has almost no dispersion. In 17 of the 18 cells of designs A, B, and C the variance-to-mean interval lies entirely below the reference.</w:t>
      </w:r>
    </w:p>
    <w:p>
      <w:pPr>
        <w:pStyle w:val="BodyText"/>
      </w:pPr>
      <w:r>
        <w:t xml:space="preserve">Describing a distribution behaves better here. With the anchor, the intervals of all three models contain the ceiling of 6.61, and</w:t>
      </w:r>
      <w:r>
        <w:t xml:space="preserve"> </w:t>
      </w:r>
      <m:oMath>
        <m:r>
          <m:t>α</m:t>
        </m:r>
      </m:oMath>
      <w:r>
        <w:t xml:space="preserve"> </w:t>
      </w:r>
      <w:r>
        <w:t xml:space="preserve">(0.80 to 0.96) approaches the attainable 1.18; the plain variants stay below it. Its weak point is the zero share: 0.01 to 0.12 against the real 0.19. The hybrid again matches the reference dispersion in four of six cells, but its mean is unstable (2.94 for Haiku with the anchor, 5.80 for GPT-4o-mini without it).</w:t>
      </w:r>
    </w:p>
    <w:bookmarkEnd w:id="43"/>
    <w:bookmarkStart w:id="44"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a mean near 5. It does not. Variance-to-mean ratios of direct answers are at most 0.57 at a mean of 0.5 and at most 0.27 at a mean of 4.8, and in both settings models often return a single value for every customer. Collapse of direct answers is therefore not a rounding artifact of low means.</w:t>
      </w:r>
    </w:p>
    <w:bookmarkEnd w:id="44"/>
    <w:bookmarkStart w:id="45"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0.39, zero share 0.00) with</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overstates the mean (8.2 to 17.3 against 7.83). Describing a distribution reaches ratios of 3.70 to 5.05, and the intervals contain its ceiling of 5.01 in five of six cells; its zero share (0.03 to 0.09) is close to the small real share of 0.03. The hybrid matches the reference ratio in all six cells (5.21 to 7.26), but its mean is too low in five of six cells (4.73 to 6.42 against 7.83) and its zero share too high (0.07 to 0.12).</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6.09 to 8.12</w:t>
            </w:r>
          </w:p>
        </w:tc>
        <w:tc>
          <w:tcPr/>
          <w:p>
            <w:pPr>
              <w:pStyle w:val="Compact"/>
              <w:spacing w:before="20" w:after="20" w:line="240" w:lineRule="auto"/>
              <w:ind w:firstLine="0"/>
              <w:jc w:val="left"/>
            </w:pPr>
            <w:r>
              <w:rPr>
                <w:rFonts w:ascii="Times New Roman" w:hAnsi="Times New Roman"/>
                <w:sz w:val="17"/>
              </w:rPr>
              <w:t xml:space="preserve">0.00 to 0.39</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-0.16 to -0.08</w:t>
            </w:r>
          </w:p>
        </w:tc>
        <w:tc>
          <w:tcPr/>
          <w:p>
            <w:pPr>
              <w:pStyle w:val="Compact"/>
              <w:spacing w:before="20" w:after="20" w:line="240" w:lineRule="auto"/>
              <w:ind w:firstLine="0"/>
              <w:jc w:val="left"/>
            </w:pPr>
            <w:r>
              <w:rPr>
                <w:rFonts w:ascii="Times New Roman" w:hAnsi="Times New Roman"/>
                <w:sz w:val="17"/>
              </w:rPr>
              <w:t xml:space="preserve">-0.08 to +0.08</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8.20 to 17.28</w:t>
            </w:r>
          </w:p>
        </w:tc>
        <w:tc>
          <w:tcPr/>
          <w:p>
            <w:pPr>
              <w:pStyle w:val="Compact"/>
              <w:spacing w:before="20" w:after="20" w:line="240" w:lineRule="auto"/>
              <w:ind w:firstLine="0"/>
              <w:jc w:val="left"/>
            </w:pPr>
            <w:r>
              <w:rPr>
                <w:rFonts w:ascii="Times New Roman" w:hAnsi="Times New Roman"/>
                <w:sz w:val="17"/>
              </w:rPr>
              <w:t xml:space="preserve">0.08 to 0.19</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-0.10 to -0.05</w:t>
            </w:r>
          </w:p>
        </w:tc>
        <w:tc>
          <w:tcPr/>
          <w:p>
            <w:pPr>
              <w:pStyle w:val="Compact"/>
              <w:spacing w:before="20" w:after="20" w:line="240" w:lineRule="auto"/>
              <w:ind w:firstLine="0"/>
              <w:jc w:val="left"/>
            </w:pPr>
            <w:r>
              <w:rPr>
                <w:rFonts w:ascii="Times New Roman" w:hAnsi="Times New Roman"/>
                <w:sz w:val="17"/>
              </w:rPr>
              <w:t xml:space="preserve">-0.07 to +0.05</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5.79 to 6.92</w:t>
            </w:r>
          </w:p>
        </w:tc>
        <w:tc>
          <w:tcPr/>
          <w:p>
            <w:pPr>
              <w:pStyle w:val="Compact"/>
              <w:spacing w:before="20" w:after="20" w:line="240" w:lineRule="auto"/>
              <w:ind w:firstLine="0"/>
              <w:jc w:val="left"/>
            </w:pPr>
            <w:r>
              <w:rPr>
                <w:rFonts w:ascii="Times New Roman" w:hAnsi="Times New Roman"/>
                <w:sz w:val="17"/>
              </w:rPr>
              <w:t xml:space="preserve">3.70 to 5.05</w:t>
            </w:r>
          </w:p>
        </w:tc>
        <w:tc>
          <w:tcPr/>
          <w:p>
            <w:pPr>
              <w:pStyle w:val="Compact"/>
              <w:spacing w:before="20" w:after="20" w:line="240" w:lineRule="auto"/>
              <w:ind w:firstLine="0"/>
              <w:jc w:val="left"/>
            </w:pPr>
            <w:r>
              <w:rPr>
                <w:rFonts w:ascii="Times New Roman" w:hAnsi="Times New Roman"/>
                <w:sz w:val="17"/>
              </w:rPr>
              <w:t xml:space="preserve">0.03 to 0.09</w:t>
            </w:r>
          </w:p>
        </w:tc>
        <w:tc>
          <w:tcPr/>
          <w:p>
            <w:pPr>
              <w:pStyle w:val="Compact"/>
              <w:spacing w:before="20" w:after="20" w:line="240" w:lineRule="auto"/>
              <w:ind w:firstLine="0"/>
              <w:jc w:val="left"/>
            </w:pPr>
            <w:r>
              <w:rPr>
                <w:rFonts w:ascii="Times New Roman" w:hAnsi="Times New Roman"/>
                <w:sz w:val="17"/>
              </w:rPr>
              <w:t xml:space="preserve">0.43 to 0.59</w:t>
            </w:r>
          </w:p>
        </w:tc>
        <w:tc>
          <w:tcPr/>
          <w:p>
            <w:pPr>
              <w:pStyle w:val="Compact"/>
              <w:spacing w:before="20" w:after="20" w:line="240" w:lineRule="auto"/>
              <w:ind w:firstLine="0"/>
              <w:jc w:val="left"/>
            </w:pPr>
            <w:r>
              <w:rPr>
                <w:rFonts w:ascii="Times New Roman" w:hAnsi="Times New Roman"/>
                <w:sz w:val="17"/>
              </w:rPr>
              <w:t xml:space="preserve">-0.06 to +0.10</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4.73 to 7.04</w:t>
            </w:r>
          </w:p>
        </w:tc>
        <w:tc>
          <w:tcPr/>
          <w:p>
            <w:pPr>
              <w:pStyle w:val="Compact"/>
              <w:spacing w:before="20" w:after="20" w:line="240" w:lineRule="auto"/>
              <w:ind w:firstLine="0"/>
              <w:jc w:val="left"/>
            </w:pPr>
            <w:r>
              <w:rPr>
                <w:rFonts w:ascii="Times New Roman" w:hAnsi="Times New Roman"/>
                <w:sz w:val="17"/>
              </w:rPr>
              <w:t xml:space="preserve">5.21 to 7.26</w:t>
            </w:r>
          </w:p>
        </w:tc>
        <w:tc>
          <w:tcPr/>
          <w:p>
            <w:pPr>
              <w:pStyle w:val="Compact"/>
              <w:spacing w:before="20" w:after="20" w:line="240" w:lineRule="auto"/>
              <w:ind w:firstLine="0"/>
              <w:jc w:val="left"/>
            </w:pPr>
            <w:r>
              <w:rPr>
                <w:rFonts w:ascii="Times New Roman" w:hAnsi="Times New Roman"/>
                <w:sz w:val="17"/>
              </w:rPr>
              <w:t xml:space="preserve">0.07 to 0.12</w:t>
            </w:r>
          </w:p>
        </w:tc>
        <w:tc>
          <w:tcPr/>
          <w:p>
            <w:pPr>
              <w:pStyle w:val="Compact"/>
              <w:spacing w:before="20" w:after="20" w:line="240" w:lineRule="auto"/>
              <w:ind w:firstLine="0"/>
              <w:jc w:val="left"/>
            </w:pPr>
            <w:r>
              <w:rPr>
                <w:rFonts w:ascii="Times New Roman" w:hAnsi="Times New Roman"/>
                <w:sz w:val="17"/>
              </w:rPr>
              <w:t xml:space="preserve">0.74 to 1.14</w:t>
            </w:r>
          </w:p>
        </w:tc>
        <w:tc>
          <w:tcPr/>
          <w:p>
            <w:pPr>
              <w:pStyle w:val="Compact"/>
              <w:spacing w:before="20" w:after="20" w:line="240" w:lineRule="auto"/>
              <w:ind w:firstLine="0"/>
              <w:jc w:val="left"/>
            </w:pPr>
            <w:r>
              <w:rPr>
                <w:rFonts w:ascii="Times New Roman" w:hAnsi="Times New Roman"/>
                <w:sz w:val="17"/>
              </w:rPr>
              <w:t xml:space="preserve">-0.11 to +0.06</w:t>
            </w:r>
          </w:p>
        </w:tc>
      </w:tr>
    </w:tbl>
    <w:p>
      <w:pPr>
        <w:pStyle w:val="BodyText"/>
        <w:spacing w:line="240" w:lineRule="auto"/>
        <w:ind w:firstLine="0"/>
      </w:pPr>
      <w:r>
        <w:rPr>
          <w:iCs/>
          <w:i/>
        </w:rPr>
        <w:t xml:space="preserve">Table 3. Persona experiment with real household demographics: range of results across the six model-and-prompt cells of each design (200 households per cell). The last column is the range of the Spearman correlation between the simulated count and the household’s real count in the same window.</w:t>
      </w:r>
    </w:p>
    <w:p>
      <w:pPr>
        <w:pStyle w:val="BodyText"/>
      </w:pPr>
      <w:r>
        <w:t xml:space="preserve">Individual-level validity is essentially nil. The Spearman correlation between the simulated count and the household’s real count lies between -0.11 and +0.10, and every interval except one includes zero; the exception is GPT-4o-mini without the anchor in the direct design, whose answers are nearly constant (-0.04, interval -0.09 to -0.03). The model’s own</w:t>
      </w:r>
      <w:r>
        <w:t xml:space="preserve"> </w:t>
      </w:r>
      <m:oMath>
        <m:r>
          <m:t>λ</m:t>
        </m:r>
      </m:oMath>
      <w:r>
        <w:t xml:space="preserve"> </w:t>
      </w:r>
      <w:r>
        <w:t xml:space="preserve">in design D correlates between -0.09 and +0.11 with the real count. Because the demographics themselves predict the real count with a Spearman correlation of only 0.04,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5"/>
    <w:bookmarkStart w:id="49"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0.262</w:t>
            </w:r>
          </w:p>
        </w:tc>
        <w:tc>
          <w:tcPr/>
          <w:p>
            <w:pPr>
              <w:pStyle w:val="Compact"/>
              <w:spacing w:before="20" w:after="20" w:line="240" w:lineRule="auto"/>
              <w:ind w:firstLine="0"/>
              <w:jc w:val="left"/>
            </w:pPr>
            <w:r>
              <w:rPr>
                <w:rFonts w:ascii="Times New Roman" w:hAnsi="Times New Roman"/>
                <w:sz w:val="17"/>
              </w:rPr>
              <w:t xml:space="preserve">+0.199 [+0.172, +0.223]*</w:t>
            </w:r>
          </w:p>
        </w:tc>
        <w:tc>
          <w:tcPr/>
          <w:p>
            <w:pPr>
              <w:pStyle w:val="Compact"/>
              <w:spacing w:before="20" w:after="20" w:line="240" w:lineRule="auto"/>
              <w:ind w:firstLine="0"/>
              <w:jc w:val="left"/>
            </w:pPr>
            <w:r>
              <w:rPr>
                <w:rFonts w:ascii="Times New Roman" w:hAnsi="Times New Roman"/>
                <w:sz w:val="17"/>
              </w:rPr>
              <w:t xml:space="preserve">+0.207 [+0.184, +0.234]*</w:t>
            </w:r>
          </w:p>
        </w:tc>
        <w:tc>
          <w:tcPr/>
          <w:p>
            <w:pPr>
              <w:pStyle w:val="Compact"/>
              <w:spacing w:before="20" w:after="20" w:line="240" w:lineRule="auto"/>
              <w:ind w:firstLine="0"/>
              <w:jc w:val="left"/>
            </w:pPr>
            <w:r>
              <w:rPr>
                <w:rFonts w:ascii="Times New Roman" w:hAnsi="Times New Roman"/>
                <w:sz w:val="17"/>
              </w:rPr>
              <w:t xml:space="preserve">-0.009 [-0.058, +0.036]</w:t>
            </w:r>
          </w:p>
        </w:tc>
        <w:tc>
          <w:tcPr/>
          <w:p>
            <w:pPr>
              <w:pStyle w:val="Compact"/>
              <w:spacing w:before="20" w:after="20" w:line="240" w:lineRule="auto"/>
              <w:ind w:firstLine="0"/>
              <w:jc w:val="left"/>
            </w:pPr>
            <w:r>
              <w:rPr>
                <w:rFonts w:ascii="Times New Roman" w:hAnsi="Times New Roman"/>
                <w:sz w:val="17"/>
              </w:rPr>
              <w:t xml:space="preserve">1.76</w:t>
            </w:r>
          </w:p>
        </w:tc>
        <w:tc>
          <w:tcPr/>
          <w:p>
            <w:pPr>
              <w:pStyle w:val="Compact"/>
              <w:spacing w:before="20" w:after="20" w:line="240" w:lineRule="auto"/>
              <w:ind w:firstLine="0"/>
              <w:jc w:val="left"/>
            </w:pPr>
            <w:r>
              <w:rPr>
                <w:rFonts w:ascii="Times New Roman" w:hAnsi="Times New Roman"/>
                <w:sz w:val="17"/>
              </w:rPr>
              <w:t xml:space="preserve">1.79*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+0.001 [+0.000, +0.003]*</w:t>
            </w:r>
          </w:p>
        </w:tc>
        <w:tc>
          <w:tcPr/>
          <w:p>
            <w:pPr>
              <w:pStyle w:val="Compact"/>
              <w:spacing w:before="20" w:after="20" w:line="240" w:lineRule="auto"/>
              <w:ind w:firstLine="0"/>
              <w:jc w:val="left"/>
            </w:pPr>
            <w:r>
              <w:rPr>
                <w:rFonts w:ascii="Times New Roman" w:hAnsi="Times New Roman"/>
                <w:sz w:val="17"/>
              </w:rPr>
              <w:t xml:space="preserve">+0.006 [+0.003, +0.010]*</w:t>
            </w:r>
          </w:p>
        </w:tc>
        <w:tc>
          <w:tcPr/>
          <w:p>
            <w:pPr>
              <w:pStyle w:val="Compact"/>
              <w:spacing w:before="20" w:after="20" w:line="240" w:lineRule="auto"/>
              <w:ind w:firstLine="0"/>
              <w:jc w:val="left"/>
            </w:pPr>
            <w:r>
              <w:rPr>
                <w:rFonts w:ascii="Times New Roman" w:hAnsi="Times New Roman"/>
                <w:sz w:val="17"/>
              </w:rPr>
              <w:t xml:space="preserve">-0.005 [-0.010, -0.001]*</w:t>
            </w:r>
          </w:p>
        </w:tc>
        <w:tc>
          <w:tcPr/>
          <w:p>
            <w:pPr>
              <w:pStyle w:val="Compact"/>
              <w:spacing w:before="20" w:after="20" w:line="240" w:lineRule="auto"/>
              <w:ind w:firstLine="0"/>
              <w:jc w:val="left"/>
            </w:pPr>
            <w:r>
              <w:rPr>
                <w:rFonts w:ascii="Times New Roman" w:hAnsi="Times New Roman"/>
                <w:sz w:val="17"/>
              </w:rPr>
              <w:t xml:space="preserve">1.01*</w:t>
            </w:r>
          </w:p>
        </w:tc>
        <w:tc>
          <w:tcPr/>
          <w:p>
            <w:pPr>
              <w:pStyle w:val="Compact"/>
              <w:spacing w:before="20" w:after="20" w:line="240" w:lineRule="auto"/>
              <w:ind w:firstLine="0"/>
              <w:jc w:val="left"/>
            </w:pPr>
            <w:r>
              <w:rPr>
                <w:rFonts w:ascii="Times New Roman" w:hAnsi="Times New Roman"/>
                <w:sz w:val="17"/>
              </w:rPr>
              <w:t xml:space="preserve">1.06*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0.300</w:t>
            </w:r>
          </w:p>
        </w:tc>
        <w:tc>
          <w:tcPr/>
          <w:p>
            <w:pPr>
              <w:pStyle w:val="Compact"/>
              <w:spacing w:before="20" w:after="20" w:line="240" w:lineRule="auto"/>
              <w:ind w:firstLine="0"/>
              <w:jc w:val="left"/>
            </w:pPr>
            <w:r>
              <w:rPr>
                <w:rFonts w:ascii="Times New Roman" w:hAnsi="Times New Roman"/>
                <w:sz w:val="17"/>
              </w:rPr>
              <w:t xml:space="preserve">+0.071 [+0.046, +0.094]</w:t>
            </w:r>
          </w:p>
        </w:tc>
        <w:tc>
          <w:tcPr/>
          <w:p>
            <w:pPr>
              <w:pStyle w:val="Compact"/>
              <w:spacing w:before="20" w:after="20" w:line="240" w:lineRule="auto"/>
              <w:ind w:firstLine="0"/>
              <w:jc w:val="left"/>
            </w:pPr>
            <w:r>
              <w:rPr>
                <w:rFonts w:ascii="Times New Roman" w:hAnsi="Times New Roman"/>
                <w:sz w:val="17"/>
              </w:rPr>
              <w:t xml:space="preserve">+0.048 [+0.024, +0.074]</w:t>
            </w:r>
          </w:p>
        </w:tc>
        <w:tc>
          <w:tcPr/>
          <w:p>
            <w:pPr>
              <w:pStyle w:val="Compact"/>
              <w:spacing w:before="20" w:after="20" w:line="240" w:lineRule="auto"/>
              <w:ind w:firstLine="0"/>
              <w:jc w:val="left"/>
            </w:pPr>
            <w:r>
              <w:rPr>
                <w:rFonts w:ascii="Times New Roman" w:hAnsi="Times New Roman"/>
                <w:sz w:val="17"/>
              </w:rPr>
              <w:t xml:space="preserve">+0.023 [-0.021, +0.061]</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[+0.032, +0.043]*</w:t>
            </w:r>
          </w:p>
        </w:tc>
        <w:tc>
          <w:tcPr/>
          <w:p>
            <w:pPr>
              <w:pStyle w:val="Compact"/>
              <w:spacing w:before="20" w:after="20" w:line="240" w:lineRule="auto"/>
              <w:ind w:firstLine="0"/>
              <w:jc w:val="left"/>
            </w:pPr>
            <w:r>
              <w:rPr>
                <w:rFonts w:ascii="Times New Roman" w:hAnsi="Times New Roman"/>
                <w:sz w:val="17"/>
              </w:rPr>
              <w:t xml:space="preserve">+0.036 [+0.031, +0.043]*</w:t>
            </w:r>
          </w:p>
        </w:tc>
        <w:tc>
          <w:tcPr/>
          <w:p>
            <w:pPr>
              <w:pStyle w:val="Compact"/>
              <w:spacing w:before="20" w:after="20" w:line="240" w:lineRule="auto"/>
              <w:ind w:firstLine="0"/>
              <w:jc w:val="left"/>
            </w:pPr>
            <w:r>
              <w:rPr>
                <w:rFonts w:ascii="Times New Roman" w:hAnsi="Times New Roman"/>
                <w:sz w:val="17"/>
              </w:rPr>
              <w:t xml:space="preserve">+0.001 [-0.009, +0.011]*</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0.159</w:t>
            </w:r>
          </w:p>
        </w:tc>
        <w:tc>
          <w:tcPr/>
          <w:p>
            <w:pPr>
              <w:pStyle w:val="Compact"/>
              <w:spacing w:before="20" w:after="20" w:line="240" w:lineRule="auto"/>
              <w:ind w:firstLine="0"/>
              <w:jc w:val="left"/>
            </w:pPr>
            <w:r>
              <w:rPr>
                <w:rFonts w:ascii="Times New Roman" w:hAnsi="Times New Roman"/>
                <w:sz w:val="17"/>
              </w:rPr>
              <w:t xml:space="preserve">+0.078 [+0.062, +0.093]</w:t>
            </w:r>
          </w:p>
        </w:tc>
        <w:tc>
          <w:tcPr/>
          <w:p>
            <w:pPr>
              <w:pStyle w:val="Compact"/>
              <w:spacing w:before="20" w:after="20" w:line="240" w:lineRule="auto"/>
              <w:ind w:firstLine="0"/>
              <w:jc w:val="left"/>
            </w:pPr>
            <w:r>
              <w:rPr>
                <w:rFonts w:ascii="Times New Roman" w:hAnsi="Times New Roman"/>
                <w:sz w:val="17"/>
              </w:rPr>
              <w:t xml:space="preserve">+0.082 [+0.068, +0.097]*</w:t>
            </w:r>
          </w:p>
        </w:tc>
        <w:tc>
          <w:tcPr/>
          <w:p>
            <w:pPr>
              <w:pStyle w:val="Compact"/>
              <w:spacing w:before="20" w:after="20" w:line="240" w:lineRule="auto"/>
              <w:ind w:firstLine="0"/>
              <w:jc w:val="left"/>
            </w:pPr>
            <w:r>
              <w:rPr>
                <w:rFonts w:ascii="Times New Roman" w:hAnsi="Times New Roman"/>
                <w:sz w:val="17"/>
              </w:rPr>
              <w:t xml:space="preserve">-0.005 [-0.030, +0.019]*</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[+0.151, +0.168]*</w:t>
            </w:r>
          </w:p>
        </w:tc>
        <w:tc>
          <w:tcPr/>
          <w:p>
            <w:pPr>
              <w:pStyle w:val="Compact"/>
              <w:spacing w:before="20" w:after="20" w:line="240" w:lineRule="auto"/>
              <w:ind w:firstLine="0"/>
              <w:jc w:val="left"/>
            </w:pPr>
            <w:r>
              <w:rPr>
                <w:rFonts w:ascii="Times New Roman" w:hAnsi="Times New Roman"/>
                <w:sz w:val="17"/>
              </w:rPr>
              <w:t xml:space="preserve">+0.158 [+0.150, +0.167]*</w:t>
            </w:r>
          </w:p>
        </w:tc>
        <w:tc>
          <w:tcPr/>
          <w:p>
            <w:pPr>
              <w:pStyle w:val="Compact"/>
              <w:spacing w:before="20" w:after="20" w:line="240" w:lineRule="auto"/>
              <w:ind w:firstLine="0"/>
              <w:jc w:val="left"/>
            </w:pPr>
            <w:r>
              <w:rPr>
                <w:rFonts w:ascii="Times New Roman" w:hAnsi="Times New Roman"/>
                <w:sz w:val="17"/>
              </w:rPr>
              <w:t xml:space="preserve">+0.001 [-0.011, +0.014]*</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0.156</w:t>
            </w:r>
          </w:p>
        </w:tc>
        <w:tc>
          <w:tcPr/>
          <w:p>
            <w:pPr>
              <w:pStyle w:val="Compact"/>
              <w:spacing w:before="20" w:after="20" w:line="240" w:lineRule="auto"/>
              <w:ind w:firstLine="0"/>
              <w:jc w:val="left"/>
            </w:pPr>
            <w:r>
              <w:rPr>
                <w:rFonts w:ascii="Times New Roman" w:hAnsi="Times New Roman"/>
                <w:sz w:val="17"/>
              </w:rPr>
              <w:t xml:space="preserve">+0.180 [+0.155, +0.206]*</w:t>
            </w:r>
          </w:p>
        </w:tc>
        <w:tc>
          <w:tcPr/>
          <w:p>
            <w:pPr>
              <w:pStyle w:val="Compact"/>
              <w:spacing w:before="20" w:after="20" w:line="240" w:lineRule="auto"/>
              <w:ind w:firstLine="0"/>
              <w:jc w:val="left"/>
            </w:pPr>
            <w:r>
              <w:rPr>
                <w:rFonts w:ascii="Times New Roman" w:hAnsi="Times New Roman"/>
                <w:sz w:val="17"/>
              </w:rPr>
              <w:t xml:space="preserve">+0.196 [+0.173, +0.220]*</w:t>
            </w:r>
          </w:p>
        </w:tc>
        <w:tc>
          <w:tcPr/>
          <w:p>
            <w:pPr>
              <w:pStyle w:val="Compact"/>
              <w:spacing w:before="20" w:after="20" w:line="240" w:lineRule="auto"/>
              <w:ind w:firstLine="0"/>
              <w:jc w:val="left"/>
            </w:pPr>
            <w:r>
              <w:rPr>
                <w:rFonts w:ascii="Times New Roman" w:hAnsi="Times New Roman"/>
                <w:sz w:val="17"/>
              </w:rPr>
              <w:t xml:space="preserve">-0.017 [-0.062, +0.028]</w:t>
            </w:r>
          </w:p>
        </w:tc>
        <w:tc>
          <w:tcPr/>
          <w:p>
            <w:pPr>
              <w:pStyle w:val="Compact"/>
              <w:spacing w:before="20" w:after="20" w:line="240" w:lineRule="auto"/>
              <w:ind w:firstLine="0"/>
              <w:jc w:val="left"/>
            </w:pPr>
            <w:r>
              <w:rPr>
                <w:rFonts w:ascii="Times New Roman" w:hAnsi="Times New Roman"/>
                <w:sz w:val="17"/>
              </w:rPr>
              <w:t xml:space="preserve">2.15</w:t>
            </w:r>
          </w:p>
        </w:tc>
        <w:tc>
          <w:tcPr/>
          <w:p>
            <w:pPr>
              <w:pStyle w:val="Compact"/>
              <w:spacing w:before="20" w:after="20" w:line="240" w:lineRule="auto"/>
              <w:ind w:firstLine="0"/>
              <w:jc w:val="left"/>
            </w:pPr>
            <w:r>
              <w:rPr>
                <w:rFonts w:ascii="Times New Roman" w:hAnsi="Times New Roman"/>
                <w:sz w:val="17"/>
              </w:rPr>
              <w:t xml:space="preserve">2.26*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0.063</w:t>
            </w:r>
          </w:p>
        </w:tc>
        <w:tc>
          <w:tcPr/>
          <w:p>
            <w:pPr>
              <w:pStyle w:val="Compact"/>
              <w:spacing w:before="20" w:after="20" w:line="240" w:lineRule="auto"/>
              <w:ind w:firstLine="0"/>
              <w:jc w:val="left"/>
            </w:pPr>
            <w:r>
              <w:rPr>
                <w:rFonts w:ascii="Times New Roman" w:hAnsi="Times New Roman"/>
                <w:sz w:val="17"/>
              </w:rPr>
              <w:t xml:space="preserve">+0.027 [+0.020, +0.035]*</w:t>
            </w:r>
          </w:p>
        </w:tc>
        <w:tc>
          <w:tcPr/>
          <w:p>
            <w:pPr>
              <w:pStyle w:val="Compact"/>
              <w:spacing w:before="20" w:after="20" w:line="240" w:lineRule="auto"/>
              <w:ind w:firstLine="0"/>
              <w:jc w:val="left"/>
            </w:pPr>
            <w:r>
              <w:rPr>
                <w:rFonts w:ascii="Times New Roman" w:hAnsi="Times New Roman"/>
                <w:sz w:val="17"/>
              </w:rPr>
              <w:t xml:space="preserve">+0.051 [+0.042, +0.059]*</w:t>
            </w:r>
          </w:p>
        </w:tc>
        <w:tc>
          <w:tcPr/>
          <w:p>
            <w:pPr>
              <w:pStyle w:val="Compact"/>
              <w:spacing w:before="20" w:after="20" w:line="240" w:lineRule="auto"/>
              <w:ind w:firstLine="0"/>
              <w:jc w:val="left"/>
            </w:pPr>
            <w:r>
              <w:rPr>
                <w:rFonts w:ascii="Times New Roman" w:hAnsi="Times New Roman"/>
                <w:sz w:val="17"/>
              </w:rPr>
              <w:t xml:space="preserve">-0.023 [-0.034, -0.012]*</w:t>
            </w:r>
          </w:p>
        </w:tc>
        <w:tc>
          <w:tcPr/>
          <w:p>
            <w:pPr>
              <w:pStyle w:val="Compact"/>
              <w:spacing w:before="20" w:after="20" w:line="240" w:lineRule="auto"/>
              <w:ind w:firstLine="0"/>
              <w:jc w:val="left"/>
            </w:pPr>
            <w:r>
              <w:rPr>
                <w:rFonts w:ascii="Times New Roman" w:hAnsi="Times New Roman"/>
                <w:sz w:val="17"/>
              </w:rPr>
              <w:t xml:space="preserve">1.44*</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0.090</w:t>
            </w:r>
          </w:p>
        </w:tc>
        <w:tc>
          <w:tcPr/>
          <w:p>
            <w:pPr>
              <w:pStyle w:val="Compact"/>
              <w:spacing w:before="20" w:after="20" w:line="240" w:lineRule="auto"/>
              <w:ind w:firstLine="0"/>
              <w:jc w:val="left"/>
            </w:pPr>
            <w:r>
              <w:rPr>
                <w:rFonts w:ascii="Times New Roman" w:hAnsi="Times New Roman"/>
                <w:sz w:val="17"/>
              </w:rPr>
              <w:t xml:space="preserve">+0.162 [+0.140, +0.186]*</w:t>
            </w:r>
          </w:p>
        </w:tc>
        <w:tc>
          <w:tcPr/>
          <w:p>
            <w:pPr>
              <w:pStyle w:val="Compact"/>
              <w:spacing w:before="20" w:after="20" w:line="240" w:lineRule="auto"/>
              <w:ind w:firstLine="0"/>
              <w:jc w:val="left"/>
            </w:pPr>
            <w:r>
              <w:rPr>
                <w:rFonts w:ascii="Times New Roman" w:hAnsi="Times New Roman"/>
                <w:sz w:val="17"/>
              </w:rPr>
              <w:t xml:space="preserve">+0.152 [+0.127, +0.178]*</w:t>
            </w:r>
          </w:p>
        </w:tc>
        <w:tc>
          <w:tcPr/>
          <w:p>
            <w:pPr>
              <w:pStyle w:val="Compact"/>
              <w:spacing w:before="20" w:after="20" w:line="240" w:lineRule="auto"/>
              <w:ind w:firstLine="0"/>
              <w:jc w:val="left"/>
            </w:pPr>
            <w:r>
              <w:rPr>
                <w:rFonts w:ascii="Times New Roman" w:hAnsi="Times New Roman"/>
                <w:sz w:val="17"/>
              </w:rPr>
              <w:t xml:space="preserve">+0.011 [-0.036, +0.057]</w:t>
            </w:r>
          </w:p>
        </w:tc>
        <w:tc>
          <w:tcPr/>
          <w:p>
            <w:pPr>
              <w:pStyle w:val="Compact"/>
              <w:spacing w:before="20" w:after="20" w:line="240" w:lineRule="auto"/>
              <w:ind w:firstLine="0"/>
              <w:jc w:val="left"/>
            </w:pPr>
            <w:r>
              <w:rPr>
                <w:rFonts w:ascii="Times New Roman" w:hAnsi="Times New Roman"/>
                <w:sz w:val="17"/>
              </w:rPr>
              <w:t xml:space="preserve">2.81*</w:t>
            </w:r>
          </w:p>
        </w:tc>
        <w:tc>
          <w:tcPr/>
          <w:p>
            <w:pPr>
              <w:pStyle w:val="Compact"/>
              <w:spacing w:before="20" w:after="20" w:line="240" w:lineRule="auto"/>
              <w:ind w:firstLine="0"/>
              <w:jc w:val="left"/>
            </w:pPr>
            <w:r>
              <w:rPr>
                <w:rFonts w:ascii="Times New Roman" w:hAnsi="Times New Roman"/>
                <w:sz w:val="17"/>
              </w:rPr>
              <w:t xml:space="preserve">2.69*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+0.163 [+0.140, +0.186]*</w:t>
            </w:r>
          </w:p>
        </w:tc>
        <w:tc>
          <w:tcPr/>
          <w:p>
            <w:pPr>
              <w:pStyle w:val="Compact"/>
              <w:spacing w:before="20" w:after="20" w:line="240" w:lineRule="auto"/>
              <w:ind w:firstLine="0"/>
              <w:jc w:val="left"/>
            </w:pPr>
            <w:r>
              <w:rPr>
                <w:rFonts w:ascii="Times New Roman" w:hAnsi="Times New Roman"/>
                <w:sz w:val="17"/>
              </w:rPr>
              <w:t xml:space="preserve">+0.156 [+0.135, +0.180]*</w:t>
            </w:r>
          </w:p>
        </w:tc>
        <w:tc>
          <w:tcPr/>
          <w:p>
            <w:pPr>
              <w:pStyle w:val="Compact"/>
              <w:spacing w:before="20" w:after="20" w:line="240" w:lineRule="auto"/>
              <w:ind w:firstLine="0"/>
              <w:jc w:val="left"/>
            </w:pPr>
            <w:r>
              <w:rPr>
                <w:rFonts w:ascii="Times New Roman" w:hAnsi="Times New Roman"/>
                <w:sz w:val="17"/>
              </w:rPr>
              <w:t xml:space="preserve">+0.006 [-0.035, +0.045]</w:t>
            </w:r>
          </w:p>
        </w:tc>
        <w:tc>
          <w:tcPr/>
          <w:p>
            <w:pPr>
              <w:pStyle w:val="Compact"/>
              <w:spacing w:before="20" w:after="20" w:line="240" w:lineRule="auto"/>
              <w:ind w:firstLine="0"/>
              <w:jc w:val="left"/>
            </w:pPr>
            <w:r>
              <w:rPr>
                <w:rFonts w:ascii="Times New Roman" w:hAnsi="Times New Roman"/>
                <w:sz w:val="17"/>
              </w:rPr>
              <w:t xml:space="preserve">45.10*</w:t>
            </w:r>
          </w:p>
        </w:tc>
        <w:tc>
          <w:tcPr/>
          <w:p>
            <w:pPr>
              <w:pStyle w:val="Compact"/>
              <w:spacing w:before="20" w:after="20" w:line="240" w:lineRule="auto"/>
              <w:ind w:firstLine="0"/>
              <w:jc w:val="left"/>
            </w:pPr>
            <w:r>
              <w:rPr>
                <w:rFonts w:ascii="Times New Roman" w:hAnsi="Times New Roman"/>
                <w:sz w:val="17"/>
              </w:rPr>
              <w:t xml:space="preserve">43.37*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0.098</w:t>
            </w:r>
          </w:p>
        </w:tc>
        <w:tc>
          <w:tcPr/>
          <w:p>
            <w:pPr>
              <w:pStyle w:val="Compact"/>
              <w:spacing w:before="20" w:after="20" w:line="240" w:lineRule="auto"/>
              <w:ind w:firstLine="0"/>
              <w:jc w:val="left"/>
            </w:pPr>
            <w:r>
              <w:rPr>
                <w:rFonts w:ascii="Times New Roman" w:hAnsi="Times New Roman"/>
                <w:sz w:val="17"/>
              </w:rPr>
              <w:t xml:space="preserve">+0.057 [+0.046, +0.068]*</w:t>
            </w:r>
          </w:p>
        </w:tc>
        <w:tc>
          <w:tcPr/>
          <w:p>
            <w:pPr>
              <w:pStyle w:val="Compact"/>
              <w:spacing w:before="20" w:after="20" w:line="240" w:lineRule="auto"/>
              <w:ind w:firstLine="0"/>
              <w:jc w:val="left"/>
            </w:pPr>
            <w:r>
              <w:rPr>
                <w:rFonts w:ascii="Times New Roman" w:hAnsi="Times New Roman"/>
                <w:sz w:val="17"/>
              </w:rPr>
              <w:t xml:space="preserve">+0.051 [+0.041, +0.060]*</w:t>
            </w:r>
          </w:p>
        </w:tc>
        <w:tc>
          <w:tcPr/>
          <w:p>
            <w:pPr>
              <w:pStyle w:val="Compact"/>
              <w:spacing w:before="20" w:after="20" w:line="240" w:lineRule="auto"/>
              <w:ind w:firstLine="0"/>
              <w:jc w:val="left"/>
            </w:pPr>
            <w:r>
              <w:rPr>
                <w:rFonts w:ascii="Times New Roman" w:hAnsi="Times New Roman"/>
                <w:sz w:val="17"/>
              </w:rPr>
              <w:t xml:space="preserve">+0.006 [-0.012, +0.025]</w:t>
            </w:r>
          </w:p>
        </w:tc>
        <w:tc>
          <w:tcPr/>
          <w:p>
            <w:pPr>
              <w:pStyle w:val="Compact"/>
              <w:spacing w:before="20" w:after="20" w:line="240" w:lineRule="auto"/>
              <w:ind w:firstLine="0"/>
              <w:jc w:val="left"/>
            </w:pPr>
            <w:r>
              <w:rPr>
                <w:rFonts w:ascii="Times New Roman" w:hAnsi="Times New Roman"/>
                <w:sz w:val="17"/>
              </w:rPr>
              <w:t xml:space="preserve">1.58*</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+0.115 [+0.104, +0.127]*</w:t>
            </w:r>
          </w:p>
        </w:tc>
        <w:tc>
          <w:tcPr/>
          <w:p>
            <w:pPr>
              <w:pStyle w:val="Compact"/>
              <w:spacing w:before="20" w:after="20" w:line="240" w:lineRule="auto"/>
              <w:ind w:firstLine="0"/>
              <w:jc w:val="left"/>
            </w:pPr>
            <w:r>
              <w:rPr>
                <w:rFonts w:ascii="Times New Roman" w:hAnsi="Times New Roman"/>
                <w:sz w:val="17"/>
              </w:rPr>
              <w:t xml:space="preserve">+0.118 [+0.108, +0.128]*</w:t>
            </w:r>
          </w:p>
        </w:tc>
        <w:tc>
          <w:tcPr/>
          <w:p>
            <w:pPr>
              <w:pStyle w:val="Compact"/>
              <w:spacing w:before="20" w:after="20" w:line="240" w:lineRule="auto"/>
              <w:ind w:firstLine="0"/>
              <w:jc w:val="left"/>
            </w:pPr>
            <w:r>
              <w:rPr>
                <w:rFonts w:ascii="Times New Roman" w:hAnsi="Times New Roman"/>
                <w:sz w:val="17"/>
              </w:rPr>
              <w:t xml:space="preserve">-0.003 [-0.019, +0.013]</w:t>
            </w:r>
          </w:p>
        </w:tc>
        <w:tc>
          <w:tcPr/>
          <w:p>
            <w:pPr>
              <w:pStyle w:val="Compact"/>
              <w:spacing w:before="20" w:after="20" w:line="240" w:lineRule="auto"/>
              <w:ind w:firstLine="0"/>
              <w:jc w:val="left"/>
            </w:pPr>
            <w:r>
              <w:rPr>
                <w:rFonts w:ascii="Times New Roman" w:hAnsi="Times New Roman"/>
                <w:sz w:val="17"/>
              </w:rPr>
              <w:t xml:space="preserve">16.36*</w:t>
            </w:r>
          </w:p>
        </w:tc>
        <w:tc>
          <w:tcPr/>
          <w:p>
            <w:pPr>
              <w:pStyle w:val="Compact"/>
              <w:spacing w:before="20" w:after="20" w:line="240" w:lineRule="auto"/>
              <w:ind w:firstLine="0"/>
              <w:jc w:val="left"/>
            </w:pPr>
            <w:r>
              <w:rPr>
                <w:rFonts w:ascii="Times New Roman" w:hAnsi="Times New Roman"/>
                <w:sz w:val="17"/>
              </w:rPr>
              <w:t xml:space="preserve">16.77*</w:t>
            </w:r>
          </w:p>
        </w:tc>
      </w:tr>
    </w:tbl>
    <w:p>
      <w:pPr>
        <w:pStyle w:val="BodyText"/>
        <w:spacing w:line="240" w:lineRule="auto"/>
        <w:ind w:firstLine="0"/>
      </w:pPr>
      <w:r>
        <w:rPr>
          <w:iCs/>
          <w:i/>
        </w:rPr>
        <w:t xml:space="preserve">Table 4. Probability-elicitation design (mean elicited probability over 300 simulated customers, three independent calls per customer). Lift = probability with the email minus probability without it; gap = lift of the men’s email minus lift of the women’s email; intervals are 95% paired bootstrap intervals over customers (real values: normal approximation). RR = risk ratio. * the simulated and the real intervals do not overlap (for RR: the simulated interval excludes the real risk ratio).</w:t>
      </w:r>
    </w:p>
    <w:p>
      <w:pPr>
        <w:pStyle w:val="CaptionedFigure"/>
      </w:pPr>
      <w:r>
        <w:drawing>
          <wp:inline>
            <wp:extent cx="5334000" cy="2029239"/>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47" name="Picture"/>
            <a:graphic>
              <a:graphicData uri="http://schemas.openxmlformats.org/drawingml/2006/picture">
                <pic:pic>
                  <pic:nvPicPr>
                    <pic:cNvPr descr="fig2_lift.png" id="48" name="Picture"/>
                    <pic:cNvPicPr>
                      <a:picLocks noChangeArrowheads="1" noChangeAspect="1"/>
                    </pic:cNvPicPr>
                  </pic:nvPicPr>
                  <pic:blipFill>
                    <a:blip r:embed="rId46"/>
                    <a:stretch>
                      <a:fillRect/>
                    </a:stretch>
                  </pic:blipFill>
                  <pic:spPr bwMode="auto">
                    <a:xfrm>
                      <a:off x="0" y="0"/>
                      <a:ext cx="5334000" cy="2029239"/>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12 probability-elicitation cells, but it is essentially one for GPT-4o-mini with the anchor for visits (1.01 and 1.06; the model answered about 10% regardless of the email), and Llama with the anchor gave a risk ratio below one (0.63) in the yes/no format for visits. Second, the size is unstable. For visits, Llama and Haiku without the anchor give lifts of +0.071 and +0.078, close to the real +0.077, but GPT-4o-mini gives +0.199 and Haiku with the anchor +0.159. Third, the absolute lift in purchase probability is overstated in every setting, by about 4 to 26 times (for example +0.180 for GPT-4o-mini without the anchor, against a real +0.0068). Providing the base rate lowers the no-email purchase probability toward the real 0.57% for Llama and Haiku but leaves the email-arm probability high, so the risk ratio explodes (16 to 45)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lift of +0.071 close to the real value, but a base rate of 0.30 instead of 0.106, and therefore a risk ratio of only 1.24 against the real 1.72. Fourth, the models do not reliably separate the men’s from the women’s email. In reality the men’s email has the larger lift (+0.077 against +0.045 for visits, a gap of +0.031 with interval +0.024 to +0.038). In 10 of the 12 probability-elicitation cells the interval of the simulated gap includes zero; in the other two (GPT-4o-mini with the anchor) the women’s email is rated higher, the opposite of the real result.</w:t>
      </w:r>
    </w:p>
    <w:p>
      <w:pPr>
        <w:pStyle w:val="BodyText"/>
      </w:pPr>
      <w:r>
        <w:t xml:space="preserve">Direct yes/no answers are not usable for rare events. Without an email GPT-4o-mini answered</w:t>
      </w:r>
      <w:r>
        <w:t xml:space="preserve"> </w:t>
      </w:r>
      <w:r>
        <w:t xml:space="preserve">“</w:t>
      </w:r>
      <w:r>
        <w:t xml:space="preserve">No</w:t>
      </w:r>
      <w:r>
        <w:t xml:space="preserve">”</w:t>
      </w:r>
      <w:r>
        <w:t xml:space="preserve"> </w:t>
      </w:r>
      <w:r>
        <w:t xml:space="preserve">for every customer, and with an email about half answered</w:t>
      </w:r>
      <w:r>
        <w:t xml:space="preserve"> </w:t>
      </w:r>
      <w:r>
        <w:t xml:space="preserve">“</w:t>
      </w:r>
      <w:r>
        <w:t xml:space="preserve">Yes</w:t>
      </w:r>
      <w:r>
        <w:t xml:space="preserve">”</w:t>
      </w:r>
      <w:r>
        <w:t xml:space="preserve">, so the risk ratio is undefined; the same happened with Llama and Haiku for purchases in several cells. In absolute terms the yes/no purchase lifts range from +0.14 to +0.55, 21 to 81 times the real lift.</w:t>
      </w:r>
    </w:p>
    <w:bookmarkEnd w:id="49"/>
    <w:bookmarkStart w:id="50" w:name="summary-of-hypotheses"/>
    <w:p>
      <w:pPr>
        <w:pStyle w:val="Heading2"/>
      </w:pPr>
      <w:r>
        <w:t xml:space="preserve">5.7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35 of 36 cells of designs A, B, and C across the two main settings lie below the reference variance-to-mean ratio, and the zero share of designs A and B is below the real value in 23 of 24 cells (the exception: Llama with the anchor answered</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practically every customer). The same holds with real household demographics (ratios 0.00 to 0.39,</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near</w:t>
            </w:r>
            <w:r>
              <w:rPr>
                <w:rFonts w:ascii="Times New Roman" w:hAnsi="Times New Roman"/>
                <w:sz w:val="17"/>
              </w:rPr>
              <w:t xml:space="preserve"> </w:t>
            </w:r>
            <m:oMath>
              <m:r>
                <m:rPr>
                  <m:sty m:val="p"/>
                </m:rPr>
                <m:t>−</m:t>
              </m:r>
              <m:r>
                <m:t>1</m:t>
              </m:r>
              <m:r>
                <m:rPr>
                  <m:sty m:val="p"/>
                </m:rPr>
                <m:t>/</m:t>
              </m:r>
              <m:r>
                <m:t>μ</m:t>
              </m:r>
            </m:oMath>
            <w:r>
              <w:rPr>
                <w:rFonts w:ascii="Times New Roman" w:hAnsi="Times New Roman"/>
                <w:sz w:val="17"/>
              </w:rPr>
              <w:t xml:space="preserve">).</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Supported. In the low-mean setting all six cells stay below the ceiling of 2.10; in the high-mean settings the anchored cells (and, with demographic personas, five of six cells) reach the ceiling. Zero shares are too low where the real zero share is large (0.74 and 0.19) but not where it is small (0.03).</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Supported. It matches dispersion in 7 of 12 cells, but its accuracy follows the model’s mean, which the anchor sometimes worsens.</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(see Section 5.6 for exceptions).</w:t>
            </w:r>
          </w:p>
        </w:tc>
      </w:tr>
      <w:tr>
        <w:tc>
          <w:tcPr/>
          <w:p>
            <w:pPr>
              <w:pStyle w:val="Compact"/>
              <w:spacing w:before="20" w:after="20" w:line="240" w:lineRule="auto"/>
              <w:ind w:firstLine="0"/>
              <w:jc w:val="left"/>
            </w:pPr>
            <w:r>
              <w:rPr>
                <w:rFonts w:ascii="Times New Roman" w:hAnsi="Times New Roman"/>
                <w:sz w:val="17"/>
              </w:rPr>
              <w:t xml:space="preserve">H4b. Absolute lift is overstated with an overstated base rate.</w:t>
            </w:r>
          </w:p>
        </w:tc>
        <w:tc>
          <w:tcPr/>
          <w:p>
            <w:pPr>
              <w:pStyle w:val="Compact"/>
              <w:spacing w:before="20" w:after="20" w:line="240" w:lineRule="auto"/>
              <w:ind w:firstLine="0"/>
              <w:jc w:val="left"/>
            </w:pPr>
            <w:r>
              <w:rPr>
                <w:rFonts w:ascii="Times New Roman" w:hAnsi="Times New Roman"/>
                <w:sz w:val="17"/>
              </w:rPr>
              <w:t xml:space="preserve">Supported for purchases: lifts are 4 to 26 times the real value.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emails is indistinguishable from zero in 10 of 12 cells and has the wrong sign in two.</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-0.11 to +0.10; the demographics themselves explain about 1% of the heterogeneity.</w:t>
            </w:r>
          </w:p>
        </w:tc>
      </w:tr>
    </w:tbl>
    <w:p>
      <w:pPr>
        <w:pStyle w:val="BodyText"/>
        <w:spacing w:line="240" w:lineRule="auto"/>
        <w:ind w:firstLine="0"/>
      </w:pPr>
      <w:r>
        <w:rPr>
          <w:iCs/>
          <w:i/>
        </w:rPr>
        <w:t xml:space="preserve">Table 5. Hypotheses and evidence.</w:t>
      </w:r>
    </w:p>
    <w:bookmarkEnd w:id="50"/>
    <w:bookmarkEnd w:id="51"/>
    <w:bookmarkStart w:id="55" w:name="discussion"/>
    <w:p>
      <w:pPr>
        <w:pStyle w:val="Heading1"/>
      </w:pPr>
      <w:r>
        <w:t xml:space="preserve">6. Discussion</w:t>
      </w:r>
    </w:p>
    <w:bookmarkStart w:id="52" w:name="theoretical-contributions"/>
    <w:p>
      <w:pPr>
        <w:pStyle w:val="Heading2"/>
      </w:pPr>
      <w:r>
        <w:t xml:space="preserve">6.1 Theoretical contributions</w:t>
      </w:r>
    </w:p>
    <w:p>
      <w:pPr>
        <w:pStyle w:val="FirstParagraph"/>
      </w:pPr>
      <w:r>
        <w:t xml:space="preserve">Our results support a simple reading of synthetic purchase data: persona-conditioned LLM simulators compress customer heterogeneity, and the compression has a specific, measurable form. Proposition 1 shows why direct answers cannot be overdispersed in general (they lose Poisson noise and the share of heterogeneity that the persona does not describe), and the data are consistent with it: variance-to-mean ratios of direct answers sit between 0.00 and 0.57 in both settings, whatever the mean. Proposition 2 clarifies what an external heterogeneity term can and cannot do: it restores dispersion, but only the within-persona part, and its accuracy then rests on the model’s mean.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it is determined by how much heterogeneity the persona already carries.</w:t>
      </w:r>
    </w:p>
    <w:p>
      <w:pPr>
        <w:pStyle w:val="BodyText"/>
      </w:pPr>
      <w:r>
        <w:t xml:space="preserve">Two further results extend what is known about LLM-based simulation. First, describing a distribution (Jang et al. 2026, Zhang et al. 2025a) helps more at a high mean than at a low mean, and in the settings where zeros are common it under-produces them. The zero share is the part of a count distribution that decides how many customers a campaign is not reaching, and this is where description fails. Second,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bookmarkEnd w:id="52"/>
    <w:bookmarkStart w:id="53" w:name="implications-for-practice"/>
    <w:p>
      <w:pPr>
        <w:pStyle w:val="Heading2"/>
      </w:pPr>
      <w:r>
        <w:t xml:space="preserve">6.2 Implications for practice</w:t>
      </w:r>
    </w:p>
    <w:p>
      <w:pPr>
        <w:pStyle w:val="FirstParagraph"/>
      </w:pPr>
      <w:r>
        <w:t xml:space="preserve">For managers who consider synthetic customers for decision support, the evidence suggests a short diagnostic protocol.</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and the zero share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mean only,</w:t>
      </w:r>
      <w:r>
        <w:t xml:space="preserve"> </w:t>
      </w:r>
      <w:r>
        <w:t xml:space="preserve">and inject the remaining heterogeneity externally, calibrated according to Proposition 2 on a historical or pilot sample. Verify that the model’s mean is accurate; the hybrid inherits its errors.</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bookmarkEnd w:id="53"/>
    <w:bookmarkStart w:id="54" w:name="limitations-and-future-research"/>
    <w:p>
      <w:pPr>
        <w:pStyle w:val="Heading2"/>
      </w:pPr>
      <w:r>
        <w:t xml:space="preserve">6.3 Limitations and future research</w:t>
      </w:r>
    </w:p>
    <w:p>
      <w:pPr>
        <w:pStyle w:val="FirstParagraph"/>
      </w:pPr>
      <w:r>
        <w:t xml:space="preserve">The evidence is preliminary. We used one random seed, 200 to 600 simulated customers per cell, one prompt wording per design, and three small models, so our intervals capture sampling of customers but not variation across prompts, personas, or seeds. Larger and more recent models may collapse less, and the persistence of overstated purchase lifts there is an open question.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54"/>
    <w:bookmarkEnd w:id="55"/>
    <w:bookmarkStart w:id="56" w:name="conclusion"/>
    <w:p>
      <w:pPr>
        <w:pStyle w:val="Heading1"/>
      </w:pPr>
      <w:r>
        <w:t xml:space="preserve">7. Conclusion</w:t>
      </w:r>
    </w:p>
    <w:p>
      <w:pPr>
        <w:pStyle w:val="FirstParagraph"/>
      </w:pPr>
      <w:r>
        <w:t xml:space="preserve">Synthetic customers built from language models do not yet reproduce the shape of real purchase-count distributions or the size of real promotion effects. Direct and day-by-day designs collapse toward a single value whether the mean is 0.5 or 4.8; describing a distribution repairs part of the damage but loses zeros; and a hybrid that takes only the mean from the model matches the dispersion when that mean is accurate. In a randomized email test the models usually get the sign of the effect right, but the absolute lift in purchase probability is overstated by a large factor and similar treatments are not told apart. Practitioners who use synthetic customers should check dispersion and zero share against their own data, rely on the model for means only, and validate absolute effects before they act on them.</w:t>
      </w:r>
    </w:p>
    <w:bookmarkEnd w:id="56"/>
    <w:bookmarkStart w:id="57"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57"/>
    <w:bookmarkStart w:id="58"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58"/>
    <w:bookmarkStart w:id="59"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13.57*</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0.44</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3.52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1.11*</w:t>
            </w:r>
          </w:p>
        </w:tc>
        <w:tc>
          <w:tcPr/>
          <w:p>
            <w:pPr>
              <w:pStyle w:val="Compact"/>
              <w:spacing w:before="20" w:after="20" w:line="240" w:lineRule="auto"/>
              <w:ind w:firstLine="0"/>
              <w:jc w:val="left"/>
            </w:pPr>
            <w:r>
              <w:rPr>
                <w:rFonts w:ascii="Times New Roman" w:hAnsi="Times New Roman"/>
                <w:sz w:val="17"/>
              </w:rPr>
              <w:t xml:space="preserve">0.68*</w:t>
            </w:r>
          </w:p>
        </w:tc>
        <w:tc>
          <w:tcPr/>
          <w:p>
            <w:pPr>
              <w:pStyle w:val="Compact"/>
              <w:spacing w:before="20" w:after="20" w:line="240" w:lineRule="auto"/>
              <w:ind w:firstLine="0"/>
              <w:jc w:val="left"/>
            </w:pPr>
            <w:r>
              <w:rPr>
                <w:rFonts w:ascii="Times New Roman" w:hAnsi="Times New Roman"/>
                <w:sz w:val="17"/>
              </w:rPr>
              <w:t xml:space="preserve">0.27*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2.22*</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1.91*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3.11*</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1.59*</w:t>
            </w:r>
          </w:p>
        </w:tc>
        <w:tc>
          <w:tcPr/>
          <w:p>
            <w:pPr>
              <w:pStyle w:val="Compact"/>
              <w:spacing w:before="20" w:after="20" w:line="240" w:lineRule="auto"/>
              <w:ind w:firstLine="0"/>
              <w:jc w:val="left"/>
            </w:pPr>
            <w:r>
              <w:rPr>
                <w:rFonts w:ascii="Times New Roman" w:hAnsi="Times New Roman"/>
                <w:sz w:val="17"/>
              </w:rPr>
              <w:t xml:space="preserve">0.46*</w:t>
            </w:r>
          </w:p>
        </w:tc>
        <w:tc>
          <w:tcPr/>
          <w:p>
            <w:pPr>
              <w:pStyle w:val="Compact"/>
              <w:spacing w:before="20" w:after="20" w:line="240" w:lineRule="auto"/>
              <w:ind w:firstLine="0"/>
              <w:jc w:val="left"/>
            </w:pPr>
            <w:r>
              <w:rPr>
                <w:rFonts w:ascii="Times New Roman" w:hAnsi="Times New Roman"/>
                <w:sz w:val="17"/>
              </w:rPr>
              <w:t xml:space="preserve">0.60*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1.95*</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2.34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1.26*</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3.36*</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0.83*</w:t>
            </w:r>
          </w:p>
        </w:tc>
        <w:tc>
          <w:tcPr/>
          <w:p>
            <w:pPr>
              <w:pStyle w:val="Compact"/>
              <w:spacing w:before="20" w:after="20" w:line="240" w:lineRule="auto"/>
              <w:ind w:firstLine="0"/>
              <w:jc w:val="left"/>
            </w:pPr>
            <w:r>
              <w:rPr>
                <w:rFonts w:ascii="Times New Roman" w:hAnsi="Times New Roman"/>
                <w:sz w:val="17"/>
              </w:rPr>
              <w:t xml:space="preserve">1.54*</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2.59</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2.67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1.28*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2.21</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2.42</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5.21</w:t>
            </w:r>
          </w:p>
        </w:tc>
        <w:tc>
          <w:tcPr/>
          <w:p>
            <w:pPr>
              <w:pStyle w:val="Compact"/>
              <w:spacing w:before="20" w:after="20" w:line="240" w:lineRule="auto"/>
              <w:ind w:firstLine="0"/>
              <w:jc w:val="left"/>
            </w:pPr>
            <w:r>
              <w:rPr>
                <w:rFonts w:ascii="Times New Roman" w:hAnsi="Times New Roman"/>
                <w:sz w:val="17"/>
              </w:rPr>
              <w:t xml:space="preserve">4.05*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0.58*</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5.80*</w:t>
            </w:r>
          </w:p>
        </w:tc>
        <w:tc>
          <w:tcPr/>
          <w:p>
            <w:pPr>
              <w:pStyle w:val="Compact"/>
              <w:spacing w:before="20" w:after="20" w:line="240" w:lineRule="auto"/>
              <w:ind w:firstLine="0"/>
              <w:jc w:val="left"/>
            </w:pPr>
            <w:r>
              <w:rPr>
                <w:rFonts w:ascii="Times New Roman" w:hAnsi="Times New Roman"/>
                <w:sz w:val="17"/>
              </w:rPr>
              <w:t xml:space="preserve">8.70</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5.27</w:t>
            </w:r>
          </w:p>
        </w:tc>
        <w:tc>
          <w:tcPr/>
          <w:p>
            <w:pPr>
              <w:pStyle w:val="Compact"/>
              <w:spacing w:before="20" w:after="20" w:line="240" w:lineRule="auto"/>
              <w:ind w:firstLine="0"/>
              <w:jc w:val="left"/>
            </w:pPr>
            <w:r>
              <w:rPr>
                <w:rFonts w:ascii="Times New Roman" w:hAnsi="Times New Roman"/>
                <w:sz w:val="17"/>
              </w:rPr>
              <w:t xml:space="preserve">5.44*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4.62</w:t>
            </w:r>
          </w:p>
        </w:tc>
        <w:tc>
          <w:tcPr/>
          <w:p>
            <w:pPr>
              <w:pStyle w:val="Compact"/>
              <w:spacing w:before="20" w:after="20" w:line="240" w:lineRule="auto"/>
              <w:ind w:firstLine="0"/>
              <w:jc w:val="left"/>
            </w:pPr>
            <w:r>
              <w:rPr>
                <w:rFonts w:ascii="Times New Roman" w:hAnsi="Times New Roman"/>
                <w:sz w:val="17"/>
              </w:rPr>
              <w:t xml:space="preserve">9.66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1.88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9.98*</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6.96*</w:t>
            </w:r>
          </w:p>
        </w:tc>
        <w:tc>
          <w:tcPr/>
          <w:p>
            <w:pPr>
              <w:pStyle w:val="Compact"/>
              <w:spacing w:before="20" w:after="20" w:line="240" w:lineRule="auto"/>
              <w:ind w:firstLine="0"/>
              <w:jc w:val="left"/>
            </w:pPr>
            <w:r>
              <w:rPr>
                <w:rFonts w:ascii="Times New Roman" w:hAnsi="Times New Roman"/>
                <w:sz w:val="17"/>
              </w:rPr>
              <w:t xml:space="preserve">4.47*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5.34</w:t>
            </w:r>
          </w:p>
        </w:tc>
        <w:tc>
          <w:tcPr/>
          <w:p>
            <w:pPr>
              <w:pStyle w:val="Compact"/>
              <w:spacing w:before="20" w:after="20" w:line="240" w:lineRule="auto"/>
              <w:ind w:firstLine="0"/>
              <w:jc w:val="left"/>
            </w:pPr>
            <w:r>
              <w:rPr>
                <w:rFonts w:ascii="Times New Roman" w:hAnsi="Times New Roman"/>
                <w:sz w:val="17"/>
              </w:rPr>
              <w:t xml:space="preserve">8.97</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1.49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3.69*</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7.11*</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5.96*</w:t>
            </w:r>
          </w:p>
        </w:tc>
        <w:tc>
          <w:tcPr/>
          <w:p>
            <w:pPr>
              <w:pStyle w:val="Compact"/>
              <w:spacing w:before="20" w:after="20" w:line="240" w:lineRule="auto"/>
              <w:ind w:firstLine="0"/>
              <w:jc w:val="left"/>
            </w:pPr>
            <w:r>
              <w:rPr>
                <w:rFonts w:ascii="Times New Roman" w:hAnsi="Times New Roman"/>
                <w:sz w:val="17"/>
              </w:rPr>
              <w:t xml:space="preserve">5.77*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3.83*</w:t>
            </w:r>
          </w:p>
        </w:tc>
        <w:tc>
          <w:tcPr/>
          <w:p>
            <w:pPr>
              <w:pStyle w:val="Compact"/>
              <w:spacing w:before="20" w:after="20" w:line="240" w:lineRule="auto"/>
              <w:ind w:firstLine="0"/>
              <w:jc w:val="left"/>
            </w:pPr>
            <w:r>
              <w:rPr>
                <w:rFonts w:ascii="Times New Roman" w:hAnsi="Times New Roman"/>
                <w:sz w:val="17"/>
              </w:rPr>
              <w:t xml:space="preserve">3.95*</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7.78*</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10.02*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6.01*</w:t>
            </w:r>
          </w:p>
        </w:tc>
        <w:tc>
          <w:tcPr/>
          <w:p>
            <w:pPr>
              <w:pStyle w:val="Compact"/>
              <w:spacing w:before="20" w:after="20" w:line="240" w:lineRule="auto"/>
              <w:ind w:firstLine="0"/>
              <w:jc w:val="left"/>
            </w:pPr>
            <w:r>
              <w:rPr>
                <w:rFonts w:ascii="Times New Roman" w:hAnsi="Times New Roman"/>
                <w:sz w:val="17"/>
              </w:rPr>
              <w:t xml:space="preserve">4.38*</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4.29</w:t>
            </w:r>
          </w:p>
        </w:tc>
        <w:tc>
          <w:tcPr/>
          <w:p>
            <w:pPr>
              <w:pStyle w:val="Compact"/>
              <w:spacing w:before="20" w:after="20" w:line="240" w:lineRule="auto"/>
              <w:ind w:firstLine="0"/>
              <w:jc w:val="left"/>
            </w:pPr>
            <w:r>
              <w:rPr>
                <w:rFonts w:ascii="Times New Roman" w:hAnsi="Times New Roman"/>
                <w:sz w:val="17"/>
              </w:rPr>
              <w:t xml:space="preserve">7.99</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9.61*</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5.50</w:t>
            </w:r>
          </w:p>
        </w:tc>
        <w:tc>
          <w:tcPr/>
          <w:p>
            <w:pPr>
              <w:pStyle w:val="Compact"/>
              <w:spacing w:before="20" w:after="20" w:line="240" w:lineRule="auto"/>
              <w:ind w:firstLine="0"/>
              <w:jc w:val="left"/>
            </w:pPr>
            <w:r>
              <w:rPr>
                <w:rFonts w:ascii="Times New Roman" w:hAnsi="Times New Roman"/>
                <w:sz w:val="17"/>
              </w:rPr>
              <w:t xml:space="preserve">6.28</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2.94*</w:t>
            </w:r>
          </w:p>
        </w:tc>
        <w:tc>
          <w:tcPr/>
          <w:p>
            <w:pPr>
              <w:pStyle w:val="Compact"/>
              <w:spacing w:before="20" w:after="20" w:line="240" w:lineRule="auto"/>
              <w:ind w:firstLine="0"/>
              <w:jc w:val="left"/>
            </w:pPr>
            <w:r>
              <w:rPr>
                <w:rFonts w:ascii="Times New Roman" w:hAnsi="Times New Roman"/>
                <w:sz w:val="17"/>
              </w:rPr>
              <w:t xml:space="preserve">5.67*</w:t>
            </w:r>
          </w:p>
        </w:tc>
        <w:tc>
          <w:tcPr/>
          <w:p>
            <w:pPr>
              <w:pStyle w:val="Compact"/>
              <w:spacing w:before="20" w:after="20" w:line="240" w:lineRule="auto"/>
              <w:ind w:firstLine="0"/>
              <w:jc w:val="left"/>
            </w:pPr>
            <w:r>
              <w:rPr>
                <w:rFonts w:ascii="Times New Roman" w:hAnsi="Times New Roman"/>
                <w:sz w:val="17"/>
              </w:rPr>
              <w:t xml:space="preserve">0.31*</w:t>
            </w:r>
          </w:p>
        </w:tc>
        <w:tc>
          <w:tcPr/>
          <w:p>
            <w:pPr>
              <w:pStyle w:val="Compact"/>
              <w:spacing w:before="20" w:after="20" w:line="240" w:lineRule="auto"/>
              <w:ind w:firstLine="0"/>
              <w:jc w:val="left"/>
            </w:pPr>
            <w:r>
              <w:rPr>
                <w:rFonts w:ascii="Times New Roman" w:hAnsi="Times New Roman"/>
                <w:sz w:val="17"/>
              </w:rPr>
              <w:t xml:space="preserve">1.58</w:t>
            </w:r>
          </w:p>
        </w:tc>
      </w:tr>
    </w:tbl>
    <w:p>
      <w:pPr>
        <w:pStyle w:val="BodyText"/>
        <w:spacing w:line="240" w:lineRule="auto"/>
        <w:ind w:firstLine="0"/>
      </w:pPr>
      <w:r>
        <w:rPr>
          <w:iCs/>
          <w:i/>
        </w:rPr>
        <w:t xml:space="preserve">Table B2. High-mean setting, 200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4.44*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6.28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0.82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6.23*</w:t>
            </w:r>
          </w:p>
        </w:tc>
        <w:tc>
          <w:tcPr/>
          <w:p>
            <w:pPr>
              <w:pStyle w:val="Compact"/>
              <w:spacing w:before="20" w:after="20" w:line="240" w:lineRule="auto"/>
              <w:ind w:firstLine="0"/>
              <w:jc w:val="left"/>
            </w:pPr>
            <w:r>
              <w:rPr>
                <w:rFonts w:ascii="Times New Roman" w:hAnsi="Times New Roman"/>
                <w:sz w:val="17"/>
              </w:rPr>
              <w:t xml:space="preserve">4.17*</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7.04</w:t>
            </w:r>
          </w:p>
        </w:tc>
        <w:tc>
          <w:tcPr/>
          <w:p>
            <w:pPr>
              <w:pStyle w:val="Compact"/>
              <w:spacing w:before="20" w:after="20" w:line="240" w:lineRule="auto"/>
              <w:ind w:firstLine="0"/>
              <w:jc w:val="left"/>
            </w:pPr>
            <w:r>
              <w:rPr>
                <w:rFonts w:ascii="Times New Roman" w:hAnsi="Times New Roman"/>
                <w:sz w:val="17"/>
              </w:rPr>
              <w:t xml:space="preserve">6.19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9.27*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6.24*</w:t>
            </w:r>
          </w:p>
        </w:tc>
        <w:tc>
          <w:tcPr/>
          <w:p>
            <w:pPr>
              <w:pStyle w:val="Compact"/>
              <w:spacing w:before="20" w:after="20" w:line="240" w:lineRule="auto"/>
              <w:ind w:firstLine="0"/>
              <w:jc w:val="left"/>
            </w:pPr>
            <w:r>
              <w:rPr>
                <w:rFonts w:ascii="Times New Roman" w:hAnsi="Times New Roman"/>
                <w:sz w:val="17"/>
              </w:rPr>
              <w:t xml:space="preserve">3.70*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4.73*</w:t>
            </w:r>
          </w:p>
        </w:tc>
        <w:tc>
          <w:tcPr/>
          <w:p>
            <w:pPr>
              <w:pStyle w:val="Compact"/>
              <w:spacing w:before="20" w:after="20" w:line="240" w:lineRule="auto"/>
              <w:ind w:firstLine="0"/>
              <w:jc w:val="left"/>
            </w:pPr>
            <w:r>
              <w:rPr>
                <w:rFonts w:ascii="Times New Roman" w:hAnsi="Times New Roman"/>
                <w:sz w:val="17"/>
              </w:rPr>
              <w:t xml:space="preserve">5.21</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6.09*</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8.20*</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6.82*</w:t>
            </w:r>
          </w:p>
        </w:tc>
        <w:tc>
          <w:tcPr/>
          <w:p>
            <w:pPr>
              <w:pStyle w:val="Compact"/>
              <w:spacing w:before="20" w:after="20" w:line="240" w:lineRule="auto"/>
              <w:ind w:firstLine="0"/>
              <w:jc w:val="left"/>
            </w:pPr>
            <w:r>
              <w:rPr>
                <w:rFonts w:ascii="Times New Roman" w:hAnsi="Times New Roman"/>
                <w:sz w:val="17"/>
              </w:rPr>
              <w:t xml:space="preserve">4.97*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6.08*</w:t>
            </w:r>
          </w:p>
        </w:tc>
        <w:tc>
          <w:tcPr/>
          <w:p>
            <w:pPr>
              <w:pStyle w:val="Compact"/>
              <w:spacing w:before="20" w:after="20" w:line="240" w:lineRule="auto"/>
              <w:ind w:firstLine="0"/>
              <w:jc w:val="left"/>
            </w:pPr>
            <w:r>
              <w:rPr>
                <w:rFonts w:ascii="Times New Roman" w:hAnsi="Times New Roman"/>
                <w:sz w:val="17"/>
              </w:rPr>
              <w:t xml:space="preserve">6.86</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0.96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11.84*</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6.22*</w:t>
            </w:r>
          </w:p>
        </w:tc>
        <w:tc>
          <w:tcPr/>
          <w:p>
            <w:pPr>
              <w:pStyle w:val="Compact"/>
              <w:spacing w:before="20" w:after="20" w:line="240" w:lineRule="auto"/>
              <w:ind w:firstLine="0"/>
              <w:jc w:val="left"/>
            </w:pPr>
            <w:r>
              <w:rPr>
                <w:rFonts w:ascii="Times New Roman" w:hAnsi="Times New Roman"/>
                <w:sz w:val="17"/>
              </w:rPr>
              <w:t xml:space="preserve">3.80*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5.03*</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1.01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7.22*</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11.14*</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6.92*</w:t>
            </w:r>
          </w:p>
        </w:tc>
        <w:tc>
          <w:tcPr/>
          <w:p>
            <w:pPr>
              <w:pStyle w:val="Compact"/>
              <w:spacing w:before="20" w:after="20" w:line="240" w:lineRule="auto"/>
              <w:ind w:firstLine="0"/>
              <w:jc w:val="left"/>
            </w:pPr>
            <w:r>
              <w:rPr>
                <w:rFonts w:ascii="Times New Roman" w:hAnsi="Times New Roman"/>
                <w:sz w:val="17"/>
              </w:rPr>
              <w:t xml:space="preserve">5.05*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5.47*</w:t>
            </w:r>
          </w:p>
        </w:tc>
        <w:tc>
          <w:tcPr/>
          <w:p>
            <w:pPr>
              <w:pStyle w:val="Compact"/>
              <w:spacing w:before="20" w:after="20" w:line="240" w:lineRule="auto"/>
              <w:ind w:firstLine="0"/>
              <w:jc w:val="left"/>
            </w:pPr>
            <w:r>
              <w:rPr>
                <w:rFonts w:ascii="Times New Roman" w:hAnsi="Times New Roman"/>
                <w:sz w:val="17"/>
              </w:rPr>
              <w:t xml:space="preserve">7.26</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1.14</w:t>
            </w:r>
          </w:p>
        </w:tc>
      </w:tr>
    </w:tbl>
    <w:p>
      <w:pPr>
        <w:pStyle w:val="BodyText"/>
        <w:spacing w:line="240" w:lineRule="auto"/>
        <w:ind w:firstLine="0"/>
      </w:pPr>
      <w:r>
        <w:rPr>
          <w:iCs/>
          <w:i/>
        </w:rPr>
        <w:t xml:space="preserve">Table B3. Persona experiment with real household demographics, 200 households per cell. Reference row: real distribution of the 801 households (10,413 household-windows). * the 95% bootstrap interval excludes the reference value.</w:t>
      </w:r>
    </w:p>
    <w:bookmarkEnd w:id="59"/>
    <w:bookmarkStart w:id="60"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8" Type="http://schemas.openxmlformats.org/officeDocument/2006/relationships/image" Target="media/rId38.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2026-10-16T23:44:36Z</dcterms:created>
  <dcterms:modified xsi:type="dcterms:W3CDTF">2026-10-16T23:44:36Z</dcterms:modified>
</cp:coreProperties>
</file>

<file path=docProps/custom.xml><?xml version="1.0" encoding="utf-8"?>
<Properties xmlns="http://schemas.openxmlformats.org/officeDocument/2006/custom-properties" xmlns:vt="http://schemas.openxmlformats.org/officeDocument/2006/docPropsVTypes"/>
</file>