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We offer a diagnostic protocol for practitioners who consider synthetic customers for decision support.</w:t>
      </w:r>
    </w:p>
    <w:p>
      <w:pPr>
        <w:pStyle w:val="BodyText"/>
      </w:pPr>
      <w:r>
        <w:rPr>
          <w:bCs/>
          <w:b/>
        </w:rPr>
        <w:t xml:space="preserve">Keywords:</w:t>
      </w:r>
      <w:r>
        <w:t xml:space="preserve"> </w:t>
      </w:r>
      <w:r>
        <w:t xml:space="preserve">synthetic customers, large language models, purchase counts, overdispersion, customer heterogeneity, decision support,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four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translate these findings into a diagnostic protocol for practitioners.</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5"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research-gap"/>
    <w:p>
      <w:pPr>
        <w:pStyle w:val="Heading2"/>
      </w:pPr>
      <w:r>
        <w:t xml:space="preserve">2.4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4"/>
    <w:bookmarkEnd w:id="25"/>
    <w:bookmarkStart w:id="32" w:name="theoretical-framework-and-hypotheses"/>
    <w:p>
      <w:pPr>
        <w:pStyle w:val="Heading1"/>
      </w:pPr>
      <w:r>
        <w:t xml:space="preserve">3. Theoretical Framework and Hypotheses</w:t>
      </w:r>
    </w:p>
    <w:bookmarkStart w:id="26"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6"/>
    <w:bookmarkStart w:id="27"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7"/>
    <w:bookmarkStart w:id="28"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8"/>
    <w:bookmarkStart w:id="29"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29"/>
    <w:bookmarkStart w:id="30"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0"/>
    <w:bookmarkStart w:id="31"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1"/>
    <w:bookmarkEnd w:id="32"/>
    <w:bookmarkStart w:id="37" w:name="research-design"/>
    <w:p>
      <w:pPr>
        <w:pStyle w:val="Heading1"/>
      </w:pPr>
      <w:r>
        <w:t xml:space="preserve">4. Research Design</w:t>
      </w:r>
    </w:p>
    <w:bookmarkStart w:id="33"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3"/>
    <w:bookmarkStart w:id="34"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4"/>
    <w:bookmarkStart w:id="35"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The first three models (GPT-4o-mini, Llama-3.3-70B, and Haiku 5.5) were run on three random seeds, that is, on three independent samples of customers; the five newer models were run on one seed. In the low-mean setting GPT-4o-mini and Llama were run at temperatures 0.3, 0.7, and 1.0 in the first seed and at 0.7 in the two further seeds, giving 1,000 customers per cell; Haiku 5.5 contributes 600 (three seeds of 200), and the other five models 200. In the two high-mean settings the temperature was fixed at 0.7, with 600 customers per cell for the three models run on three seeds and 200 for the others. In the email experiment each seed uses 300 customers (900 for the three models run on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5"/>
    <w:bookmarkStart w:id="36"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6"/>
    <w:bookmarkEnd w:id="37"/>
    <w:bookmarkStart w:id="51" w:name="results"/>
    <w:p>
      <w:pPr>
        <w:pStyle w:val="Heading1"/>
      </w:pPr>
      <w:r>
        <w:t xml:space="preserve">5. Results</w:t>
      </w:r>
    </w:p>
    <w:bookmarkStart w:id="41"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2.15</w:t>
            </w:r>
          </w:p>
        </w:tc>
        <w:tc>
          <w:tcPr/>
          <w:p>
            <w:pPr>
              <w:pStyle w:val="Compact"/>
              <w:spacing w:before="20" w:after="20" w:line="240" w:lineRule="auto"/>
              <w:ind w:firstLine="0"/>
              <w:jc w:val="left"/>
            </w:pPr>
            <w:r>
              <w:rPr>
                <w:rFonts w:ascii="Times New Roman" w:hAnsi="Times New Roman"/>
                <w:sz w:val="17"/>
              </w:rPr>
              <w:t xml:space="preserve">0.00 to 18.37</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8.06</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2.96</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-0.67 to 0.63</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0.95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-0.10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 to 0.93</w:t>
            </w:r>
          </w:p>
        </w:tc>
        <w:tc>
          <w:tcPr/>
          <w:p>
            <w:pPr>
              <w:pStyle w:val="Compact"/>
              <w:spacing w:before="20" w:after="20" w:line="240" w:lineRule="auto"/>
              <w:ind w:firstLine="0"/>
              <w:jc w:val="left"/>
            </w:pPr>
            <w:r>
              <w:rPr>
                <w:rFonts w:ascii="Times New Roman" w:hAnsi="Times New Roman"/>
                <w:sz w:val="17"/>
              </w:rPr>
              <w:t xml:space="preserve">1.46 to 3.38</w:t>
            </w:r>
          </w:p>
        </w:tc>
        <w:tc>
          <w:tcPr/>
          <w:p>
            <w:pPr>
              <w:pStyle w:val="Compact"/>
              <w:spacing w:before="20" w:after="20" w:line="240" w:lineRule="auto"/>
              <w:ind w:firstLine="0"/>
              <w:jc w:val="left"/>
            </w:pPr>
            <w:r>
              <w:rPr>
                <w:rFonts w:ascii="Times New Roman" w:hAnsi="Times New Roman"/>
                <w:sz w:val="17"/>
              </w:rPr>
              <w:t xml:space="preserve">0.63 to 0.80</w:t>
            </w:r>
          </w:p>
        </w:tc>
        <w:tc>
          <w:tcPr/>
          <w:p>
            <w:pPr>
              <w:pStyle w:val="Compact"/>
              <w:spacing w:before="20" w:after="20" w:line="240" w:lineRule="auto"/>
              <w:ind w:firstLine="0"/>
              <w:jc w:val="left"/>
            </w:pPr>
            <w:r>
              <w:rPr>
                <w:rFonts w:ascii="Times New Roman" w:hAnsi="Times New Roman"/>
                <w:sz w:val="17"/>
              </w:rPr>
              <w:t xml:space="preserve">1.67 to 4.06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11.82</w:t>
            </w:r>
          </w:p>
        </w:tc>
        <w:tc>
          <w:tcPr/>
          <w:p>
            <w:pPr>
              <w:pStyle w:val="Compact"/>
              <w:spacing w:before="20" w:after="20" w:line="240" w:lineRule="auto"/>
              <w:ind w:firstLine="0"/>
              <w:jc w:val="left"/>
            </w:pPr>
            <w:r>
              <w:rPr>
                <w:rFonts w:ascii="Times New Roman" w:hAnsi="Times New Roman"/>
                <w:sz w:val="17"/>
              </w:rPr>
              <w:t xml:space="preserve">0.00 to 2.38</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 to 16.65</w:t>
            </w:r>
          </w:p>
        </w:tc>
        <w:tc>
          <w:tcPr/>
          <w:p>
            <w:pPr>
              <w:pStyle w:val="Compact"/>
              <w:spacing w:before="20" w:after="20" w:line="240" w:lineRule="auto"/>
              <w:ind w:firstLine="0"/>
              <w:jc w:val="left"/>
            </w:pPr>
            <w:r>
              <w:rPr>
                <w:rFonts w:ascii="Times New Roman" w:hAnsi="Times New Roman"/>
                <w:sz w:val="17"/>
              </w:rPr>
              <w:t xml:space="preserve">0.04 to 0.40</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-0.19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 to 7.79</w:t>
            </w:r>
          </w:p>
        </w:tc>
        <w:tc>
          <w:tcPr/>
          <w:p>
            <w:pPr>
              <w:pStyle w:val="Compact"/>
              <w:spacing w:before="20" w:after="20" w:line="240" w:lineRule="auto"/>
              <w:ind w:firstLine="0"/>
              <w:jc w:val="left"/>
            </w:pPr>
            <w:r>
              <w:rPr>
                <w:rFonts w:ascii="Times New Roman" w:hAnsi="Times New Roman"/>
                <w:sz w:val="17"/>
              </w:rPr>
              <w:t xml:space="preserve">3.18 to 6.44</w:t>
            </w:r>
          </w:p>
        </w:tc>
        <w:tc>
          <w:tcPr/>
          <w:p>
            <w:pPr>
              <w:pStyle w:val="Compact"/>
              <w:spacing w:before="20" w:after="20" w:line="240" w:lineRule="auto"/>
              <w:ind w:firstLine="0"/>
              <w:jc w:val="left"/>
            </w:pPr>
            <w:r>
              <w:rPr>
                <w:rFonts w:ascii="Times New Roman" w:hAnsi="Times New Roman"/>
                <w:sz w:val="17"/>
              </w:rPr>
              <w:t xml:space="preserve">0.01 to 0.14</w:t>
            </w:r>
          </w:p>
        </w:tc>
        <w:tc>
          <w:tcPr/>
          <w:p>
            <w:pPr>
              <w:pStyle w:val="Compact"/>
              <w:spacing w:before="20" w:after="20" w:line="240" w:lineRule="auto"/>
              <w:ind w:firstLine="0"/>
              <w:jc w:val="left"/>
            </w:pPr>
            <w:r>
              <w:rPr>
                <w:rFonts w:ascii="Times New Roman" w:hAnsi="Times New Roman"/>
                <w:sz w:val="17"/>
              </w:rPr>
              <w:t xml:space="preserve">0.40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 to 7.87</w:t>
            </w:r>
          </w:p>
        </w:tc>
        <w:tc>
          <w:tcPr/>
          <w:p>
            <w:pPr>
              <w:pStyle w:val="Compact"/>
              <w:spacing w:before="20" w:after="20" w:line="240" w:lineRule="auto"/>
              <w:ind w:firstLine="0"/>
              <w:jc w:val="left"/>
            </w:pPr>
            <w:r>
              <w:rPr>
                <w:rFonts w:ascii="Times New Roman" w:hAnsi="Times New Roman"/>
                <w:sz w:val="17"/>
              </w:rPr>
              <w:t xml:space="preserve">5.84 to 13.01</w:t>
            </w:r>
          </w:p>
        </w:tc>
        <w:tc>
          <w:tcPr/>
          <w:p>
            <w:pPr>
              <w:pStyle w:val="Compact"/>
              <w:spacing w:before="20" w:after="20" w:line="240" w:lineRule="auto"/>
              <w:ind w:firstLine="0"/>
              <w:jc w:val="left"/>
            </w:pPr>
            <w:r>
              <w:rPr>
                <w:rFonts w:ascii="Times New Roman" w:hAnsi="Times New Roman"/>
                <w:sz w:val="17"/>
              </w:rPr>
              <w:t xml:space="preserve">0.09 to 0.28</w:t>
            </w:r>
          </w:p>
        </w:tc>
        <w:tc>
          <w:tcPr/>
          <w:p>
            <w:pPr>
              <w:pStyle w:val="Compact"/>
              <w:spacing w:before="20" w:after="20" w:line="240" w:lineRule="auto"/>
              <w:ind w:firstLine="0"/>
              <w:jc w:val="left"/>
            </w:pPr>
            <w:r>
              <w:rPr>
                <w:rFonts w:ascii="Times New Roman" w:hAnsi="Times New Roman"/>
                <w:sz w:val="17"/>
              </w:rPr>
              <w:t xml:space="preserve">0.95 to 2.11</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39" name="Picture"/>
            <a:graphic>
              <a:graphicData uri="http://schemas.openxmlformats.org/drawingml/2006/picture">
                <pic:pic>
                  <pic:nvPicPr>
                    <pic:cNvPr descr="fig1_dispersion.png" id="40" name="Picture"/>
                    <pic:cNvPicPr>
                      <a:picLocks noChangeArrowheads="1" noChangeAspect="1"/>
                    </pic:cNvPicPr>
                  </pic:nvPicPr>
                  <pic:blipFill>
                    <a:blip r:embed="rId38"/>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1"/>
    <w:bookmarkStart w:id="42"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18.4 (interval 3.0 to 30.6), because a few customers receive very large counts alongside many zeros (mean 2.15, zero share 0.55); and Sonnet 5 without the anchor gives daily simulations with a ratio of 2.96 (2.58 to 3.34). Elsewhere direct answers are the most compressed, with ratios of at most 0.86 in 12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With the anchor, five cells in all (those three, and Sonnet 5 and GPT-5.6-terra for daily simulation) return</w:t>
      </w:r>
      <w:r>
        <w:t xml:space="preserve"> </w:t>
      </w:r>
      <w:r>
        <w:t xml:space="preserve">“</w:t>
      </w:r>
      <w:r>
        <w:t xml:space="preserve">0</w:t>
      </w:r>
      <w:r>
        <w:t xml:space="preserve">”</w:t>
      </w:r>
      <w:r>
        <w:t xml:space="preserve"> </w:t>
      </w:r>
      <w:r>
        <w:t xml:space="preserve">for 97%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0.95 to 1.61, below its own ceiling of 2.10 in all 16 cells, and its zero share is too low (0.32 to 0.71, against 0.74) in every cell.</w:t>
      </w:r>
    </w:p>
    <w:p>
      <w:pPr>
        <w:pStyle w:val="BodyText"/>
      </w:pPr>
      <w:r>
        <w:t xml:space="preserve">The hybrid matches the reference ratio in 7 of 16 cells, the mean in 8, the zero share in 13, and</w:t>
      </w:r>
      <w:r>
        <w:t xml:space="preserve"> </w:t>
      </w:r>
      <m:oMath>
        <m:r>
          <m:t>α</m:t>
        </m:r>
      </m:oMath>
      <w:r>
        <w:t xml:space="preserve"> </w:t>
      </w:r>
      <w:r>
        <w:t xml:space="preserve">in 14; all four in 5 cells (DeepSeek-V4-Pro in both prompt variants, and Gemini 3.1 Flash-Lite, Mistral Large 4, and GPT-5.6-terra with the anchor).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2"/>
    <w:bookmarkStart w:id="43" w:name="high-mean-setting"/>
    <w:p>
      <w:pPr>
        <w:pStyle w:val="Heading2"/>
      </w:pPr>
      <w:r>
        <w:t xml:space="preserve">5.3 High-mean setting</w:t>
      </w:r>
    </w:p>
    <w:p>
      <w:pPr>
        <w:pStyle w:val="FirstParagraph"/>
      </w:pPr>
      <w:r>
        <w:t xml:space="preserve">A higher mean does not relieve the collapse of direct answers (Table B2, Figure 1b). In 15 of 16 cells the variance-to-mean ratio of design A lies between 0.00 and 0.76, against a reference of 7.85. The exception is Mistral Large 4 without the anchor, whose direct answers have real spread (ratio 2.38, interval 1.82 to 3.02,</w:t>
      </w:r>
      <w:r>
        <w:t xml:space="preserve"> </w:t>
      </w:r>
      <m:oMath>
        <m:r>
          <m:t>α</m:t>
        </m:r>
        <m:r>
          <m:rPr>
            <m:sty m:val="p"/>
          </m:rPr>
          <m:t>=</m:t>
        </m:r>
        <m:r>
          <m:rPr>
            <m:sty m:val="p"/>
          </m:rPr>
          <m:t>+</m:t>
        </m:r>
        <m:r>
          <m:t>0.16</m:t>
        </m:r>
      </m:oMath>
      <w:r>
        <w:t xml:space="preserve">) but still carry only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5.20), so that the answer carries little persona information. Daily simulation again misses the mean (4.45 to 16.65 trips against 4.84) and has almost no dispersion (ratios of 0.04 to 0.40, zero share of at most 0.01). In all 48 cells of designs A, B, and C the variance-to-mean interval lies entirely below the reference.</w:t>
      </w:r>
    </w:p>
    <w:p>
      <w:pPr>
        <w:pStyle w:val="BodyText"/>
      </w:pPr>
      <w:r>
        <w:t xml:space="preserve">Describing a distribution reaches ratios of 3.18 to 6.44. Its intervals contain the ceiling of 6.61 in only 4 of 16 cells (4 of the 8 anchored cells), so the impression from the first three models that the anchor lets design C reach the ceiling does not generalize. Its weak point is the zero share: 0.01 to 0.14 against the real 0.19, below the reference in every cell. The hybrid matches the reference ratio in 15 of 16 cells, the mean in 7, the zero share in 8, and all four of mean, ratio, zero share, and</w:t>
      </w:r>
      <w:r>
        <w:t xml:space="preserve"> </w:t>
      </w:r>
      <m:oMath>
        <m:r>
          <m:t>α</m:t>
        </m:r>
      </m:oMath>
      <w:r>
        <w:t xml:space="preserve"> </w:t>
      </w:r>
      <w:r>
        <w:t xml:space="preserve">in 5: Haiku 5.5 without the anchor, GPT-4o-mini with it, Sonnet 5 in both variants, and Gemini 3.1 Flash-Lite with it. The remaining cells fail because the model’s mean is wrong, for example 3.09 for Mistral Large 4 with the anchor and 7.87 for DeepSeek-V4-Pro without it.</w:t>
      </w:r>
    </w:p>
    <w:bookmarkEnd w:id="43"/>
    <w:bookmarkStart w:id="44"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12 of 16 direct-answer cells have variance-to-mean ratios of at most 0.86, three more are cells in which nearly every answer was</w:t>
      </w:r>
      <w:r>
        <w:t xml:space="preserve"> </w:t>
      </w:r>
      <w:r>
        <w:t xml:space="preserve">“</w:t>
      </w:r>
      <w:r>
        <w:t xml:space="preserve">0</w:t>
      </w:r>
      <w:r>
        <w:t xml:space="preserve">”</w:t>
      </w:r>
      <w:r>
        <w:t xml:space="preserve">, and one (DeepSeek-V4-Pro without the anchor) is overdispersed; at a mean of 4.8 the ratio is at most 0.76 in 15 of 16 cells, and at a mean of 7.8 it is at most 1.32.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0.31 for direct and daily designs.</w:t>
      </w:r>
    </w:p>
    <w:bookmarkEnd w:id="44"/>
    <w:bookmarkStart w:id="45"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1.32, zero share at most 0.01) with</w:t>
      </w:r>
      <w:r>
        <w:t xml:space="preserve"> </w:t>
      </w:r>
      <m:oMath>
        <m:r>
          <m:t>α</m:t>
        </m:r>
      </m:oMath>
      <w:r>
        <w:t xml:space="preserve"> </w:t>
      </w:r>
      <w:r>
        <w:t xml:space="preserve">between -0.16 and +0.03.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(6.0 to 17.2 against 7.83) and has ratios of 0.07 to 0.31. Describing a distribution reaches ratios of 2.78 to 6.11, and its intervals contain the ceiling of 5.01 in 9 of 16 cells (6 of the 8 anchored cells); its zero share (0.01 to 0.13) matches the small real share of 0.03 in 11 of 16 cells. The hybrid matches the reference ratio in 13 of 16 cells, but its mean in only 5 of 16: the model’s</w:t>
      </w:r>
      <w:r>
        <w:t xml:space="preserve"> </w:t>
      </w:r>
      <m:oMath>
        <m:r>
          <m:t>λ</m:t>
        </m:r>
      </m:oMath>
      <w:r>
        <w:t xml:space="preserve"> </w:t>
      </w:r>
      <w:r>
        <w:t xml:space="preserve">is usually too low (3.95 to 6.57 in the cells that miss, against 7.83). It also matches the zero share in only 2 of 16 cells (0.06 to 0.14 against 0.03), and all four of mean, ratio, zero share, and</w:t>
      </w:r>
      <w:r>
        <w:t xml:space="preserve"> </w:t>
      </w:r>
      <m:oMath>
        <m:r>
          <m:t>α</m:t>
        </m:r>
      </m:oMath>
      <w:r>
        <w:t xml:space="preserve"> </w:t>
      </w:r>
      <w:r>
        <w:t xml:space="preserve">in 2 of 16 cells (DeepSeek-V4-Pro with the anchor and Gemini 3.1 Flash-Lite without it).</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 to 10.24</w:t>
            </w:r>
          </w:p>
        </w:tc>
        <w:tc>
          <w:tcPr/>
          <w:p>
            <w:pPr>
              <w:pStyle w:val="Compact"/>
              <w:spacing w:before="20" w:after="20" w:line="240" w:lineRule="auto"/>
              <w:ind w:firstLine="0"/>
              <w:jc w:val="left"/>
            </w:pPr>
            <w:r>
              <w:rPr>
                <w:rFonts w:ascii="Times New Roman" w:hAnsi="Times New Roman"/>
                <w:sz w:val="17"/>
              </w:rPr>
              <w:t xml:space="preserve">0.00 to 1.32</w:t>
            </w:r>
          </w:p>
        </w:tc>
        <w:tc>
          <w:tcPr/>
          <w:p>
            <w:pPr>
              <w:pStyle w:val="Compact"/>
              <w:spacing w:before="20" w:after="20" w:line="240" w:lineRule="auto"/>
              <w:ind w:firstLine="0"/>
              <w:jc w:val="left"/>
            </w:pPr>
            <w:r>
              <w:rPr>
                <w:rFonts w:ascii="Times New Roman" w:hAnsi="Times New Roman"/>
                <w:sz w:val="17"/>
              </w:rPr>
              <w:t xml:space="preserve">0.00 to 0.01</w:t>
            </w:r>
          </w:p>
        </w:tc>
        <w:tc>
          <w:tcPr/>
          <w:p>
            <w:pPr>
              <w:pStyle w:val="Compact"/>
              <w:spacing w:before="20" w:after="20" w:line="240" w:lineRule="auto"/>
              <w:ind w:firstLine="0"/>
              <w:jc w:val="left"/>
            </w:pPr>
            <w:r>
              <w:rPr>
                <w:rFonts w:ascii="Times New Roman" w:hAnsi="Times New Roman"/>
                <w:sz w:val="17"/>
              </w:rPr>
              <w:t xml:space="preserve">-0.16 to 0.03</w:t>
            </w:r>
          </w:p>
        </w:tc>
        <w:tc>
          <w:tcPr/>
          <w:p>
            <w:pPr>
              <w:pStyle w:val="Compact"/>
              <w:spacing w:before="20" w:after="20" w:line="240" w:lineRule="auto"/>
              <w:ind w:firstLine="0"/>
              <w:jc w:val="left"/>
            </w:pPr>
            <w:r>
              <w:rPr>
                <w:rFonts w:ascii="Times New Roman" w:hAnsi="Times New Roman"/>
                <w:sz w:val="17"/>
              </w:rPr>
              <w:t xml:space="preserve">-0.17 to +0.07</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 to 17.21</w:t>
            </w:r>
          </w:p>
        </w:tc>
        <w:tc>
          <w:tcPr/>
          <w:p>
            <w:pPr>
              <w:pStyle w:val="Compact"/>
              <w:spacing w:before="20" w:after="20" w:line="240" w:lineRule="auto"/>
              <w:ind w:firstLine="0"/>
              <w:jc w:val="left"/>
            </w:pPr>
            <w:r>
              <w:rPr>
                <w:rFonts w:ascii="Times New Roman" w:hAnsi="Times New Roman"/>
                <w:sz w:val="17"/>
              </w:rPr>
              <w:t xml:space="preserve">0.07 to 0.31</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 to 8.79</w:t>
            </w:r>
          </w:p>
        </w:tc>
        <w:tc>
          <w:tcPr/>
          <w:p>
            <w:pPr>
              <w:pStyle w:val="Compact"/>
              <w:spacing w:before="20" w:after="20" w:line="240" w:lineRule="auto"/>
              <w:ind w:firstLine="0"/>
              <w:jc w:val="left"/>
            </w:pPr>
            <w:r>
              <w:rPr>
                <w:rFonts w:ascii="Times New Roman" w:hAnsi="Times New Roman"/>
                <w:sz w:val="17"/>
              </w:rPr>
              <w:t xml:space="preserve">2.78 to 6.11</w:t>
            </w:r>
          </w:p>
        </w:tc>
        <w:tc>
          <w:tcPr/>
          <w:p>
            <w:pPr>
              <w:pStyle w:val="Compact"/>
              <w:spacing w:before="20" w:after="20" w:line="240" w:lineRule="auto"/>
              <w:ind w:firstLine="0"/>
              <w:jc w:val="left"/>
            </w:pPr>
            <w:r>
              <w:rPr>
                <w:rFonts w:ascii="Times New Roman" w:hAnsi="Times New Roman"/>
                <w:sz w:val="17"/>
              </w:rPr>
              <w:t xml:space="preserve">0.01 to 0.13</w:t>
            </w:r>
          </w:p>
        </w:tc>
        <w:tc>
          <w:tcPr/>
          <w:p>
            <w:pPr>
              <w:pStyle w:val="Compact"/>
              <w:spacing w:before="20" w:after="20" w:line="240" w:lineRule="auto"/>
              <w:ind w:firstLine="0"/>
              <w:jc w:val="left"/>
            </w:pPr>
            <w:r>
              <w:rPr>
                <w:rFonts w:ascii="Times New Roman" w:hAnsi="Times New Roman"/>
                <w:sz w:val="17"/>
              </w:rPr>
              <w:t xml:space="preserve">0.32 to 0.79</w:t>
            </w:r>
          </w:p>
        </w:tc>
        <w:tc>
          <w:tcPr/>
          <w:p>
            <w:pPr>
              <w:pStyle w:val="Compact"/>
              <w:spacing w:before="20" w:after="20" w:line="240" w:lineRule="auto"/>
              <w:ind w:firstLine="0"/>
              <w:jc w:val="left"/>
            </w:pPr>
            <w:r>
              <w:rPr>
                <w:rFonts w:ascii="Times New Roman" w:hAnsi="Times New Roman"/>
                <w:sz w:val="17"/>
              </w:rPr>
              <w:t xml:space="preserve">-0.01 to +0.16</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 to 7.53</w:t>
            </w:r>
          </w:p>
        </w:tc>
        <w:tc>
          <w:tcPr/>
          <w:p>
            <w:pPr>
              <w:pStyle w:val="Compact"/>
              <w:spacing w:before="20" w:after="20" w:line="240" w:lineRule="auto"/>
              <w:ind w:firstLine="0"/>
              <w:jc w:val="left"/>
            </w:pPr>
            <w:r>
              <w:rPr>
                <w:rFonts w:ascii="Times New Roman" w:hAnsi="Times New Roman"/>
                <w:sz w:val="17"/>
              </w:rPr>
              <w:t xml:space="preserve">3.97 to 8.58</w:t>
            </w:r>
          </w:p>
        </w:tc>
        <w:tc>
          <w:tcPr/>
          <w:p>
            <w:pPr>
              <w:pStyle w:val="Compact"/>
              <w:spacing w:before="20" w:after="20" w:line="240" w:lineRule="auto"/>
              <w:ind w:firstLine="0"/>
              <w:jc w:val="left"/>
            </w:pPr>
            <w:r>
              <w:rPr>
                <w:rFonts w:ascii="Times New Roman" w:hAnsi="Times New Roman"/>
                <w:sz w:val="17"/>
              </w:rPr>
              <w:t xml:space="preserve">0.06 to 0.14</w:t>
            </w:r>
          </w:p>
        </w:tc>
        <w:tc>
          <w:tcPr/>
          <w:p>
            <w:pPr>
              <w:pStyle w:val="Compact"/>
              <w:spacing w:before="20" w:after="20" w:line="240" w:lineRule="auto"/>
              <w:ind w:firstLine="0"/>
              <w:jc w:val="left"/>
            </w:pPr>
            <w:r>
              <w:rPr>
                <w:rFonts w:ascii="Times New Roman" w:hAnsi="Times New Roman"/>
                <w:sz w:val="17"/>
              </w:rPr>
              <w:t xml:space="preserve">0.71 to 1.11</w:t>
            </w:r>
          </w:p>
        </w:tc>
        <w:tc>
          <w:tcPr/>
          <w:p>
            <w:pPr>
              <w:pStyle w:val="Compact"/>
              <w:spacing w:before="20" w:after="20" w:line="240" w:lineRule="auto"/>
              <w:ind w:firstLine="0"/>
              <w:jc w:val="left"/>
            </w:pPr>
            <w:r>
              <w:rPr>
                <w:rFonts w:ascii="Times New Roman" w:hAnsi="Times New Roman"/>
                <w:sz w:val="17"/>
              </w:rPr>
              <w:t xml:space="preserve">-0.10 to +0.06</w:t>
            </w:r>
          </w:p>
        </w:tc>
      </w:tr>
    </w:tbl>
    <w:p>
      <w:pPr>
        <w:pStyle w:val="BodyText"/>
        <w:spacing w:line="240" w:lineRule="auto"/>
        <w:ind w:firstLine="0"/>
      </w:pPr>
      <w:r>
        <w:rPr>
          <w:iCs/>
          <w:i/>
        </w:rPr>
        <w:t xml:space="preserve">Table 3. Persona experiment with real household demographics: range of results across the 16 model-and-prompt cells of each design (200 households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-0.17 and +0.16, and the interval excludes zero in only three cells (two positive, one negative). The model’s own</w:t>
      </w:r>
      <w:r>
        <w:t xml:space="preserve"> </w:t>
      </w:r>
      <m:oMath>
        <m:r>
          <m:t>λ</m:t>
        </m:r>
      </m:oMath>
      <w:r>
        <w:t xml:space="preserve"> </w:t>
      </w:r>
      <w:r>
        <w:t xml:space="preserve">in design D correlates between -0.05 and +0.05 with the real count, and none of its 16 intervals excludes zero. With 79 intervals, about four exclusions are expected by chance at the 5% level. Design C is the only design whose correlations are mostly positive (14 of 16 cells, median +0.06), but the models were run on overlapping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5"/>
    <w:bookmarkStart w:id="49"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900 customers for GPT-4o-mini, Llama-3.3-70B, and Haiku 5.5, which were run on three seeds). Lift = probability with the email minus probability without it; gap = lift of the men’s email minus lift of the women’s email; intervals are 95% paired bootstrap intervals over customers (real values: normal approximation). RR = risk ratio; for the models run on three seeds it is the mean of the three per-seed ratios, and the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47" name="Picture"/>
            <a:graphic>
              <a:graphicData uri="http://schemas.openxmlformats.org/drawingml/2006/picture">
                <pic:pic>
                  <pic:nvPicPr>
                    <pic:cNvPr descr="fig2_lift.png" id="48" name="Picture"/>
                    <pic:cNvPicPr>
                      <a:picLocks noChangeArrowheads="1" noChangeAspect="1"/>
                    </pic:cNvPicPr>
                  </pic:nvPicPr>
                  <pic:blipFill>
                    <a:blip r:embed="rId46"/>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in the yes/no format for visits (0.60 to 0.69 in all three seeds). For the three models run on three seeds, the risk ratio exceeded one in all 24 cells of the two further seeds (smallest lower bound 1.00).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25 (for example +0.169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only 15 cells, the largest simulated visit gap is +0.013, and in three cells (Haiku 5.5 without the anchor for visits, and GPT-4o-mini in both prompt variants for purchases) the women’s email is rated significantly higher.</w:t>
      </w:r>
    </w:p>
    <w:p>
      <w:pPr>
        <w:pStyle w:val="BodyText"/>
      </w:pPr>
      <w:r>
        <w:t xml:space="preserve">Direct yes/no answers are not usable for rare events. In 15 of 32 yes/no cells of the first seed (and in 13 of 24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+0.007 to +0.55, up to 80 times the real lift.</w:t>
      </w:r>
    </w:p>
    <w:bookmarkEnd w:id="49"/>
    <w:bookmarkStart w:id="50" w:name="summary-of-hypotheses"/>
    <w:p>
      <w:pPr>
        <w:pStyle w:val="Heading2"/>
      </w:pPr>
      <w:r>
        <w:t xml:space="preserve">5.7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two DeepSeek-V4-Pro and Sonnet 5 cells without the anchor), 48 of 48 (high mean), and 43 of 48 (demographic personas, where design C often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4 of 16 high-mean cells, and reaches it in 9 of 16 cells with demographic personas. Zero shares are too low where the real share is large (0.74 and 0.19) but close to the real value where it is small (0.03; 11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Supported with a qualification. It matches the reference ratio in 35 of 48 cells (7 of 16, 15 of 16, 13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12 of 48 (5, 5, 2) because the model’s mean is often wrong. Sonnet 5 reproduces all four in both prompt variants in the high-mean setting.</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3 of 32 cells, and in all three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44 of 48 cells; the four exceptions are DeepSeek-V4-Pro or Mistral Large 4 without the anchor). Partly for the hybrid design, whose accuracy follows the model’s mean (best for Sonnet 5 in the high-mean setting).</w:t>
            </w:r>
          </w:p>
        </w:tc>
      </w:tr>
    </w:tbl>
    <w:p>
      <w:pPr>
        <w:pStyle w:val="BodyText"/>
        <w:spacing w:line="240" w:lineRule="auto"/>
        <w:ind w:firstLine="0"/>
      </w:pPr>
      <w:r>
        <w:rPr>
          <w:iCs/>
          <w:i/>
        </w:rPr>
        <w:t xml:space="preserve">Table 5. Hypotheses and evidence.</w:t>
      </w:r>
    </w:p>
    <w:bookmarkEnd w:id="50"/>
    <w:bookmarkEnd w:id="51"/>
    <w:bookmarkStart w:id="55" w:name="discussion"/>
    <w:p>
      <w:pPr>
        <w:pStyle w:val="Heading1"/>
      </w:pPr>
      <w:r>
        <w:t xml:space="preserve">6. Discussion</w:t>
      </w:r>
    </w:p>
    <w:bookmarkStart w:id="52"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44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Mistral Large 4) do not escape the collapse of direct answers, but the better ones supply a more accurate mean, and the hybrid design then works well (Sonnet 5 in the high-mean setting).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bookmarkEnd w:id="52"/>
    <w:bookmarkStart w:id="53" w:name="implications-for-practice"/>
    <w:p>
      <w:pPr>
        <w:pStyle w:val="Heading2"/>
      </w:pPr>
      <w:r>
        <w:t xml:space="preserve">6.2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20 of 48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bookmarkEnd w:id="53"/>
    <w:bookmarkStart w:id="54" w:name="limitations-and-future-research"/>
    <w:p>
      <w:pPr>
        <w:pStyle w:val="Heading2"/>
      </w:pPr>
      <w:r>
        <w:t xml:space="preserve">6.3 Limitations and future research</w:t>
      </w:r>
    </w:p>
    <w:p>
      <w:pPr>
        <w:pStyle w:val="FirstParagraph"/>
      </w:pPr>
      <w:r>
        <w:t xml:space="preserve">The evidence is preliminary. The five newer models were run on a single random seed, and every design has one prompt wording, so our intervals capture the sampling of customers but not variation across prompts. For the three models that we repeated on three seeds, the qualitative conclusions did not change, and the per-seed variance-to-mean ratios of the direct and daily designs differ by at most 0.11 and 0.20; the ratio of the describe design varies by up to 2.1 and that of the hybrid by up to 4.2 across seeds in the high-mean settings, which is why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54"/>
    <w:bookmarkEnd w:id="55"/>
    <w:bookmarkStart w:id="56"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w:t>
      </w:r>
    </w:p>
    <w:bookmarkEnd w:id="56"/>
    <w:bookmarkStart w:id="57"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57"/>
    <w:bookmarkStart w:id="58"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58"/>
    <w:bookmarkStart w:id="59"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1.33*</w:t>
            </w:r>
          </w:p>
        </w:tc>
        <w:tc>
          <w:tcPr/>
          <w:p>
            <w:pPr>
              <w:pStyle w:val="Compact"/>
              <w:spacing w:before="20" w:after="20" w:line="240" w:lineRule="auto"/>
              <w:ind w:firstLine="0"/>
              <w:jc w:val="left"/>
            </w:pPr>
            <w:r>
              <w:rPr>
                <w:rFonts w:ascii="Times New Roman" w:hAnsi="Times New Roman"/>
                <w:sz w:val="17"/>
              </w:rPr>
              <w:t xml:space="preserve">0.86*</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3.12*</w:t>
            </w:r>
          </w:p>
        </w:tc>
        <w:tc>
          <w:tcPr/>
          <w:p>
            <w:pPr>
              <w:pStyle w:val="Compact"/>
              <w:spacing w:before="20" w:after="20" w:line="240" w:lineRule="auto"/>
              <w:ind w:firstLine="0"/>
              <w:jc w:val="left"/>
            </w:pPr>
            <w:r>
              <w:rPr>
                <w:rFonts w:ascii="Times New Roman" w:hAnsi="Times New Roman"/>
                <w:sz w:val="17"/>
              </w:rPr>
              <w:t xml:space="preserve">2.96*</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1.70*</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2.02*</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1.56*</w:t>
            </w:r>
          </w:p>
        </w:tc>
        <w:tc>
          <w:tcPr/>
          <w:p>
            <w:pPr>
              <w:pStyle w:val="Compact"/>
              <w:spacing w:before="20" w:after="20" w:line="240" w:lineRule="auto"/>
              <w:ind w:firstLine="0"/>
              <w:jc w:val="left"/>
            </w:pPr>
            <w:r>
              <w:rPr>
                <w:rFonts w:ascii="Times New Roman" w:hAnsi="Times New Roman"/>
                <w:sz w:val="17"/>
              </w:rPr>
              <w:t xml:space="preserve">1.16*</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2.19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2.15*</w:t>
            </w:r>
          </w:p>
        </w:tc>
        <w:tc>
          <w:tcPr/>
          <w:p>
            <w:pPr>
              <w:pStyle w:val="Compact"/>
              <w:spacing w:before="20" w:after="20" w:line="240" w:lineRule="auto"/>
              <w:ind w:firstLine="0"/>
              <w:jc w:val="left"/>
            </w:pPr>
            <w:r>
              <w:rPr>
                <w:rFonts w:ascii="Times New Roman" w:hAnsi="Times New Roman"/>
                <w:sz w:val="17"/>
              </w:rPr>
              <w:t xml:space="preserve">18.37*</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8.06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0.30*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2.66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4.06</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0.83*</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-0.04*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2.92</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3.26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3.50*</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1.19*</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0.38*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0.79</w:t>
            </w:r>
          </w:p>
        </w:tc>
        <w:tc>
          <w:tcPr/>
          <w:p>
            <w:pPr>
              <w:pStyle w:val="Compact"/>
              <w:spacing w:before="20" w:after="20" w:line="240" w:lineRule="auto"/>
              <w:ind w:firstLine="0"/>
              <w:jc w:val="left"/>
            </w:pPr>
            <w:r>
              <w:rPr>
                <w:rFonts w:ascii="Times New Roman" w:hAnsi="Times New Roman"/>
                <w:sz w:val="17"/>
              </w:rPr>
              <w:t xml:space="preserve">1.96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-0.99*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0.58*</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2.56</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0.68*</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1.01*</w:t>
            </w:r>
          </w:p>
        </w:tc>
        <w:tc>
          <w:tcPr/>
          <w:p>
            <w:pPr>
              <w:pStyle w:val="Compact"/>
              <w:spacing w:before="20" w:after="20" w:line="240" w:lineRule="auto"/>
              <w:ind w:firstLine="0"/>
              <w:jc w:val="left"/>
            </w:pPr>
            <w:r>
              <w:rPr>
                <w:rFonts w:ascii="Times New Roman" w:hAnsi="Times New Roman"/>
                <w:sz w:val="17"/>
              </w:rPr>
              <w:t xml:space="preserve">1.31*</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1.46*</w:t>
            </w:r>
          </w:p>
        </w:tc>
        <w:tc>
          <w:tcPr/>
          <w:p>
            <w:pPr>
              <w:pStyle w:val="Compact"/>
              <w:spacing w:before="20" w:after="20" w:line="240" w:lineRule="auto"/>
              <w:ind w:firstLine="0"/>
              <w:jc w:val="left"/>
            </w:pPr>
            <w:r>
              <w:rPr>
                <w:rFonts w:ascii="Times New Roman" w:hAnsi="Times New Roman"/>
                <w:sz w:val="17"/>
              </w:rPr>
              <w:t xml:space="preserve">0.80</w:t>
            </w:r>
          </w:p>
        </w:tc>
        <w:tc>
          <w:tcPr/>
          <w:p>
            <w:pPr>
              <w:pStyle w:val="Compact"/>
              <w:spacing w:before="20" w:after="20" w:line="240" w:lineRule="auto"/>
              <w:ind w:firstLine="0"/>
              <w:jc w:val="left"/>
            </w:pPr>
            <w:r>
              <w:rPr>
                <w:rFonts w:ascii="Times New Roman" w:hAnsi="Times New Roman"/>
                <w:sz w:val="17"/>
              </w:rPr>
              <w:t xml:space="preserve">1.67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0.46</w:t>
            </w:r>
          </w:p>
        </w:tc>
        <w:tc>
          <w:tcPr/>
          <w:p>
            <w:pPr>
              <w:pStyle w:val="Compact"/>
              <w:spacing w:before="20" w:after="20" w:line="240" w:lineRule="auto"/>
              <w:ind w:firstLine="0"/>
              <w:jc w:val="left"/>
            </w:pPr>
            <w:r>
              <w:rPr>
                <w:rFonts w:ascii="Times New Roman" w:hAnsi="Times New Roman"/>
                <w:sz w:val="17"/>
              </w:rPr>
              <w:t xml:space="preserve">2.67</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3.67</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10.22*</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9.99</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1.85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8.19*</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4.41*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4.94</w:t>
            </w:r>
          </w:p>
        </w:tc>
        <w:tc>
          <w:tcPr/>
          <w:p>
            <w:pPr>
              <w:pStyle w:val="Compact"/>
              <w:spacing w:before="20" w:after="20" w:line="240" w:lineRule="auto"/>
              <w:ind w:firstLine="0"/>
              <w:jc w:val="left"/>
            </w:pPr>
            <w:r>
              <w:rPr>
                <w:rFonts w:ascii="Times New Roman" w:hAnsi="Times New Roman"/>
                <w:sz w:val="17"/>
              </w:rPr>
              <w:t xml:space="preserve">8.87</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7.56*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0.61*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10.65</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1.88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4.45*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5.50*</w:t>
            </w:r>
          </w:p>
        </w:tc>
        <w:tc>
          <w:tcPr/>
          <w:p>
            <w:pPr>
              <w:pStyle w:val="Compact"/>
              <w:spacing w:before="20" w:after="20" w:line="240" w:lineRule="auto"/>
              <w:ind w:firstLine="0"/>
              <w:jc w:val="left"/>
            </w:pPr>
            <w:r>
              <w:rPr>
                <w:rFonts w:ascii="Times New Roman" w:hAnsi="Times New Roman"/>
                <w:sz w:val="17"/>
              </w:rPr>
              <w:t xml:space="preserve">3.70*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4.67</w:t>
            </w:r>
          </w:p>
        </w:tc>
        <w:tc>
          <w:tcPr/>
          <w:p>
            <w:pPr>
              <w:pStyle w:val="Compact"/>
              <w:spacing w:before="20" w:after="20" w:line="240" w:lineRule="auto"/>
              <w:ind w:firstLine="0"/>
              <w:jc w:val="left"/>
            </w:pPr>
            <w:r>
              <w:rPr>
                <w:rFonts w:ascii="Times New Roman" w:hAnsi="Times New Roman"/>
                <w:sz w:val="17"/>
              </w:rPr>
              <w:t xml:space="preserve">10.85</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2.11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3.85*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7.87*</w:t>
            </w:r>
          </w:p>
        </w:tc>
        <w:tc>
          <w:tcPr/>
          <w:p>
            <w:pPr>
              <w:pStyle w:val="Compact"/>
              <w:spacing w:before="20" w:after="20" w:line="240" w:lineRule="auto"/>
              <w:ind w:firstLine="0"/>
              <w:jc w:val="left"/>
            </w:pPr>
            <w:r>
              <w:rPr>
                <w:rFonts w:ascii="Times New Roman" w:hAnsi="Times New Roman"/>
                <w:sz w:val="17"/>
              </w:rPr>
              <w:t xml:space="preserve">11.54</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1.34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5.20*</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5.24</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6.69*</w:t>
            </w:r>
          </w:p>
        </w:tc>
        <w:tc>
          <w:tcPr/>
          <w:p>
            <w:pPr>
              <w:pStyle w:val="Compact"/>
              <w:spacing w:before="20" w:after="20" w:line="240" w:lineRule="auto"/>
              <w:ind w:firstLine="0"/>
              <w:jc w:val="left"/>
            </w:pPr>
            <w:r>
              <w:rPr>
                <w:rFonts w:ascii="Times New Roman" w:hAnsi="Times New Roman"/>
                <w:sz w:val="17"/>
              </w:rPr>
              <w:t xml:space="preserve">7.34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11.82*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6.24*</w:t>
            </w:r>
          </w:p>
        </w:tc>
        <w:tc>
          <w:tcPr/>
          <w:p>
            <w:pPr>
              <w:pStyle w:val="Compact"/>
              <w:spacing w:before="20" w:after="20" w:line="240" w:lineRule="auto"/>
              <w:ind w:firstLine="0"/>
              <w:jc w:val="left"/>
            </w:pPr>
            <w:r>
              <w:rPr>
                <w:rFonts w:ascii="Times New Roman" w:hAnsi="Times New Roman"/>
                <w:sz w:val="17"/>
              </w:rPr>
              <w:t xml:space="preserve">3.52*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7.57*</w:t>
            </w:r>
          </w:p>
        </w:tc>
        <w:tc>
          <w:tcPr/>
          <w:p>
            <w:pPr>
              <w:pStyle w:val="Compact"/>
              <w:spacing w:before="20" w:after="20" w:line="240" w:lineRule="auto"/>
              <w:ind w:firstLine="0"/>
              <w:jc w:val="left"/>
            </w:pPr>
            <w:r>
              <w:rPr>
                <w:rFonts w:ascii="Times New Roman" w:hAnsi="Times New Roman"/>
                <w:sz w:val="17"/>
              </w:rPr>
              <w:t xml:space="preserve">13.01</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5.16*</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3.18*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7.02</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8.59*</w:t>
            </w:r>
          </w:p>
        </w:tc>
        <w:tc>
          <w:tcPr/>
          <w:p>
            <w:pPr>
              <w:pStyle w:val="Compact"/>
              <w:spacing w:before="20" w:after="20" w:line="240" w:lineRule="auto"/>
              <w:ind w:firstLine="0"/>
              <w:jc w:val="left"/>
            </w:pPr>
            <w:r>
              <w:rPr>
                <w:rFonts w:ascii="Times New Roman" w:hAnsi="Times New Roman"/>
                <w:sz w:val="17"/>
              </w:rPr>
              <w:t xml:space="preserve">2.38*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7.79*</w:t>
            </w:r>
          </w:p>
        </w:tc>
        <w:tc>
          <w:tcPr/>
          <w:p>
            <w:pPr>
              <w:pStyle w:val="Compact"/>
              <w:spacing w:before="20" w:after="20" w:line="240" w:lineRule="auto"/>
              <w:ind w:firstLine="0"/>
              <w:jc w:val="left"/>
            </w:pPr>
            <w:r>
              <w:rPr>
                <w:rFonts w:ascii="Times New Roman" w:hAnsi="Times New Roman"/>
                <w:sz w:val="17"/>
              </w:rPr>
              <w:t xml:space="preserve">4.39*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6.22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8.22*</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4.82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1.64</w:t>
            </w:r>
          </w:p>
        </w:tc>
      </w:tr>
    </w:tbl>
    <w:p>
      <w:pPr>
        <w:pStyle w:val="BodyText"/>
        <w:spacing w:line="240" w:lineRule="auto"/>
        <w:ind w:firstLine="0"/>
      </w:pPr>
      <w:r>
        <w:rPr>
          <w:iCs/>
          <w:i/>
        </w:rPr>
        <w:t xml:space="preserve">Table B2. High-mean setting, 200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10.51*</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6.33*</w:t>
            </w:r>
          </w:p>
        </w:tc>
        <w:tc>
          <w:tcPr/>
          <w:p>
            <w:pPr>
              <w:pStyle w:val="Compact"/>
              <w:spacing w:before="20" w:after="20" w:line="240" w:lineRule="auto"/>
              <w:ind w:firstLine="0"/>
              <w:jc w:val="left"/>
            </w:pPr>
            <w:r>
              <w:rPr>
                <w:rFonts w:ascii="Times New Roman" w:hAnsi="Times New Roman"/>
                <w:sz w:val="17"/>
              </w:rPr>
              <w:t xml:space="preserve">3.87*</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4.72*</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0.94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6.78*</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10.27*</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6.89*</w:t>
            </w:r>
          </w:p>
        </w:tc>
        <w:tc>
          <w:tcPr/>
          <w:p>
            <w:pPr>
              <w:pStyle w:val="Compact"/>
              <w:spacing w:before="20" w:after="20" w:line="240" w:lineRule="auto"/>
              <w:ind w:firstLine="0"/>
              <w:jc w:val="left"/>
            </w:pPr>
            <w:r>
              <w:rPr>
                <w:rFonts w:ascii="Times New Roman" w:hAnsi="Times New Roman"/>
                <w:sz w:val="17"/>
              </w:rPr>
              <w:t xml:space="preserve">4.16*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6.84</w:t>
            </w:r>
          </w:p>
        </w:tc>
        <w:tc>
          <w:tcPr/>
          <w:p>
            <w:pPr>
              <w:pStyle w:val="Compact"/>
              <w:spacing w:before="20" w:after="20" w:line="240" w:lineRule="auto"/>
              <w:ind w:firstLine="0"/>
              <w:jc w:val="left"/>
            </w:pPr>
            <w:r>
              <w:rPr>
                <w:rFonts w:ascii="Times New Roman" w:hAnsi="Times New Roman"/>
                <w:sz w:val="17"/>
              </w:rPr>
              <w:t xml:space="preserve">8.58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8.46*</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6.66*</w:t>
            </w:r>
          </w:p>
        </w:tc>
        <w:tc>
          <w:tcPr/>
          <w:p>
            <w:pPr>
              <w:pStyle w:val="Compact"/>
              <w:spacing w:before="20" w:after="20" w:line="240" w:lineRule="auto"/>
              <w:ind w:firstLine="0"/>
              <w:jc w:val="left"/>
            </w:pPr>
            <w:r>
              <w:rPr>
                <w:rFonts w:ascii="Times New Roman" w:hAnsi="Times New Roman"/>
                <w:sz w:val="17"/>
              </w:rPr>
              <w:t xml:space="preserve">3.80*</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5.29</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6.01*</w:t>
            </w:r>
          </w:p>
        </w:tc>
        <w:tc>
          <w:tcPr/>
          <w:p>
            <w:pPr>
              <w:pStyle w:val="Compact"/>
              <w:spacing w:before="20" w:after="20" w:line="240" w:lineRule="auto"/>
              <w:ind w:firstLine="0"/>
              <w:jc w:val="left"/>
            </w:pPr>
            <w:r>
              <w:rPr>
                <w:rFonts w:ascii="Times New Roman" w:hAnsi="Times New Roman"/>
                <w:sz w:val="17"/>
              </w:rPr>
              <w:t xml:space="preserve">0.31*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8.79*</w:t>
            </w:r>
          </w:p>
        </w:tc>
        <w:tc>
          <w:tcPr/>
          <w:p>
            <w:pPr>
              <w:pStyle w:val="Compact"/>
              <w:spacing w:before="20" w:after="20" w:line="240" w:lineRule="auto"/>
              <w:ind w:firstLine="0"/>
              <w:jc w:val="left"/>
            </w:pPr>
            <w:r>
              <w:rPr>
                <w:rFonts w:ascii="Times New Roman" w:hAnsi="Times New Roman"/>
                <w:sz w:val="17"/>
              </w:rPr>
              <w:t xml:space="preserve">4.95*</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8.24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1.07*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8.68*</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0.32*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6.37*</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6.51*</w:t>
            </w:r>
          </w:p>
        </w:tc>
        <w:tc>
          <w:tcPr/>
          <w:p>
            <w:pPr>
              <w:pStyle w:val="Compact"/>
              <w:spacing w:before="20" w:after="20" w:line="240" w:lineRule="auto"/>
              <w:ind w:firstLine="0"/>
              <w:jc w:val="left"/>
            </w:pPr>
            <w:r>
              <w:rPr>
                <w:rFonts w:ascii="Times New Roman" w:hAnsi="Times New Roman"/>
                <w:sz w:val="17"/>
              </w:rPr>
              <w:t xml:space="preserve">0.55*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4.06*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6.99</w:t>
            </w:r>
          </w:p>
        </w:tc>
        <w:tc>
          <w:tcPr/>
          <w:p>
            <w:pPr>
              <w:pStyle w:val="Compact"/>
              <w:spacing w:before="20" w:after="20" w:line="240" w:lineRule="auto"/>
              <w:ind w:firstLine="0"/>
              <w:jc w:val="left"/>
            </w:pPr>
            <w:r>
              <w:rPr>
                <w:rFonts w:ascii="Times New Roman" w:hAnsi="Times New Roman"/>
                <w:sz w:val="17"/>
              </w:rPr>
              <w:t xml:space="preserve">6.08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10.24*</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8.04*</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6.25*</w:t>
            </w:r>
          </w:p>
        </w:tc>
        <w:tc>
          <w:tcPr/>
          <w:p>
            <w:pPr>
              <w:pStyle w:val="Compact"/>
              <w:spacing w:before="20" w:after="20" w:line="240" w:lineRule="auto"/>
              <w:ind w:firstLine="0"/>
              <w:jc w:val="left"/>
            </w:pPr>
            <w:r>
              <w:rPr>
                <w:rFonts w:ascii="Times New Roman" w:hAnsi="Times New Roman"/>
                <w:sz w:val="17"/>
              </w:rPr>
              <w:t xml:space="preserve">3.11*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0.34*</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7.16</w:t>
            </w:r>
          </w:p>
        </w:tc>
        <w:tc>
          <w:tcPr/>
          <w:p>
            <w:pPr>
              <w:pStyle w:val="Compact"/>
              <w:spacing w:before="20" w:after="20" w:line="240" w:lineRule="auto"/>
              <w:ind w:firstLine="0"/>
              <w:jc w:val="left"/>
            </w:pPr>
            <w:r>
              <w:rPr>
                <w:rFonts w:ascii="Times New Roman" w:hAnsi="Times New Roman"/>
                <w:sz w:val="17"/>
              </w:rPr>
              <w:t xml:space="preserve">7.58</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0.92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6.91*</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7.21*</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5.75*</w:t>
            </w:r>
          </w:p>
        </w:tc>
        <w:tc>
          <w:tcPr/>
          <w:p>
            <w:pPr>
              <w:pStyle w:val="Compact"/>
              <w:spacing w:before="20" w:after="20" w:line="240" w:lineRule="auto"/>
              <w:ind w:firstLine="0"/>
              <w:jc w:val="left"/>
            </w:pPr>
            <w:r>
              <w:rPr>
                <w:rFonts w:ascii="Times New Roman" w:hAnsi="Times New Roman"/>
                <w:sz w:val="17"/>
              </w:rPr>
              <w:t xml:space="preserve">5.18</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6.30</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9.68*</w:t>
            </w:r>
          </w:p>
        </w:tc>
        <w:tc>
          <w:tcPr/>
          <w:p>
            <w:pPr>
              <w:pStyle w:val="Compact"/>
              <w:spacing w:before="20" w:after="20" w:line="240" w:lineRule="auto"/>
              <w:ind w:firstLine="0"/>
              <w:jc w:val="left"/>
            </w:pPr>
            <w:r>
              <w:rPr>
                <w:rFonts w:ascii="Times New Roman" w:hAnsi="Times New Roman"/>
                <w:sz w:val="17"/>
              </w:rPr>
              <w:t xml:space="preserve">1.32*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6.79*</w:t>
            </w:r>
          </w:p>
        </w:tc>
        <w:tc>
          <w:tcPr/>
          <w:p>
            <w:pPr>
              <w:pStyle w:val="Compact"/>
              <w:spacing w:before="20" w:after="20" w:line="240" w:lineRule="auto"/>
              <w:ind w:firstLine="0"/>
              <w:jc w:val="left"/>
            </w:pPr>
            <w:r>
              <w:rPr>
                <w:rFonts w:ascii="Times New Roman" w:hAnsi="Times New Roman"/>
                <w:sz w:val="17"/>
              </w:rPr>
              <w:t xml:space="preserve">4.08*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3.95*</w:t>
            </w:r>
          </w:p>
        </w:tc>
        <w:tc>
          <w:tcPr/>
          <w:p>
            <w:pPr>
              <w:pStyle w:val="Compact"/>
              <w:spacing w:before="20" w:after="20" w:line="240" w:lineRule="auto"/>
              <w:ind w:firstLine="0"/>
              <w:jc w:val="left"/>
            </w:pPr>
            <w:r>
              <w:rPr>
                <w:rFonts w:ascii="Times New Roman" w:hAnsi="Times New Roman"/>
                <w:sz w:val="17"/>
              </w:rPr>
              <w:t xml:space="preserve">3.97*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7.38*</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8.84*</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6.23*</w:t>
            </w:r>
          </w:p>
        </w:tc>
        <w:tc>
          <w:tcPr/>
          <w:p>
            <w:pPr>
              <w:pStyle w:val="Compact"/>
              <w:spacing w:before="20" w:after="20" w:line="240" w:lineRule="auto"/>
              <w:ind w:firstLine="0"/>
              <w:jc w:val="left"/>
            </w:pPr>
            <w:r>
              <w:rPr>
                <w:rFonts w:ascii="Times New Roman" w:hAnsi="Times New Roman"/>
                <w:sz w:val="17"/>
              </w:rPr>
              <w:t xml:space="preserve">5.39</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5.19*</w:t>
            </w:r>
          </w:p>
        </w:tc>
        <w:tc>
          <w:tcPr/>
          <w:p>
            <w:pPr>
              <w:pStyle w:val="Compact"/>
              <w:spacing w:before="20" w:after="20" w:line="240" w:lineRule="auto"/>
              <w:ind w:firstLine="0"/>
              <w:jc w:val="left"/>
            </w:pPr>
            <w:r>
              <w:rPr>
                <w:rFonts w:ascii="Times New Roman" w:hAnsi="Times New Roman"/>
                <w:sz w:val="17"/>
              </w:rPr>
              <w:t xml:space="preserve">5.67</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0.90</w:t>
            </w:r>
          </w:p>
        </w:tc>
      </w:tr>
    </w:tbl>
    <w:p>
      <w:pPr>
        <w:pStyle w:val="BodyText"/>
        <w:spacing w:line="240" w:lineRule="auto"/>
        <w:ind w:firstLine="0"/>
      </w:pPr>
      <w:r>
        <w:rPr>
          <w:iCs/>
          <w:i/>
        </w:rPr>
        <w:t xml:space="preserve">Table B3. Persona experiment with real household demographics, 200 households per cell. Reference row: real distribution of the 801 households (10,413 household-windows). * the 95% bootstrap interval excludes the reference value.</w:t>
      </w:r>
    </w:p>
    <w:bookmarkEnd w:id="59"/>
    <w:bookmarkStart w:id="60"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8" Type="http://schemas.openxmlformats.org/officeDocument/2006/relationships/image" Target="media/rId38.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2026-10-17T05:27:36Z</dcterms:created>
  <dcterms:modified xsi:type="dcterms:W3CDTF">2026-10-17T05:27:36Z</dcterms:modified>
</cp:coreProperties>
</file>

<file path=docProps/custom.xml><?xml version="1.0" encoding="utf-8"?>
<Properties xmlns="http://schemas.openxmlformats.org/officeDocument/2006/custom-properties" xmlns:vt="http://schemas.openxmlformats.org/officeDocument/2006/docPropsVTypes"/>
</file>