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Cover letter</w:t>
      </w:r>
    </w:p>
    <w:p>
      <w:r>
        <w:rPr>
          <w:b w:val="0"/>
          <w:i w:val="0"/>
        </w:rPr>
        <w:t>Dear Editors,</w:t>
      </w:r>
    </w:p>
    <w:p>
      <w:r>
        <w:rPr>
          <w:b w:val="0"/>
          <w:i w:val="0"/>
        </w:rPr>
        <w:t>Please consider our manuscript, “When the Reviewer Defers: The Value of AI Review, Ability, and the Pressure Gap in Fourteen Language Models,” for publication in Information Systems Research.</w:t>
      </w:r>
    </w:p>
    <w:p>
      <w:r>
        <w:rPr>
          <w:b w:val="0"/>
          <w:i w:val="0"/>
        </w:rPr>
      </w:r>
      <w:r>
        <w:rPr>
          <w:b/>
          <w:i w:val="0"/>
        </w:rPr>
        <w:t>What the paper does.</w:t>
      </w:r>
      <w:r>
        <w:rPr>
          <w:b w:val="0"/>
          <w:i w:val="0"/>
        </w:rPr>
        <w:t xml:space="preserve"> Organizations increasingly delegate review to AI systems: whether a request meets policy, whether a report is consistent with the ledger, whether a model may be released. A review is worth buying only if the delegate’s report depends on the evidence and not on the requester’s stated preference. We model the value of delegated review when the delegate may defer to the stance regardless of the evidence, in the tradition of Prendergast’s yes-men. For a requester whose preference is right with probability π, the value is V = (1 − s)(a − π), where a is the delegate’s ability and s its deference. The model yields five results: ability and integrity are complements; deference lowers value exactly when the delegate is better than the requester’s prior; a Bayesian requester never gains from deference; ranking delegates by ability overstates the level of value by 1/(1 − s); and two implied prices, the willingness to pay for integrity and the value of hiding the stance from the delegate.</w:t>
      </w:r>
    </w:p>
    <w:p>
      <w:r>
        <w:rPr>
          <w:b w:val="0"/>
          <w:i w:val="0"/>
        </w:rPr>
      </w:r>
      <w:r>
        <w:rPr>
          <w:b/>
          <w:i w:val="0"/>
        </w:rPr>
        <w:t>Evidence.</w:t>
      </w:r>
      <w:r>
        <w:rPr>
          <w:b w:val="0"/>
          <w:i w:val="0"/>
        </w:rPr>
        <w:t xml:space="preserve"> We identify and measure the two parameters in two registered studies of fourteen language models in five families, using 120 audited item stems posed with no stance, a stance against the evidence, and a stance for it. Larger tiers were more able and less deferential in every family, so the buyer’s heuristic is informative; but the largest open models still lost 6 to 43 percentage points of accuracy under pressure. Ranking by ability preserved the order of value in most pairs of models while overstating its level by up to 62 percent. A registered prediction, that scale does not lower deference, was rejected, and the paper reports this plainly.</w:t>
      </w:r>
    </w:p>
    <w:p>
      <w:r>
        <w:rPr>
          <w:b w:val="0"/>
          <w:i w:val="0"/>
        </w:rPr>
      </w:r>
      <w:r>
        <w:rPr>
          <w:b/>
          <w:i w:val="0"/>
        </w:rPr>
        <w:t>Fit with ISR.</w:t>
      </w:r>
      <w:r>
        <w:rPr>
          <w:b w:val="0"/>
          <w:i w:val="0"/>
        </w:rPr>
        <w:t xml:space="preserve"> The paper addresses delegation to AI, trust, and governance in organizations, and contributes to the economics of information systems with a value function, comparative statics, and a calibration from measured parameters. We study models, not people, and state what that does and does not allow.</w:t>
      </w:r>
    </w:p>
    <w:p>
      <w:r>
        <w:rPr>
          <w:b/>
        </w:rPr>
        <w:t xml:space="preserve">Disclosures. </w:t>
      </w:r>
      <w:r>
        <w:t>The manuscript is original, is not under consideration elsewhere, and has been prepared for double-anonymous review. No human participants were recruited. The paper discloses its departures from the registered plan, including a defect in one domain of the frozen item bank and the omission of a planned blind review of the keys.</w:t>
      </w:r>
    </w:p>
    <w:p>
      <w:r>
        <w:rPr>
          <w:b w:val="0"/>
          <w:i w:val="0"/>
        </w:rPr>
        <w:t>Thank you for considering our work.</w:t>
      </w:r>
    </w:p>
    <w:p>
      <w:r>
        <w:t>Sincerely,</w:t>
        <w:br/>
        <w:t>Ook Lee</w:t>
        <w:br/>
        <w:t>Department of Information System, Hanyang University, Seoul, Korea</w:t>
        <w:br/>
        <w:t>ooklee@hanyang.ac.kr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