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ba40f67842dba2396149012ad07674a37e8c148"/>
    <w:p>
      <w:pPr>
        <w:pStyle w:val="Heading1"/>
      </w:pPr>
      <w:r>
        <w:t xml:space="preserve">Do Model Labels Mislead an Event Study? Presidential Posts and Oil Prices in the 2026 Hormuz Closure</w:t>
      </w:r>
    </w:p>
    <w:p>
      <w:pPr>
        <w:pStyle w:val="FirstParagraph"/>
      </w:pPr>
      <w:r>
        <w:t xml:space="preserve">[Author names and affiliations are on the separate title page.]</w:t>
      </w:r>
    </w:p>
    <w:p>
      <w:pPr>
        <w:pStyle w:val="BodyText"/>
      </w:pPr>
      <w:r>
        <w:rPr>
          <w:iCs/>
          <w:i/>
        </w:rPr>
        <w:t xml:space="preserve">Analyses carry a status given in Table A1; the plans behind them are files in a project repository, not entries in an independent registry.</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now label social-media posts in event studies, usually with agreement between model runs reported as reliability. Using 191 war-period posts from the U.S. president’s platform and tick data on oil during the 2026 Strait of Hormuz closure, we compare model labels with those of two human coders. The models agree with the humans at κ = 0.50 and over-label escalation (precision 0.49); four further runs under the humans’ own codebook do not improve this. On human labels, oil moves in the posts’ direction within 30 minutes by +1.05% after de-escalation posts (n = 29) and +0.48% after escalation posts (n = 16), more than at drift-matched placebo times; the model-labelled escalation estimates are smaller (0.17% to 0.35%) because the models add events that humans call de-escalation or other. Two thirds of the human escalation labels were adjudicated by the investigator, the move is preceded by drift, and the excess over the preceding 30 minutes is not reliably separable from it. The case shows that agreement with human readers, not between model runs, is the evidence a labelling needs.</w:t>
      </w:r>
    </w:p>
    <w:p>
      <w:pPr>
        <w:pStyle w:val="BodyText"/>
      </w:pPr>
      <w:r>
        <w:rPr>
          <w:bCs/>
          <w:b/>
        </w:rPr>
        <w:t xml:space="preserve">Keywords:</w:t>
      </w:r>
      <w:r>
        <w:t xml:space="preserve"> </w:t>
      </w:r>
      <w:r>
        <w:t xml:space="preserve">large language models as annotators, measurement validity, event study, social media, executive communication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12% within hours. Two weeks earlier, on 23 March, a post announcing a five-day postponement of strikes had been followed by a fall of 9.8%. Between those dates, and many times since, other posts threatened strikes, restated demands, or linked to commentary, and the market often barely moved. Whether and how platform posts relate to prices is an empirical question that depends on which posts are counted as what.</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Most such studies classify text automatically, and increasingly with large language models, which can match or exceed crowd workers on some annotation tasks (Gilardi et al. 2023; Ziems et al. 2024). The text-as-data literature has long urged that automatic classifications be validated against human readings before they enter downstream inference (Grimmer and Stewart 2013), and recent work shows how imperfect machine labels bias downstream estimates unless they are corrected with a validated subsample (Egami et al. 2023; Angelopoulos et al. 2023). In applied event studies, agreement between two runs of a model is often reported as reliability; that measures consistency, not validity, and agreement with human readers is less often reported next to the market result.</w:t>
      </w:r>
    </w:p>
    <w:p>
      <w:pPr>
        <w:pStyle w:val="BodyText"/>
      </w:pPr>
      <w:r>
        <w:t xml:space="preserve">We use the Hormuz closure to study that gap. The setting is favorable because one physical state (strait open or closed) dominated the news for months, because the president posted frequently about it, and because oil was priced continuously. We make two contributions. First, we show how the labelling changes the event-study answer. A model-labelled analysis found a response to de-escalation posts and none to escalation posts. Two human coders labelled all 191 war-period keyword posts; against them the model over-labels escalation, and four further model runs under the clearer codebook the humans used do not close the gap. On human labels both classes are followed by a directional move in oil, larger than at matched placebo times. The escalation response is attenuated under every model label set we tried, and for the original labels the difference from the human estimate is detectable; for the clearer-codebook labels it is not. The attenuation comes from the events the models add to the escalation class, not from noise shrinking the same effect. Second, we report which part of the human-label market result is robust (the direction of the post-period move) and which is not (its separation from pre-post drift beyond short windows, and the escalation result’s dependence on the investigator’s adjudication). Posting is also overdispersed and follows volatile hours, so posting times are not exogenous, and an information-theoretic account that motivated the study is not supported by its pre-specified tests (Appendices D and F). The paper does not identify a causal effect of posts on prices.</w:t>
      </w:r>
    </w:p>
    <w:p>
      <w:pPr>
        <w:pStyle w:val="BodyText"/>
      </w:pPr>
      <w:r>
        <w:t xml:space="preserve">Section 2 gives the scope. Section 3 describes the data and design. Section 4 reports results. Section 5 discusses contributions and limits, and Section 6 concludes. Exploratory, model-labelled and theory-motivated analyses are in the appendices.</w:t>
      </w:r>
    </w:p>
    <w:bookmarkEnd w:id="21"/>
    <w:bookmarkStart w:id="22" w:name="scope"/>
    <w:p>
      <w:pPr>
        <w:pStyle w:val="Heading2"/>
      </w:pPr>
      <w:r>
        <w:t xml:space="preserve">2. Scope</w:t>
      </w:r>
    </w:p>
    <w:p>
      <w:pPr>
        <w:pStyle w:val="FirstParagraph"/>
      </w:pPr>
      <w:r>
        <w:t xml:space="preserve">The paper concerns the measurement of what a head of state’s posts are (escalation or de-escalation of a military and supply risk) and how oil prices move around them. We began from an information-theoretic reading in which a post moves prices according to its surprisal, the prior uncertainty about the state it concerns and its redundancy; its pre-specified tests (novelty, prior uncertainty, their interaction, mutual information, timing surprisal) are not supported, use crude proxies, and are reported in Appendix F. They do not bear on the labelling question and no theory is claimed here. The study also does not identify a causal effect of posts on prices.</w:t>
      </w:r>
    </w:p>
    <w:bookmarkEnd w:id="22"/>
    <w:bookmarkStart w:id="28" w:name="data-and-design"/>
    <w:p>
      <w:pPr>
        <w:pStyle w:val="Heading2"/>
      </w:pPr>
      <w:r>
        <w:t xml:space="preserve">3. Data and Design</w:t>
      </w:r>
    </w:p>
    <w:bookmarkStart w:id="23" w:name="setting-and-data"/>
    <w:p>
      <w:pPr>
        <w:pStyle w:val="Heading3"/>
      </w:pPr>
      <w:r>
        <w:t xml:space="preserve">3.1 Setting and data</w:t>
      </w:r>
    </w:p>
    <w:p>
      <w:pPr>
        <w:pStyle w:val="FirstParagraph"/>
      </w:pPr>
      <w:r>
        <w:t xml:space="preserve">The war that began on Saturday 28 February 2026 provides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at the end of the sample.</w:t>
      </w:r>
    </w:p>
    <w:p>
      <w:pPr>
        <w:pStyle w:val="BodyText"/>
      </w:pPr>
      <w:r>
        <w:rPr>
          <w:iCs/>
          <w:i/>
        </w:rPr>
        <w:t xml:space="preserve">Posts.</w:t>
      </w:r>
      <w:r>
        <w:t xml:space="preserve"> </w:t>
      </w:r>
      <w:r>
        <w:t xml:space="preserve">We use the CNN-maintained archive of the president’s posts. Between 1 March and 13 October 2026 there are 4,838 original posts after removing pure re-posts; 373 mention Iran, and 108 mention Iran with a threat term. A keyword-selected set of 191 war-period posts is the frame for classification.</w:t>
      </w:r>
      <w:r>
        <w:t xml:space="preserve"> </w:t>
      </w:r>
      <w:r>
        <w:rPr>
          <w:iCs/>
          <w:i/>
        </w:rPr>
        <w:t xml:space="preserve">Markets.</w:t>
      </w:r>
      <w:r>
        <w:t xml:space="preserve"> </w:t>
      </w:r>
      <w:r>
        <w:t xml:space="preserve">Hourly bars for WTI and Brent, E-mini S&amp;P 500 and ten-year Treasury futures, the dollar index, USD/CNH, USD/KRW, gold and several equities cover October 2024 to October 2026. For timing we use tick quotes (mid price and bid–ask spread) for a WTI crude CFD from Dukascopy, 2017–2026 (hourly returns correlate 0.999 with the futures series). A price at time t is the mid of the last tick before t, accepted only if that tick is no more than ten minutes old; all windows used in the tick results have a tick no more than two minutes old.</w:t>
      </w:r>
    </w:p>
    <w:bookmarkEnd w:id="23"/>
    <w:bookmarkStart w:id="24" w:name="classifying-posts"/>
    <w:p>
      <w:pPr>
        <w:pStyle w:val="Heading3"/>
      </w:pPr>
      <w:r>
        <w:t xml:space="preserve">3.2 Classifying posts</w:t>
      </w:r>
    </w:p>
    <w:p>
      <w:pPr>
        <w:pStyle w:val="FirstParagraph"/>
      </w:pPr>
      <w:r>
        <w:rPr>
          <w:iCs/>
          <w:i/>
        </w:rPr>
        <w:t xml:space="preserve">Model labels, first stage.</w:t>
      </w:r>
      <w:r>
        <w:t xml:space="preserve"> </w:t>
      </w:r>
      <w:r>
        <w:t xml:space="preserve">Each post was classified by two independent runs of a large language model that received only the post text, for direction (escalation, de-escalation, mixed, other). The two runs are copies of one model (Anthropic’s Claude Sonnet 5.5, model ID claude-sonnet-5-5, run on 14 October 2026 through agent calls with default sampling settings; temperature was not set by us); their agreement (κ = 0.74 on the human-validation sample, 0.62–0.96 elsewhere) measures consistency. The first-stage analysis (Section 4.2) uses the first run’s labels (</w:t>
      </w:r>
      <w:r>
        <w:t xml:space="preserve">“</w:t>
      </w:r>
      <w:r>
        <w:t xml:space="preserve">model 1</w:t>
      </w:r>
      <w:r>
        <w:t xml:space="preserve">”</w:t>
      </w:r>
      <w:r>
        <w:t xml:space="preserve">). The model had not been given the codebook the human coders later used (Appendix B).</w:t>
      </w:r>
    </w:p>
    <w:p>
      <w:pPr>
        <w:pStyle w:val="BodyText"/>
      </w:pPr>
      <w:r>
        <w:rPr>
          <w:iCs/>
          <w:i/>
        </w:rPr>
        <w:t xml:space="preserve">Model labels, codebook v2.</w:t>
      </w:r>
      <w:r>
        <w:t xml:space="preserve"> </w:t>
      </w:r>
      <w:r>
        <w:t xml:space="preserve">After human validation we re-labelled all 191 war-period posts with four blind runs (three model sizes and a repeat of one) that received the human codebook v2 and the post texts as the humans saw them, in a different random order per run, and nothing else (Section 4.4; Appendix B). Their majority label is</w:t>
      </w:r>
      <w:r>
        <w:t xml:space="preserve"> </w:t>
      </w:r>
      <w:r>
        <w:t xml:space="preserve">“</w:t>
      </w:r>
      <w:r>
        <w:t xml:space="preserve">v2 majority</w:t>
      </w:r>
      <w:r>
        <w:t xml:space="preserve">”</w:t>
      </w:r>
      <w:r>
        <w:t xml:space="preserve">.</w:t>
      </w:r>
    </w:p>
    <w:p>
      <w:pPr>
        <w:pStyle w:val="BodyText"/>
      </w:pPr>
      <w:r>
        <w:rPr>
          <w:iCs/>
          <w:i/>
        </w:rPr>
        <w:t xml:space="preserve">Human labels.</w:t>
      </w:r>
      <w:r>
        <w:t xml:space="preserve"> </w:t>
      </w:r>
      <w:r>
        <w:t xml:space="preserve">Two human coders labelled the posts independently from the text alone in three rounds (Section 4.3), and agreement is reported as Cohen’s (1960) kappa. Disagreements were adjudicated from the text by the lead investigator, who knew the research question; 23.6% of all final labels, and 66% of the final escalation labels, are adjudicated (11% of the de-escalation labels). We report the coder-consensus subsample and the adjudicated subsample separately (Section 4.5). The two coders were doctoral students in information systems with extensive training in the field, and both belong to the authors’ department; neither had seen market data or had a particular interest in oil prices. They did not know the research question; because the war was a widely reported event, they remembered its course, and the labels may reflect that knowledge.</w:t>
      </w:r>
    </w:p>
    <w:bookmarkEnd w:id="24"/>
    <w:bookmarkStart w:id="25" w:name="outcomes"/>
    <w:p>
      <w:pPr>
        <w:pStyle w:val="Heading3"/>
      </w:pPr>
      <w:r>
        <w:t xml:space="preserve">3.3 Outcomes</w:t>
      </w:r>
    </w:p>
    <w:p>
      <w:pPr>
        <w:pStyle w:val="FirstParagraph"/>
      </w:pPr>
      <w:r>
        <w:t xml:space="preserve">The hourly outcome is the log change from the open of the bar containing the post to the close of the next bar (two hours), signed so that positive values are in the direction the post implies. The tick outcome is the directional log return from the last tick before the post to 5, 15, 30 or 60 minutes after, and the same window before the post for comparison; the 30-minute window is primary. A post is dropped if another of the 191 posts occurred in the previous three hours (cluster filter), or if the market was not open (no tick within ten minutes) at the post time or 30 minutes later.</w:t>
      </w:r>
    </w:p>
    <w:bookmarkEnd w:id="25"/>
    <w:bookmarkStart w:id="26" w:name="other-measures"/>
    <w:p>
      <w:pPr>
        <w:pStyle w:val="Heading3"/>
      </w:pPr>
      <w:r>
        <w:t xml:space="preserve">3.4 Other measures</w:t>
      </w:r>
    </w:p>
    <w:p>
      <w:pPr>
        <w:pStyle w:val="FirstParagraph"/>
      </w:pPr>
      <w:r>
        <w:t xml:space="preserve">Novelty, prior uncertainty, mutual information and the |z| outcome used for the information-theoretic tests are defined in Appendix F.</w:t>
      </w:r>
    </w:p>
    <w:bookmarkEnd w:id="26"/>
    <w:bookmarkStart w:id="27" w:name="status-of-analyses"/>
    <w:p>
      <w:pPr>
        <w:pStyle w:val="Heading3"/>
      </w:pPr>
      <w:r>
        <w:t xml:space="preserve">3.5 Status of analyses</w:t>
      </w:r>
    </w:p>
    <w:p>
      <w:pPr>
        <w:pStyle w:val="FirstParagraph"/>
      </w:pPr>
      <w:r>
        <w:t xml:space="preserve">Each analysis had a written plan committed to the repository before estimation, and plans state what had already been seen; we call such results pre-specified and do not call them pre-registered. The repository is not an independent registry, many plans were written after related results were seen, several were amended after a first result, and commit dates cluster on 13–14 October 2026. We follow the argument for pre-registration in observational work with many analytic choices (Nosek et al. 2018), but use the plans as a transparency device and classify every reported result as pre-specified (the plan preceded the relevant outcome and was not amended), amended, exploratory or post hoc (Table A1). Holm’s (1979) sequential procedure is applied within families defined in the plans (Appendix A); other p-values are unadjusted and reported as such. The human-label headline was not the original plan: a first pass with keyword classes, and then model labels, proved misleading, and the primary sample was redefined three times (33 model-labelled posts; 25 posts after round 2; 29 and 16 posts after round 3), each time after label quality or outcomes were known. The earlier versions are reported in Section 4 and the model re-labelling of Section 4.4 and the robustness variants of Section 4.5 were planned before they were computed.</w:t>
      </w:r>
    </w:p>
    <w:bookmarkEnd w:id="27"/>
    <w:bookmarkEnd w:id="28"/>
    <w:bookmarkStart w:id="42" w:name="results"/>
    <w:p>
      <w:pPr>
        <w:pStyle w:val="Heading2"/>
      </w:pPr>
      <w:r>
        <w:t xml:space="preserve">4. Results</w:t>
      </w:r>
    </w:p>
    <w:bookmarkStart w:id="29" w:name="X846a5653a17f0c273f64b07625f3593c9972ed3"/>
    <w:p>
      <w:pPr>
        <w:pStyle w:val="Heading3"/>
      </w:pPr>
      <w:r>
        <w:t xml:space="preserve">4.1 Posting is overdispersed and follows volatile hours</w:t>
      </w:r>
    </w:p>
    <w:p>
      <w:pPr>
        <w:pStyle w:val="FirstParagraph"/>
      </w:pPr>
      <w:r>
        <w:t xml:space="preserve">For the 108 posts that mention Iran with a threat term, daily counts have mean 0.48 and variance 0.74; the Pearson dispersion statistic is 350 on 226 degrees of freedom (p &lt; 0.001), and a negative binomial (Cameron and Trivedi 2013) with size 0.79 fits much better than a Poisson (LR p = 3 × 10⁻⁶). Inter-arrival times are bursty (mean 51 hours, median 21, coefficient of variation 1.94; exponential: 1). The overdispersion is not an artifact of the keyword class: among the model-labelled classes of war-period posts (a wider keyword set than the 108 threat-term posts), de-escalation posts (57) have a dispersion statistic of 367 and escalation posts (60) 430 (all p &lt; 10⁻⁸). Posting is also not independent of market conditions. In an hourly logit over 3,605 war-period bars, the absolute prior six-hour oil return predicts a de-escalation post (coefficient 0.115, p = 0.033) and an escalation post (0.144, p = 0.024); the signed prior return does not (p = 0.32 and 0.18). Posts follow volatile hours, so posting times cannot be treated as random for identification (Figure D1 and further arrival analyses are in Appendix D).</w:t>
      </w:r>
    </w:p>
    <w:bookmarkEnd w:id="29"/>
    <w:bookmarkStart w:id="30" w:name="first-stage-model-labels"/>
    <w:p>
      <w:pPr>
        <w:pStyle w:val="Heading3"/>
      </w:pPr>
      <w:r>
        <w:t xml:space="preserve">4.2 First stage: model labels</w:t>
      </w:r>
    </w:p>
    <w:p>
      <w:pPr>
        <w:pStyle w:val="FirstParagraph"/>
      </w:pPr>
      <w:r>
        <w:t xml:space="preserve">With the first model run’s labels, WTI fell by 1.29% in the two hours after a de-escalation post (n = 33; median 0.31%; 24 of 33 declines; sign test p = 0.007; Wilcoxon p = 0.005; week-block bootstrap 95% CI 0.43 to 2.27, 16 weeks). Two events (23 March, −9.8%; 7 April, −12.0%) account for half of the summed move; without them the mean is 0.67% and the median 0.30%. Brent fell by 1.21% and USD/KRW by 0.14%; after the same posts Treasury futures rose 0.10% (Holm-adjusted p = 0.004), the dollar index fell 0.11% (p = 0.014) and USD/CNH fell 0.04% (p = 0.02). These responses are measured on the same events and share a common oil and geopolitical factor; they are one finding in several assets. Posts labelled escalation by the model (n = 28) showed no response (WTI −0.02%; week-block CI −0.58 to 0.35), and the difference between the two classes was 1.31 points (permutation p = 0.011; rank-based p = 0.051).</w:t>
      </w:r>
    </w:p>
    <w:p>
      <w:pPr>
        <w:pStyle w:val="BodyText"/>
      </w:pPr>
      <w:r>
        <w:t xml:space="preserve">At hourly resolution the post cannot be separated from what came before it. The return in the hour before the post bar is already +0.36% in the direction of the post (p = 0.10), and the first full hour after it adds +0.34% (p = 0.18, the revised primary statistic, not supported); the paired difference is −0.02%. Of 20 cases examined against contemporaneous market-wire coverage, all show other reported drivers. We therefore describe the finding as co-movement. Whether the model’s asymmetry between classes was real depended on the validity of its labels, which we then tested (Figure E1 in Appendix E shows the model-labelled paths).</w:t>
      </w:r>
    </w:p>
    <w:bookmarkEnd w:id="30"/>
    <w:bookmarkStart w:id="31" w:name="human-validation-of-the-labels"/>
    <w:p>
      <w:pPr>
        <w:pStyle w:val="Heading3"/>
      </w:pPr>
      <w:r>
        <w:t xml:space="preserve">4.3 Human validation of the labels</w:t>
      </w:r>
    </w:p>
    <w:p>
      <w:pPr>
        <w:pStyle w:val="FirstParagraph"/>
      </w:pPr>
      <w:r>
        <w:t xml:space="preserve">In round 1, two human coders labelled 150 posts (67 from the war period, 23 pre-war Iran posts, 60 other oil-related posts). They agree at κ = 0.51; against the 97 posts on which both humans agree, the two model runs reach κ = 0.43 and 0.56 (moderate by our prior criteria), while agreeing with each other at κ = 0.74. The dominant error is a model de-escalation label where humans see an unrelated post (de-escalation precision about 0.52 and 0.54; recall 0.77 and 0.88). In round 2, the coders labelled all 61 war-period signal posts, the posts that the model had flagged and that the first-stage result rests on, with a clarified codebook (demands and ultimatums without an announced pause are escalation; de-escalation requires an announced pause, agreement, progress or reopening): humans agree at κ = 0.69, 13 disagreements were adjudicated, and the first model run agrees with the final labels at κ = 0.29. In round 3, the remaining 130 war-period keyword posts were labelled (humans κ = 0.61 on 129 posts with two labels). Across all 191 posts the final human labels are 79 other, 46 de-escalation, 41 escalation and 25 mixed; of 71 posts that the model called other or mixed, 14 (20%) are escalation or de-escalation for humans, so the model also misses signals.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Round</w:t>
            </w:r>
          </w:p>
        </w:tc>
        <w:tc>
          <w:tcPr/>
          <w:p>
            <w:pPr>
              <w:pStyle w:val="Compact"/>
              <w:jc w:val="left"/>
            </w:pPr>
            <w:r>
              <w:t xml:space="preserve">Posts</w:t>
            </w:r>
          </w:p>
        </w:tc>
        <w:tc>
          <w:tcPr/>
          <w:p>
            <w:pPr>
              <w:pStyle w:val="Compact"/>
              <w:jc w:val="left"/>
            </w:pPr>
            <w:r>
              <w:t xml:space="preserve">Human–human κ</w:t>
            </w:r>
          </w:p>
        </w:tc>
        <w:tc>
          <w:tcPr/>
          <w:p>
            <w:pPr>
              <w:pStyle w:val="Compact"/>
              <w:jc w:val="left"/>
            </w:pPr>
            <w:r>
              <w:t xml:space="preserve">Model 1 vs humans κ</w:t>
            </w:r>
          </w:p>
        </w:tc>
        <w:tc>
          <w:tcPr/>
          <w:p>
            <w:pPr>
              <w:pStyle w:val="Compact"/>
              <w:jc w:val="left"/>
            </w:pPr>
            <w:r>
              <w:t xml:space="preserve">Model 1 escalation precision</w:t>
            </w:r>
          </w:p>
        </w:tc>
        <w:tc>
          <w:tcPr/>
          <w:p>
            <w:pPr>
              <w:pStyle w:val="Compact"/>
              <w:jc w:val="left"/>
            </w:pPr>
            <w:r>
              <w:t xml:space="preserve">Model 1 de-escalation precision</w:t>
            </w:r>
          </w:p>
        </w:tc>
      </w:tr>
      <w:tr>
        <w:tc>
          <w:tcPr/>
          <w:p>
            <w:pPr>
              <w:pStyle w:val="Compact"/>
              <w:jc w:val="left"/>
            </w:pPr>
            <w:r>
              <w:t xml:space="preserve">1</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0.43 (97 consensus posts)</w:t>
            </w:r>
          </w:p>
        </w:tc>
        <w:tc>
          <w:tcPr/>
          <w:p>
            <w:pPr>
              <w:pStyle w:val="Compact"/>
              <w:jc w:val="left"/>
            </w:pPr>
            <w:r>
              <w:t xml:space="preserve">not computed</w:t>
            </w:r>
          </w:p>
        </w:tc>
        <w:tc>
          <w:tcPr/>
          <w:p>
            <w:pPr>
              <w:pStyle w:val="Compact"/>
              <w:jc w:val="left"/>
            </w:pPr>
            <w:r>
              <w:t xml:space="preserve">0.52</w:t>
            </w:r>
          </w:p>
        </w:tc>
      </w:tr>
      <w:tr>
        <w:tc>
          <w:tcPr/>
          <w:p>
            <w:pPr>
              <w:pStyle w:val="Compact"/>
              <w:jc w:val="left"/>
            </w:pPr>
            <w:r>
              <w:t xml:space="preserve">2</w:t>
            </w:r>
          </w:p>
        </w:tc>
        <w:tc>
          <w:tcPr/>
          <w:p>
            <w:pPr>
              <w:pStyle w:val="Compact"/>
              <w:jc w:val="left"/>
            </w:pPr>
            <w:r>
              <w:t xml:space="preserve">61</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0.36 (10 of 28)</w:t>
            </w:r>
          </w:p>
        </w:tc>
        <w:tc>
          <w:tcPr/>
          <w:p>
            <w:pPr>
              <w:pStyle w:val="Compact"/>
              <w:jc w:val="left"/>
            </w:pPr>
            <w:r>
              <w:t xml:space="preserve">0.64 (21 of 33)</w:t>
            </w:r>
          </w:p>
        </w:tc>
      </w:tr>
      <w:tr>
        <w:tc>
          <w:tcPr/>
          <w:p>
            <w:pPr>
              <w:pStyle w:val="Compact"/>
              <w:jc w:val="left"/>
            </w:pPr>
            <w:r>
              <w:t xml:space="preserve">3</w:t>
            </w:r>
          </w:p>
        </w:tc>
        <w:tc>
          <w:tcPr/>
          <w:p>
            <w:pPr>
              <w:pStyle w:val="Compact"/>
              <w:jc w:val="left"/>
            </w:pPr>
            <w:r>
              <w:t xml:space="preserve">130</w:t>
            </w:r>
          </w:p>
        </w:tc>
        <w:tc>
          <w:tcPr/>
          <w:p>
            <w:pPr>
              <w:pStyle w:val="Compact"/>
              <w:jc w:val="left"/>
            </w:pPr>
            <w:r>
              <w:t xml:space="preserve">0.61</w:t>
            </w:r>
          </w:p>
        </w:tc>
        <w:tc>
          <w:tcPr/>
          <w:p>
            <w:pPr>
              <w:pStyle w:val="Compact"/>
              <w:jc w:val="left"/>
            </w:pPr>
            <w:r>
              <w:t xml:space="preserve">0.55</w:t>
            </w:r>
          </w:p>
        </w:tc>
        <w:tc>
          <w:tcPr/>
          <w:p>
            <w:pPr>
              <w:pStyle w:val="Compact"/>
              <w:jc w:val="left"/>
            </w:pPr>
            <w:r>
              <w:t xml:space="preserve">0.60 (21 of 35)</w:t>
            </w:r>
          </w:p>
        </w:tc>
        <w:tc>
          <w:tcPr/>
          <w:p>
            <w:pPr>
              <w:pStyle w:val="Compact"/>
              <w:jc w:val="left"/>
            </w:pPr>
            <w:r>
              <w:t xml:space="preserve">0.58 (14 of 24)</w:t>
            </w:r>
          </w:p>
        </w:tc>
      </w:tr>
      <w:tr>
        <w:tc>
          <w:tcPr/>
          <w:p>
            <w:pPr>
              <w:pStyle w:val="Compact"/>
              <w:jc w:val="left"/>
            </w:pPr>
            <w:r>
              <w:t xml:space="preserve">Rounds 2–3, all war-period posts</w:t>
            </w:r>
          </w:p>
        </w:tc>
        <w:tc>
          <w:tcPr/>
          <w:p>
            <w:pPr>
              <w:pStyle w:val="Compact"/>
              <w:jc w:val="left"/>
            </w:pPr>
            <w:r>
              <w:t xml:space="preserve">191</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0.49 (31 of 63)</w:t>
            </w:r>
          </w:p>
        </w:tc>
        <w:tc>
          <w:tcPr/>
          <w:p>
            <w:pPr>
              <w:pStyle w:val="Compact"/>
              <w:jc w:val="left"/>
            </w:pPr>
            <w:r>
              <w:t xml:space="preserve">0.61 (35 of 57)</w:t>
            </w:r>
          </w:p>
        </w:tc>
      </w:tr>
    </w:tbl>
    <w:p>
      <w:pPr>
        <w:pStyle w:val="BodyText"/>
      </w:pPr>
      <w:r>
        <w:rPr>
          <w:iCs/>
          <w:i/>
        </w:rPr>
        <w:t xml:space="preserve">Table 1. Agreement between human coders and between model 1 and the final human labels. In round 1 the second model run reaches κ = 0.56.</w:t>
      </w:r>
    </w:p>
    <w:p>
      <w:pPr>
        <w:pStyle w:val="BodyText"/>
      </w:pPr>
      <w:r>
        <w:t xml:space="preserve">The 36% escalation precision that drove the first-stage reading is a round-2 figure on posts that the model itself had selected as signals; pooled over all war-period posts it is 49%, so about half of the model’s escalation labels are escalation in human judgment, not nearly two thirds wrong. κ is also sensitive to class prevalence (79 of 191 posts are</w:t>
      </w:r>
      <w:r>
        <w:t xml:space="preserve"> </w:t>
      </w:r>
      <w:r>
        <w:t xml:space="preserve">“</w:t>
      </w:r>
      <w:r>
        <w:t xml:space="preserve">other</w:t>
      </w:r>
      <w:r>
        <w:t xml:space="preserve">”</w:t>
      </w:r>
      <w:r>
        <w:t xml:space="preserve">), and we therefore report Gwet’s AC1 alongside it in Table 2.</w:t>
      </w:r>
    </w:p>
    <w:bookmarkEnd w:id="31"/>
    <w:bookmarkStart w:id="35" w:name="X2e50dca0591954eef904e823f77d6e21035479b"/>
    <w:p>
      <w:pPr>
        <w:pStyle w:val="Heading3"/>
      </w:pPr>
      <w:r>
        <w:t xml:space="preserve">4.4 Does a clearer codebook repair the model labels?</w:t>
      </w:r>
    </w:p>
    <w:p>
      <w:pPr>
        <w:pStyle w:val="FirstParagraph"/>
      </w:pPr>
      <w:r>
        <w:t xml:space="preserve">The human coders used codebook v2, written after round 1 showed where the model had gone wrong, whereas model 1 never saw it, so the gap could reflect the prompt. We tested this with four blind re-runs under codebook v2 (opus, sonnet, haiku and a repeat of sonnet; plan written before the labels were seen; Section 3.2). The runs agree with each other at κ 0.69 to 0.84, and with the humans at κ = 0.48 to 0.51 over all 191 posts, no better than model 1 (Table 2). The codebook raised agreement in round 2 (κ 0.29 to 0.37–0.45) and not over the full set. The persistent pattern is over-labelling of escalation: the humans call 41 posts escalation, each run calls 73 to 85, with precision 0.45 to 0.48 and recall 0.85 to 0.93. By the rule fixed in advance (a prompt explanation would require κ ≥ 0.60 and escalation precision ≥ 0.70), the first-stage failure is not a prompt problem.</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Labels</w:t>
            </w:r>
          </w:p>
        </w:tc>
        <w:tc>
          <w:tcPr/>
          <w:p>
            <w:pPr>
              <w:pStyle w:val="Compact"/>
              <w:jc w:val="left"/>
            </w:pPr>
            <w:r>
              <w:t xml:space="preserve">κ (95% CI)</w:t>
            </w:r>
          </w:p>
        </w:tc>
        <w:tc>
          <w:tcPr/>
          <w:p>
            <w:pPr>
              <w:pStyle w:val="Compact"/>
              <w:jc w:val="left"/>
            </w:pPr>
            <w:r>
              <w:t xml:space="preserve">AC1</w:t>
            </w:r>
          </w:p>
        </w:tc>
        <w:tc>
          <w:tcPr/>
          <w:p>
            <w:pPr>
              <w:pStyle w:val="Compact"/>
              <w:jc w:val="left"/>
            </w:pPr>
            <w:r>
              <w:t xml:space="preserve">Escalation predicted</w:t>
            </w:r>
          </w:p>
        </w:tc>
        <w:tc>
          <w:tcPr/>
          <w:p>
            <w:pPr>
              <w:pStyle w:val="Compact"/>
              <w:jc w:val="left"/>
            </w:pPr>
            <w:r>
              <w:t xml:space="preserve">Escalation precision / recall</w:t>
            </w:r>
          </w:p>
        </w:tc>
        <w:tc>
          <w:tcPr/>
          <w:p>
            <w:pPr>
              <w:pStyle w:val="Compact"/>
              <w:jc w:val="left"/>
            </w:pPr>
            <w:r>
              <w:t xml:space="preserve">De-escalation precision / recall</w:t>
            </w:r>
          </w:p>
        </w:tc>
      </w:tr>
      <w:tr>
        <w:tc>
          <w:tcPr/>
          <w:p>
            <w:pPr>
              <w:pStyle w:val="Compact"/>
              <w:jc w:val="left"/>
            </w:pPr>
            <w:r>
              <w:t xml:space="preserve">Model 1 (original)</w:t>
            </w:r>
          </w:p>
        </w:tc>
        <w:tc>
          <w:tcPr/>
          <w:p>
            <w:pPr>
              <w:pStyle w:val="Compact"/>
              <w:jc w:val="left"/>
            </w:pPr>
            <w:r>
              <w:t xml:space="preserve">0.50 (0.41–0.59)</w:t>
            </w:r>
          </w:p>
        </w:tc>
        <w:tc>
          <w:tcPr/>
          <w:p>
            <w:pPr>
              <w:pStyle w:val="Compact"/>
              <w:jc w:val="left"/>
            </w:pPr>
            <w:r>
              <w:t xml:space="preserve">0.53</w:t>
            </w:r>
          </w:p>
        </w:tc>
        <w:tc>
          <w:tcPr/>
          <w:p>
            <w:pPr>
              <w:pStyle w:val="Compact"/>
              <w:jc w:val="left"/>
            </w:pPr>
            <w:r>
              <w:t xml:space="preserve">63</w:t>
            </w:r>
          </w:p>
        </w:tc>
        <w:tc>
          <w:tcPr/>
          <w:p>
            <w:pPr>
              <w:pStyle w:val="Compact"/>
              <w:jc w:val="left"/>
            </w:pPr>
            <w:r>
              <w:t xml:space="preserve">0.49 / 0.76</w:t>
            </w:r>
          </w:p>
        </w:tc>
        <w:tc>
          <w:tcPr/>
          <w:p>
            <w:pPr>
              <w:pStyle w:val="Compact"/>
              <w:jc w:val="left"/>
            </w:pPr>
            <w:r>
              <w:t xml:space="preserve">0.61 / 0.76</w:t>
            </w:r>
          </w:p>
        </w:tc>
      </w:tr>
      <w:tr>
        <w:tc>
          <w:tcPr/>
          <w:p>
            <w:pPr>
              <w:pStyle w:val="Compact"/>
              <w:jc w:val="left"/>
            </w:pPr>
            <w:r>
              <w:t xml:space="preserve">v2 opus</w:t>
            </w:r>
          </w:p>
        </w:tc>
        <w:tc>
          <w:tcPr/>
          <w:p>
            <w:pPr>
              <w:pStyle w:val="Compact"/>
              <w:jc w:val="left"/>
            </w:pPr>
            <w:r>
              <w:t xml:space="preserve">0.48 (0.39–0.57)</w:t>
            </w:r>
          </w:p>
        </w:tc>
        <w:tc>
          <w:tcPr/>
          <w:p>
            <w:pPr>
              <w:pStyle w:val="Compact"/>
              <w:jc w:val="left"/>
            </w:pPr>
            <w:r>
              <w:t xml:space="preserve">0.50</w:t>
            </w:r>
          </w:p>
        </w:tc>
        <w:tc>
          <w:tcPr/>
          <w:p>
            <w:pPr>
              <w:pStyle w:val="Compact"/>
              <w:jc w:val="left"/>
            </w:pPr>
            <w:r>
              <w:t xml:space="preserve">78</w:t>
            </w:r>
          </w:p>
        </w:tc>
        <w:tc>
          <w:tcPr/>
          <w:p>
            <w:pPr>
              <w:pStyle w:val="Compact"/>
              <w:jc w:val="left"/>
            </w:pPr>
            <w:r>
              <w:t xml:space="preserve">0.45 / 0.85</w:t>
            </w:r>
          </w:p>
        </w:tc>
        <w:tc>
          <w:tcPr/>
          <w:p>
            <w:pPr>
              <w:pStyle w:val="Compact"/>
              <w:jc w:val="left"/>
            </w:pPr>
            <w:r>
              <w:t xml:space="preserve">0.68 / 0.78</w:t>
            </w:r>
          </w:p>
        </w:tc>
      </w:tr>
      <w:tr>
        <w:tc>
          <w:tcPr/>
          <w:p>
            <w:pPr>
              <w:pStyle w:val="Compact"/>
              <w:jc w:val="left"/>
            </w:pPr>
            <w:r>
              <w:t xml:space="preserve">v2 sonnet</w:t>
            </w:r>
          </w:p>
        </w:tc>
        <w:tc>
          <w:tcPr/>
          <w:p>
            <w:pPr>
              <w:pStyle w:val="Compact"/>
              <w:jc w:val="left"/>
            </w:pPr>
            <w:r>
              <w:t xml:space="preserve">0.51 (0.43–0.60)</w:t>
            </w:r>
          </w:p>
        </w:tc>
        <w:tc>
          <w:tcPr/>
          <w:p>
            <w:pPr>
              <w:pStyle w:val="Compact"/>
              <w:jc w:val="left"/>
            </w:pPr>
            <w:r>
              <w:t xml:space="preserve">0.53</w:t>
            </w:r>
          </w:p>
        </w:tc>
        <w:tc>
          <w:tcPr/>
          <w:p>
            <w:pPr>
              <w:pStyle w:val="Compact"/>
              <w:jc w:val="left"/>
            </w:pPr>
            <w:r>
              <w:t xml:space="preserve">85</w:t>
            </w:r>
          </w:p>
        </w:tc>
        <w:tc>
          <w:tcPr/>
          <w:p>
            <w:pPr>
              <w:pStyle w:val="Compact"/>
              <w:jc w:val="left"/>
            </w:pPr>
            <w:r>
              <w:t xml:space="preserve">0.45 / 0.93</w:t>
            </w:r>
          </w:p>
        </w:tc>
        <w:tc>
          <w:tcPr/>
          <w:p>
            <w:pPr>
              <w:pStyle w:val="Compact"/>
              <w:jc w:val="left"/>
            </w:pPr>
            <w:r>
              <w:t xml:space="preserve">0.76 / 0.74</w:t>
            </w:r>
          </w:p>
        </w:tc>
      </w:tr>
      <w:tr>
        <w:tc>
          <w:tcPr/>
          <w:p>
            <w:pPr>
              <w:pStyle w:val="Compact"/>
              <w:jc w:val="left"/>
            </w:pPr>
            <w:r>
              <w:t xml:space="preserve">v2 haiku</w:t>
            </w:r>
          </w:p>
        </w:tc>
        <w:tc>
          <w:tcPr/>
          <w:p>
            <w:pPr>
              <w:pStyle w:val="Compact"/>
              <w:jc w:val="left"/>
            </w:pPr>
            <w:r>
              <w:t xml:space="preserve">0.50 (0.41–0.58)</w:t>
            </w:r>
          </w:p>
        </w:tc>
        <w:tc>
          <w:tcPr/>
          <w:p>
            <w:pPr>
              <w:pStyle w:val="Compact"/>
              <w:jc w:val="left"/>
            </w:pPr>
            <w:r>
              <w:t xml:space="preserve">0.52</w:t>
            </w:r>
          </w:p>
        </w:tc>
        <w:tc>
          <w:tcPr/>
          <w:p>
            <w:pPr>
              <w:pStyle w:val="Compact"/>
              <w:jc w:val="left"/>
            </w:pPr>
            <w:r>
              <w:t xml:space="preserve">76</w:t>
            </w:r>
          </w:p>
        </w:tc>
        <w:tc>
          <w:tcPr/>
          <w:p>
            <w:pPr>
              <w:pStyle w:val="Compact"/>
              <w:jc w:val="left"/>
            </w:pPr>
            <w:r>
              <w:t xml:space="preserve">0.46 / 0.85</w:t>
            </w:r>
          </w:p>
        </w:tc>
        <w:tc>
          <w:tcPr/>
          <w:p>
            <w:pPr>
              <w:pStyle w:val="Compact"/>
              <w:jc w:val="left"/>
            </w:pPr>
            <w:r>
              <w:t xml:space="preserve">0.77 / 0.74</w:t>
            </w:r>
          </w:p>
        </w:tc>
      </w:tr>
      <w:tr>
        <w:tc>
          <w:tcPr/>
          <w:p>
            <w:pPr>
              <w:pStyle w:val="Compact"/>
              <w:jc w:val="left"/>
            </w:pPr>
            <w:r>
              <w:t xml:space="preserve">v2 sonnet repeat</w:t>
            </w:r>
          </w:p>
        </w:tc>
        <w:tc>
          <w:tcPr/>
          <w:p>
            <w:pPr>
              <w:pStyle w:val="Compact"/>
              <w:jc w:val="left"/>
            </w:pPr>
            <w:r>
              <w:t xml:space="preserve">0.49 (0.41–0.58)</w:t>
            </w:r>
          </w:p>
        </w:tc>
        <w:tc>
          <w:tcPr/>
          <w:p>
            <w:pPr>
              <w:pStyle w:val="Compact"/>
              <w:jc w:val="left"/>
            </w:pPr>
            <w:r>
              <w:t xml:space="preserve">0.51</w:t>
            </w:r>
          </w:p>
        </w:tc>
        <w:tc>
          <w:tcPr/>
          <w:p>
            <w:pPr>
              <w:pStyle w:val="Compact"/>
              <w:jc w:val="left"/>
            </w:pPr>
            <w:r>
              <w:t xml:space="preserve">73</w:t>
            </w:r>
          </w:p>
        </w:tc>
        <w:tc>
          <w:tcPr/>
          <w:p>
            <w:pPr>
              <w:pStyle w:val="Compact"/>
              <w:jc w:val="left"/>
            </w:pPr>
            <w:r>
              <w:t xml:space="preserve">0.48 / 0.85</w:t>
            </w:r>
          </w:p>
        </w:tc>
        <w:tc>
          <w:tcPr/>
          <w:p>
            <w:pPr>
              <w:pStyle w:val="Compact"/>
              <w:jc w:val="left"/>
            </w:pPr>
            <w:r>
              <w:t xml:space="preserve">0.70 / 0.70</w:t>
            </w:r>
          </w:p>
        </w:tc>
      </w:tr>
      <w:tr>
        <w:tc>
          <w:tcPr/>
          <w:p>
            <w:pPr>
              <w:pStyle w:val="Compact"/>
              <w:jc w:val="left"/>
            </w:pPr>
            <w:r>
              <w:t xml:space="preserve">v2 majority</w:t>
            </w:r>
          </w:p>
        </w:tc>
        <w:tc>
          <w:tcPr/>
          <w:p>
            <w:pPr>
              <w:pStyle w:val="Compact"/>
              <w:jc w:val="left"/>
            </w:pPr>
            <w:r>
              <w:t xml:space="preserve">0.50 (0.41–0.59)</w:t>
            </w:r>
          </w:p>
        </w:tc>
        <w:tc>
          <w:tcPr/>
          <w:p>
            <w:pPr>
              <w:pStyle w:val="Compact"/>
              <w:jc w:val="left"/>
            </w:pPr>
            <w:r>
              <w:t xml:space="preserve">0.52</w:t>
            </w:r>
          </w:p>
        </w:tc>
        <w:tc>
          <w:tcPr/>
          <w:p>
            <w:pPr>
              <w:pStyle w:val="Compact"/>
              <w:jc w:val="left"/>
            </w:pPr>
            <w:r>
              <w:t xml:space="preserve">77</w:t>
            </w:r>
          </w:p>
        </w:tc>
        <w:tc>
          <w:tcPr/>
          <w:p>
            <w:pPr>
              <w:pStyle w:val="Compact"/>
              <w:jc w:val="left"/>
            </w:pPr>
            <w:r>
              <w:t xml:space="preserve">0.45 / 0.85</w:t>
            </w:r>
          </w:p>
        </w:tc>
        <w:tc>
          <w:tcPr/>
          <w:p>
            <w:pPr>
              <w:pStyle w:val="Compact"/>
              <w:jc w:val="left"/>
            </w:pPr>
            <w:r>
              <w:t xml:space="preserve">0.71 / 0.78</w:t>
            </w:r>
          </w:p>
        </w:tc>
      </w:tr>
    </w:tbl>
    <w:p>
      <w:pPr>
        <w:pStyle w:val="BodyText"/>
      </w:pPr>
      <w:r>
        <w:rPr>
          <w:iCs/>
          <w:i/>
        </w:rPr>
        <w:t xml:space="preserve">Table 2. Agreement with the final human labels (191 war-period posts; humans label 41 escalation and 46 de-escalation). Model IDs: opus claude-opus-5-5, sonnet claude-sonnet-5-5, haiku claude-haiku-5-5, sonnet repeat claude-sonnet-5-5; all run on 14 October 2026 with default sampling settings.</w:t>
      </w:r>
    </w:p>
    <w:p>
      <w:pPr>
        <w:pStyle w:val="BodyText"/>
      </w:pPr>
      <w:r>
        <w:t xml:space="preserve">We then asked whether the label set matters for the market estimate, on the same 95 events (posts passing the three-hour filter with a valid 30-minute window) so that only the labelling differs (Table 3). The de-escalation response is the same under every label set (0.90 to 1.05%). The escalation response is smaller under every model label set (0.17 to 0.35% against 0.48%) because the model sets add posts that humans do not call escalation. Under the original labels it cannot be distinguished from zero (p = 0.53) and differs from the human estimate (difference +0.31 points, day-clustered 95% CI 0.02 to 0.65, p = 0.04). Under the v2 majority it is +0.32% (p = 0.047) and the difference from the human estimate is +0.16 (CI −0.12 to 0.47, p = 0.27). So the first-stage statement that escalation posts show no response holds for the original labels only; what every label set supports is that the escalation response is smaller and less certain than the de-escalation response (Figure 3). The contrast with the human estimate is one of twelve comparisons without a multiplicity correction, the intervals overlap, and a difference between a significant and a non-significant estimate is not itself a test, so we call the difference suggestive, not established.</w:t>
      </w:r>
    </w:p>
    <w:p>
      <w:pPr>
        <w:pStyle w:val="BodyText"/>
      </w:pPr>
      <w:r>
        <w:rPr>
          <w:iCs/>
          <w:i/>
        </w:rPr>
        <w:t xml:space="preserve">Why the models’ estimate is smaller.</w:t>
      </w:r>
      <w:r>
        <w:t xml:space="preserve"> </w:t>
      </w:r>
      <w:r>
        <w:t xml:space="preserve">The decomposition in Table 3b shows that the attenuation is event selection. Under the v2 majority, 30 events are labelled escalation: 14 are also escalation for humans (mean directional return +0.53%), 8 are mixed (+0.71%), and 8 are de-escalation or other (−0.84% and −0.30%). The model sets add events that humans do not call escalation, and the ones humans call de-escalation or other have returns of the wrong sign for the escalation class. This is not classical noise shrinking the same effect: misclassified events enter with their own signs.</w:t>
      </w:r>
    </w:p>
    <w:p>
      <w:pPr>
        <w:pStyle w:val="CaptionedFigure"/>
      </w:pPr>
      <w:r>
        <w:drawing>
          <wp:inline>
            <wp:extent cx="5334000" cy="2133599"/>
            <wp:effectExtent b="0" l="0" r="0" t="0"/>
            <wp:docPr descr="Figure 3" title="" id="33" name="Picture"/>
            <a:graphic>
              <a:graphicData uri="http://schemas.openxmlformats.org/drawingml/2006/picture">
                <pic:pic>
                  <pic:nvPicPr>
                    <pic:cNvPr descr="figs/fig_forest_labelsets.png" id="34" name="Picture"/>
                    <pic:cNvPicPr>
                      <a:picLocks noChangeArrowheads="1" noChangeAspect="1"/>
                    </pic:cNvPicPr>
                  </pic:nvPicPr>
                  <pic:blipFill>
                    <a:blip r:embed="rId32"/>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Mean directional 30-minute WTI return by class under each label set, with day-clustered 95% confidence intervals, on the same 95 events.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Model labels, class</w:t>
            </w:r>
          </w:p>
        </w:tc>
        <w:tc>
          <w:tcPr/>
          <w:p>
            <w:pPr>
              <w:pStyle w:val="Compact"/>
              <w:jc w:val="left"/>
            </w:pPr>
            <w:r>
              <w:t xml:space="preserve">Model-labelled events</w:t>
            </w:r>
          </w:p>
        </w:tc>
        <w:tc>
          <w:tcPr/>
          <w:p>
            <w:pPr>
              <w:pStyle w:val="Compact"/>
              <w:jc w:val="left"/>
            </w:pPr>
            <w:r>
              <w:t xml:space="preserve">Also human class (mean)</w:t>
            </w:r>
          </w:p>
        </w:tc>
        <w:tc>
          <w:tcPr/>
          <w:p>
            <w:pPr>
              <w:pStyle w:val="Compact"/>
              <w:jc w:val="left"/>
            </w:pPr>
            <w:r>
              <w:t xml:space="preserve">Human de-escalation</w:t>
            </w:r>
          </w:p>
        </w:tc>
        <w:tc>
          <w:tcPr/>
          <w:p>
            <w:pPr>
              <w:pStyle w:val="Compact"/>
              <w:jc w:val="left"/>
            </w:pPr>
            <w:r>
              <w:t xml:space="preserve">Human mixed</w:t>
            </w:r>
          </w:p>
        </w:tc>
        <w:tc>
          <w:tcPr/>
          <w:p>
            <w:pPr>
              <w:pStyle w:val="Compact"/>
              <w:jc w:val="left"/>
            </w:pPr>
            <w:r>
              <w:t xml:space="preserve">Human other</w:t>
            </w:r>
          </w:p>
        </w:tc>
      </w:tr>
      <w:tr>
        <w:tc>
          <w:tcPr/>
          <w:p>
            <w:pPr>
              <w:pStyle w:val="Compact"/>
              <w:jc w:val="left"/>
            </w:pPr>
            <w:r>
              <w:t xml:space="preserve">Model 1, escalation</w:t>
            </w:r>
          </w:p>
        </w:tc>
        <w:tc>
          <w:tcPr/>
          <w:p>
            <w:pPr>
              <w:pStyle w:val="Compact"/>
              <w:jc w:val="left"/>
            </w:pPr>
            <w:r>
              <w:t xml:space="preserve">24</w:t>
            </w:r>
          </w:p>
        </w:tc>
        <w:tc>
          <w:tcPr/>
          <w:p>
            <w:pPr>
              <w:pStyle w:val="Compact"/>
              <w:jc w:val="left"/>
            </w:pPr>
            <w:r>
              <w:t xml:space="preserve">10 (+0.45)</w:t>
            </w:r>
          </w:p>
        </w:tc>
        <w:tc>
          <w:tcPr/>
          <w:p>
            <w:pPr>
              <w:pStyle w:val="Compact"/>
              <w:jc w:val="left"/>
            </w:pPr>
            <w:r>
              <w:t xml:space="preserve">4 (−0.43)</w:t>
            </w:r>
          </w:p>
        </w:tc>
        <w:tc>
          <w:tcPr/>
          <w:p>
            <w:pPr>
              <w:pStyle w:val="Compact"/>
              <w:jc w:val="left"/>
            </w:pPr>
            <w:r>
              <w:t xml:space="preserve">5 (+0.71)</w:t>
            </w:r>
          </w:p>
        </w:tc>
        <w:tc>
          <w:tcPr/>
          <w:p>
            <w:pPr>
              <w:pStyle w:val="Compact"/>
              <w:jc w:val="left"/>
            </w:pPr>
            <w:r>
              <w:t xml:space="preserve">5 (−0.44)</w:t>
            </w:r>
          </w:p>
        </w:tc>
      </w:tr>
      <w:tr>
        <w:tc>
          <w:tcPr/>
          <w:p>
            <w:pPr>
              <w:pStyle w:val="Compact"/>
              <w:jc w:val="left"/>
            </w:pPr>
            <w:r>
              <w:t xml:space="preserve">v2 majority, escalation</w:t>
            </w:r>
          </w:p>
        </w:tc>
        <w:tc>
          <w:tcPr/>
          <w:p>
            <w:pPr>
              <w:pStyle w:val="Compact"/>
              <w:jc w:val="left"/>
            </w:pPr>
            <w:r>
              <w:t xml:space="preserve">30</w:t>
            </w:r>
          </w:p>
        </w:tc>
        <w:tc>
          <w:tcPr/>
          <w:p>
            <w:pPr>
              <w:pStyle w:val="Compact"/>
              <w:jc w:val="left"/>
            </w:pPr>
            <w:r>
              <w:t xml:space="preserve">14 (+0.53)</w:t>
            </w:r>
          </w:p>
        </w:tc>
        <w:tc>
          <w:tcPr/>
          <w:p>
            <w:pPr>
              <w:pStyle w:val="Compact"/>
              <w:jc w:val="left"/>
            </w:pPr>
            <w:r>
              <w:t xml:space="preserve">2 (−0.84)</w:t>
            </w:r>
          </w:p>
        </w:tc>
        <w:tc>
          <w:tcPr/>
          <w:p>
            <w:pPr>
              <w:pStyle w:val="Compact"/>
              <w:jc w:val="left"/>
            </w:pPr>
            <w:r>
              <w:t xml:space="preserve">8 (+0.71)</w:t>
            </w:r>
          </w:p>
        </w:tc>
        <w:tc>
          <w:tcPr/>
          <w:p>
            <w:pPr>
              <w:pStyle w:val="Compact"/>
              <w:jc w:val="left"/>
            </w:pPr>
            <w:r>
              <w:t xml:space="preserve">6 (−0.30)</w:t>
            </w:r>
          </w:p>
        </w:tc>
      </w:tr>
      <w:tr>
        <w:tc>
          <w:tcPr/>
          <w:p>
            <w:pPr>
              <w:pStyle w:val="Compact"/>
              <w:jc w:val="left"/>
            </w:pPr>
            <w:r>
              <w:t xml:space="preserve">Model 1, de-escalation</w:t>
            </w:r>
          </w:p>
        </w:tc>
        <w:tc>
          <w:tcPr/>
          <w:p>
            <w:pPr>
              <w:pStyle w:val="Compact"/>
              <w:jc w:val="left"/>
            </w:pPr>
            <w:r>
              <w:t xml:space="preserve">34</w:t>
            </w:r>
          </w:p>
        </w:tc>
        <w:tc>
          <w:tcPr/>
          <w:p>
            <w:pPr>
              <w:pStyle w:val="Compact"/>
              <w:jc w:val="left"/>
            </w:pPr>
            <w:r>
              <w:t xml:space="preserve">23 (+1.15)</w:t>
            </w:r>
          </w:p>
        </w:tc>
        <w:tc>
          <w:tcPr/>
          <w:p>
            <w:pPr>
              <w:pStyle w:val="Compact"/>
              <w:jc w:val="left"/>
            </w:pPr>
            <w:r>
              <w:t xml:space="preserve">—</w:t>
            </w:r>
          </w:p>
        </w:tc>
        <w:tc>
          <w:tcPr/>
          <w:p>
            <w:pPr>
              <w:pStyle w:val="Compact"/>
              <w:jc w:val="left"/>
            </w:pPr>
            <w:r>
              <w:t xml:space="preserve">4 (+0.99)</w:t>
            </w:r>
          </w:p>
        </w:tc>
        <w:tc>
          <w:tcPr/>
          <w:p>
            <w:pPr>
              <w:pStyle w:val="Compact"/>
              <w:jc w:val="left"/>
            </w:pPr>
            <w:r>
              <w:t xml:space="preserve">6 (+0.23)</w:t>
            </w:r>
          </w:p>
        </w:tc>
      </w:tr>
      <w:tr>
        <w:tc>
          <w:tcPr/>
          <w:p>
            <w:pPr>
              <w:pStyle w:val="Compact"/>
              <w:jc w:val="left"/>
            </w:pPr>
            <w:r>
              <w:t xml:space="preserve">v2 majority, de-escalation</w:t>
            </w:r>
          </w:p>
        </w:tc>
        <w:tc>
          <w:tcPr/>
          <w:p>
            <w:pPr>
              <w:pStyle w:val="Compact"/>
              <w:jc w:val="left"/>
            </w:pPr>
            <w:r>
              <w:t xml:space="preserve">33</w:t>
            </w:r>
          </w:p>
        </w:tc>
        <w:tc>
          <w:tcPr/>
          <w:p>
            <w:pPr>
              <w:pStyle w:val="Compact"/>
              <w:jc w:val="left"/>
            </w:pPr>
            <w:r>
              <w:t xml:space="preserve">24 (+1.06)</w:t>
            </w:r>
          </w:p>
        </w:tc>
        <w:tc>
          <w:tcPr/>
          <w:p>
            <w:pPr>
              <w:pStyle w:val="Compact"/>
              <w:jc w:val="left"/>
            </w:pPr>
            <w:r>
              <w:t xml:space="preserve">—</w:t>
            </w:r>
          </w:p>
        </w:tc>
        <w:tc>
          <w:tcPr/>
          <w:p>
            <w:pPr>
              <w:pStyle w:val="Compact"/>
              <w:jc w:val="left"/>
            </w:pPr>
            <w:r>
              <w:t xml:space="preserve">4 (+0.99)</w:t>
            </w:r>
          </w:p>
        </w:tc>
        <w:tc>
          <w:tcPr/>
          <w:p>
            <w:pPr>
              <w:pStyle w:val="Compact"/>
              <w:jc w:val="left"/>
            </w:pPr>
            <w:r>
              <w:t xml:space="preserve">5 (+0.38)</w:t>
            </w:r>
          </w:p>
        </w:tc>
      </w:tr>
    </w:tbl>
    <w:p>
      <w:pPr>
        <w:pStyle w:val="BodyText"/>
      </w:pPr>
      <w:r>
        <w:rPr>
          <w:iCs/>
          <w:i/>
        </w:rPr>
        <w:t xml:space="preserve">Table 3b. Events labelled by the model, split by the human label; mean directional return (percent) in the direction of the model’s class. One model-1 de-escalation event is human escalation (−1.30).</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Label set</w:t>
            </w:r>
          </w:p>
        </w:tc>
        <w:tc>
          <w:tcPr/>
          <w:p>
            <w:pPr>
              <w:pStyle w:val="Compact"/>
              <w:jc w:val="left"/>
            </w:pPr>
            <w:r>
              <w:t xml:space="preserve">De-escalation: n, mean (median), p</w:t>
            </w:r>
          </w:p>
        </w:tc>
        <w:tc>
          <w:tcPr/>
          <w:p>
            <w:pPr>
              <w:pStyle w:val="Compact"/>
              <w:jc w:val="left"/>
            </w:pPr>
            <w:r>
              <w:t xml:space="preserve">Escalation: n, mean (median), p</w:t>
            </w:r>
          </w:p>
        </w:tc>
        <w:tc>
          <w:tcPr/>
          <w:p>
            <w:pPr>
              <w:pStyle w:val="Compact"/>
              <w:jc w:val="left"/>
            </w:pPr>
            <w:r>
              <w:t xml:space="preserve">Human minus labels, escalation: difference (95% CI), p</w:t>
            </w:r>
          </w:p>
        </w:tc>
      </w:tr>
      <w:tr>
        <w:tc>
          <w:tcPr/>
          <w:p>
            <w:pPr>
              <w:pStyle w:val="Compact"/>
              <w:jc w:val="left"/>
            </w:pPr>
            <w:r>
              <w:t xml:space="preserve">Human</w:t>
            </w:r>
          </w:p>
        </w:tc>
        <w:tc>
          <w:tcPr/>
          <w:p>
            <w:pPr>
              <w:pStyle w:val="Compact"/>
              <w:jc w:val="left"/>
            </w:pPr>
            <w:r>
              <w:t xml:space="preserve">29, 1.05 (0.47), .0003</w:t>
            </w:r>
          </w:p>
        </w:tc>
        <w:tc>
          <w:tcPr/>
          <w:p>
            <w:pPr>
              <w:pStyle w:val="Compact"/>
              <w:jc w:val="left"/>
            </w:pPr>
            <w:r>
              <w:t xml:space="preserve">16, 0.48 (0.40), .013</w:t>
            </w:r>
          </w:p>
        </w:tc>
        <w:tc>
          <w:tcPr/>
          <w:p>
            <w:pPr>
              <w:pStyle w:val="Compact"/>
              <w:jc w:val="left"/>
            </w:pPr>
            <w:r>
              <w:t xml:space="preserve">—</w:t>
            </w:r>
          </w:p>
        </w:tc>
      </w:tr>
      <w:tr>
        <w:tc>
          <w:tcPr/>
          <w:p>
            <w:pPr>
              <w:pStyle w:val="Compact"/>
              <w:jc w:val="left"/>
            </w:pPr>
            <w:r>
              <w:t xml:space="preserve">Model 1</w:t>
            </w:r>
          </w:p>
        </w:tc>
        <w:tc>
          <w:tcPr/>
          <w:p>
            <w:pPr>
              <w:pStyle w:val="Compact"/>
              <w:jc w:val="left"/>
            </w:pPr>
            <w:r>
              <w:t xml:space="preserve">34, 0.90 (0.46), .0008</w:t>
            </w:r>
          </w:p>
        </w:tc>
        <w:tc>
          <w:tcPr/>
          <w:p>
            <w:pPr>
              <w:pStyle w:val="Compact"/>
              <w:jc w:val="left"/>
            </w:pPr>
            <w:r>
              <w:t xml:space="preserve">24, 0.17 (0.11), .53</w:t>
            </w:r>
          </w:p>
        </w:tc>
        <w:tc>
          <w:tcPr/>
          <w:p>
            <w:pPr>
              <w:pStyle w:val="Compact"/>
              <w:jc w:val="left"/>
            </w:pPr>
            <w:r>
              <w:t xml:space="preserve">+0.31 (0.02, 0.65), .038</w:t>
            </w:r>
          </w:p>
        </w:tc>
      </w:tr>
      <w:tr>
        <w:tc>
          <w:tcPr/>
          <w:p>
            <w:pPr>
              <w:pStyle w:val="Compact"/>
              <w:jc w:val="left"/>
            </w:pPr>
            <w:r>
              <w:t xml:space="preserve">v2 majority</w:t>
            </w:r>
          </w:p>
        </w:tc>
        <w:tc>
          <w:tcPr/>
          <w:p>
            <w:pPr>
              <w:pStyle w:val="Compact"/>
              <w:jc w:val="left"/>
            </w:pPr>
            <w:r>
              <w:t xml:space="preserve">33, 0.95 (0.47), .0001</w:t>
            </w:r>
          </w:p>
        </w:tc>
        <w:tc>
          <w:tcPr/>
          <w:p>
            <w:pPr>
              <w:pStyle w:val="Compact"/>
              <w:jc w:val="left"/>
            </w:pPr>
            <w:r>
              <w:t xml:space="preserve">30, 0.32 (0.31), .047</w:t>
            </w:r>
          </w:p>
        </w:tc>
        <w:tc>
          <w:tcPr/>
          <w:p>
            <w:pPr>
              <w:pStyle w:val="Compact"/>
              <w:jc w:val="left"/>
            </w:pPr>
            <w:r>
              <w:t xml:space="preserve">+0.16 (−0.12, 0.47), .27</w:t>
            </w:r>
          </w:p>
        </w:tc>
      </w:tr>
      <w:tr>
        <w:tc>
          <w:tcPr/>
          <w:p>
            <w:pPr>
              <w:pStyle w:val="Compact"/>
              <w:jc w:val="left"/>
            </w:pPr>
            <w:r>
              <w:t xml:space="preserve">v2 sonnet</w:t>
            </w:r>
          </w:p>
        </w:tc>
        <w:tc>
          <w:tcPr/>
          <w:p>
            <w:pPr>
              <w:pStyle w:val="Compact"/>
              <w:jc w:val="left"/>
            </w:pPr>
            <w:r>
              <w:t xml:space="preserve">28, 1.04 (0.46), .0002</w:t>
            </w:r>
          </w:p>
        </w:tc>
        <w:tc>
          <w:tcPr/>
          <w:p>
            <w:pPr>
              <w:pStyle w:val="Compact"/>
              <w:jc w:val="left"/>
            </w:pPr>
            <w:r>
              <w:t xml:space="preserve">38, 0.24 (0.25), .072</w:t>
            </w:r>
          </w:p>
        </w:tc>
        <w:tc>
          <w:tcPr/>
          <w:p>
            <w:pPr>
              <w:pStyle w:val="Compact"/>
              <w:jc w:val="left"/>
            </w:pPr>
            <w:r>
              <w:t xml:space="preserve">+0.25 (0.00, 0.54), .046</w:t>
            </w:r>
          </w:p>
        </w:tc>
      </w:tr>
      <w:tr>
        <w:tc>
          <w:tcPr/>
          <w:p>
            <w:pPr>
              <w:pStyle w:val="Compact"/>
              <w:jc w:val="left"/>
            </w:pPr>
            <w:r>
              <w:t xml:space="preserve">v2 haiku</w:t>
            </w:r>
          </w:p>
        </w:tc>
        <w:tc>
          <w:tcPr/>
          <w:p>
            <w:pPr>
              <w:pStyle w:val="Compact"/>
              <w:jc w:val="left"/>
            </w:pPr>
            <w:r>
              <w:t xml:space="preserve">28, 1.04 (0.54), .0002</w:t>
            </w:r>
          </w:p>
        </w:tc>
        <w:tc>
          <w:tcPr/>
          <w:p>
            <w:pPr>
              <w:pStyle w:val="Compact"/>
              <w:jc w:val="left"/>
            </w:pPr>
            <w:r>
              <w:t xml:space="preserve">29, 0.35 (0.35), .019</w:t>
            </w:r>
          </w:p>
        </w:tc>
        <w:tc>
          <w:tcPr/>
          <w:p>
            <w:pPr>
              <w:pStyle w:val="Compact"/>
              <w:jc w:val="left"/>
            </w:pPr>
            <w:r>
              <w:t xml:space="preserve">+0.13 (−0.14, 0.42), .36</w:t>
            </w:r>
          </w:p>
        </w:tc>
      </w:tr>
      <w:tr>
        <w:tc>
          <w:tcPr/>
          <w:p>
            <w:pPr>
              <w:pStyle w:val="Compact"/>
              <w:jc w:val="left"/>
            </w:pPr>
            <w:r>
              <w:t xml:space="preserve">v2 sonnet repeat</w:t>
            </w:r>
          </w:p>
        </w:tc>
        <w:tc>
          <w:tcPr/>
          <w:p>
            <w:pPr>
              <w:pStyle w:val="Compact"/>
              <w:jc w:val="left"/>
            </w:pPr>
            <w:r>
              <w:t xml:space="preserve">28, 0.99 (0.48), .0002</w:t>
            </w:r>
          </w:p>
        </w:tc>
        <w:tc>
          <w:tcPr/>
          <w:p>
            <w:pPr>
              <w:pStyle w:val="Compact"/>
              <w:jc w:val="left"/>
            </w:pPr>
            <w:r>
              <w:t xml:space="preserve">31, 0.22 (0.25), .16</w:t>
            </w:r>
          </w:p>
        </w:tc>
        <w:tc>
          <w:tcPr/>
          <w:p>
            <w:pPr>
              <w:pStyle w:val="Compact"/>
              <w:jc w:val="left"/>
            </w:pPr>
            <w:r>
              <w:t xml:space="preserve">+0.26 (−0.05, 0.61), .099</w:t>
            </w:r>
          </w:p>
        </w:tc>
      </w:tr>
    </w:tbl>
    <w:p>
      <w:pPr>
        <w:pStyle w:val="BodyText"/>
      </w:pPr>
      <w:r>
        <w:rPr>
          <w:iCs/>
          <w:i/>
        </w:rPr>
        <w:t xml:space="preserve">Table 3. Directional 30-minute WTI return (percent) by class under each label set, on the same 95 events; two-sided Wilcoxon p; differences by day-clustered bootstrap (4,000 resamples instead of the 10,000 in the plan; two-sided p from the bootstrap distribution, not a null distribution). The v2 opus run gives the same results as the majority for escalation and de-escalation (33 and 30 events).</w:t>
      </w:r>
    </w:p>
    <w:bookmarkEnd w:id="35"/>
    <w:bookmarkStart w:id="39" w:name="Xb66c2e863ed1ea500f91045a8adbd84fe486861"/>
    <w:p>
      <w:pPr>
        <w:pStyle w:val="Heading3"/>
      </w:pPr>
      <w:r>
        <w:t xml:space="preserve">4.5 Human-labelled posts and tick-level results</w:t>
      </w:r>
    </w:p>
    <w:p>
      <w:pPr>
        <w:pStyle w:val="FirstParagraph"/>
      </w:pPr>
      <w:r>
        <w:t xml:space="preserve">We rebuilt the signal set from the human labels over all 191 posts (cluster filter; market open at the post and 30 minutes later). The reconciliation is in Table 4.</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Posts with a human signal label after the three-hour filter (141 of 191 pass)</w:t>
            </w:r>
          </w:p>
        </w:tc>
        <w:tc>
          <w:tcPr/>
          <w:p>
            <w:pPr>
              <w:pStyle w:val="Compact"/>
              <w:jc w:val="left"/>
            </w:pPr>
            <w:r>
              <w:t xml:space="preserve">37</w:t>
            </w:r>
          </w:p>
        </w:tc>
        <w:tc>
          <w:tcPr/>
          <w:p>
            <w:pPr>
              <w:pStyle w:val="Compact"/>
              <w:jc w:val="left"/>
            </w:pPr>
            <w:r>
              <w:t xml:space="preserve">31</w:t>
            </w:r>
          </w:p>
        </w:tc>
      </w:tr>
      <w:tr>
        <w:tc>
          <w:tcPr/>
          <w:p>
            <w:pPr>
              <w:pStyle w:val="Compact"/>
              <w:jc w:val="left"/>
            </w:pPr>
            <w:r>
              <w:t xml:space="preserve">With a tick window at the post time and +30 minutes (primary sample)</w:t>
            </w:r>
          </w:p>
        </w:tc>
        <w:tc>
          <w:tcPr/>
          <w:p>
            <w:pPr>
              <w:pStyle w:val="Compact"/>
              <w:jc w:val="left"/>
            </w:pPr>
            <w:r>
              <w:t xml:space="preserve">29</w:t>
            </w:r>
          </w:p>
        </w:tc>
        <w:tc>
          <w:tcPr/>
          <w:p>
            <w:pPr>
              <w:pStyle w:val="Compact"/>
              <w:jc w:val="left"/>
            </w:pPr>
            <w:r>
              <w:t xml:space="preserve">16</w:t>
            </w:r>
          </w:p>
        </w:tc>
      </w:tr>
      <w:tr>
        <w:tc>
          <w:tcPr/>
          <w:p>
            <w:pPr>
              <w:pStyle w:val="Compact"/>
              <w:jc w:val="left"/>
            </w:pPr>
            <w:r>
              <w:t xml:space="preserve">Also with a valid −60 minute price (the sample of the pre-post drift analysis)</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Signal posts dropped for no window</w:t>
            </w:r>
          </w:p>
        </w:tc>
        <w:tc>
          <w:tcPr/>
          <w:p>
            <w:pPr>
              <w:pStyle w:val="Compact"/>
              <w:jc w:val="left"/>
            </w:pPr>
            <w:r>
              <w:t xml:space="preserve">8</w:t>
            </w:r>
          </w:p>
        </w:tc>
        <w:tc>
          <w:tcPr/>
          <w:p>
            <w:pPr>
              <w:pStyle w:val="Compact"/>
              <w:jc w:val="left"/>
            </w:pPr>
            <w:r>
              <w:t xml:space="preserve">15</w:t>
            </w:r>
          </w:p>
        </w:tc>
      </w:tr>
    </w:tbl>
    <w:p>
      <w:pPr>
        <w:pStyle w:val="BodyText"/>
      </w:pPr>
      <w:r>
        <w:rPr>
          <w:iCs/>
          <w:i/>
        </w:rPr>
        <w:t xml:space="preserve">Table 4. Sample reconciliation (human labels). 83% of the 23 signal posts without a window were made on weekends or with the market closed, against 29% of all signal posts; 48% of escalation signal posts are dropped, against 22% of de-escalation posts. The results do not extend to weekend announcements, and the two classes are selected differently.</w:t>
      </w:r>
    </w:p>
    <w:p>
      <w:pPr>
        <w:pStyle w:val="BodyText"/>
      </w:pPr>
      <w:r>
        <w:t xml:space="preserve">For de-escalation posts the directional WTI return is +0.67% at five minutes and +1.05% at 30 minutes (n = 29 posts on 25 days; median 0.47%; two-sided Wilcoxon p = 0.0003; day-clustered bootstrap 95% CI of the mean 0.44 to 1.96 and of the median 0.21 to 1.10). For escalation posts it is +0.48% at 30 minutes (n = 16 on 16 days; median 0.40%; p = 0.013; CIs 0.17 to 0.80 and 0.02 to 1.02), against +0.17% (p = 0.53) when the original model’s escalation label is used. The difference between the two directions is not distinguishable from zero (Mann–Whitney p = 0.20, exploratory). Quote quality does not explain the result: the median bid–ask spread is 0.05 on a price near 89.6, and the median absolute 30-minute move (0.46) is about nine spreads.</w:t>
      </w:r>
    </w:p>
    <w:p>
      <w:pPr>
        <w:pStyle w:val="BodyText"/>
      </w:pPr>
      <w:r>
        <w:rPr>
          <w:iCs/>
          <w:i/>
        </w:rPr>
        <w:t xml:space="preserve">Dependence on adjudication.</w:t>
      </w:r>
      <w:r>
        <w:t xml:space="preserve"> </w:t>
      </w:r>
      <w:r>
        <w:t xml:space="preserve">Of the 41 final escalation labels, 27 (66%) were adjudicated by the investigator, against 5 of 46 (11%) for de-escalation (Table 5). On coder-consensus labels only, the escalation response is +0.71% (n = 7; p = 0.016); on the 9 adjudicated escalation events it is +0.30% (day-clustered CI −0.11 to 0.71; p = 0.30). The escalation result is therefore consistent in sign across the subsets but is not separately established for the adjudicated posts, and these are the posts whose labels the investigator decided.</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Subset</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All final labels</w:t>
            </w:r>
          </w:p>
        </w:tc>
        <w:tc>
          <w:tcPr/>
          <w:p>
            <w:pPr>
              <w:pStyle w:val="Compact"/>
              <w:jc w:val="left"/>
            </w:pPr>
            <w:r>
              <w:t xml:space="preserve">29; 1.05 (0.44, 1.96); p = .0003</w:t>
            </w:r>
          </w:p>
        </w:tc>
        <w:tc>
          <w:tcPr/>
          <w:p>
            <w:pPr>
              <w:pStyle w:val="Compact"/>
              <w:jc w:val="left"/>
            </w:pPr>
            <w:r>
              <w:t xml:space="preserve">16; 0.48 (0.17, 0.80); p = .013</w:t>
            </w:r>
          </w:p>
        </w:tc>
      </w:tr>
      <w:tr>
        <w:tc>
          <w:tcPr/>
          <w:p>
            <w:pPr>
              <w:pStyle w:val="Compact"/>
              <w:jc w:val="left"/>
            </w:pPr>
            <w:r>
              <w:t xml:space="preserve">Coder consensus only</w:t>
            </w:r>
          </w:p>
        </w:tc>
        <w:tc>
          <w:tcPr/>
          <w:p>
            <w:pPr>
              <w:pStyle w:val="Compact"/>
              <w:jc w:val="left"/>
            </w:pPr>
            <w:r>
              <w:t xml:space="preserve">28; 1.03 (0.40, 1.93); p = .0006</w:t>
            </w:r>
          </w:p>
        </w:tc>
        <w:tc>
          <w:tcPr/>
          <w:p>
            <w:pPr>
              <w:pStyle w:val="Compact"/>
              <w:jc w:val="left"/>
            </w:pPr>
            <w:r>
              <w:t xml:space="preserve">7; 0.71 (0.30, 1.17); p = .016</w:t>
            </w:r>
          </w:p>
        </w:tc>
      </w:tr>
      <w:tr>
        <w:tc>
          <w:tcPr/>
          <w:p>
            <w:pPr>
              <w:pStyle w:val="Compact"/>
              <w:jc w:val="left"/>
            </w:pPr>
            <w:r>
              <w:t xml:space="preserve">Adjudicated only</w:t>
            </w:r>
          </w:p>
        </w:tc>
        <w:tc>
          <w:tcPr/>
          <w:p>
            <w:pPr>
              <w:pStyle w:val="Compact"/>
              <w:jc w:val="left"/>
            </w:pPr>
            <w:r>
              <w:t xml:space="preserve">1</w:t>
            </w:r>
          </w:p>
        </w:tc>
        <w:tc>
          <w:tcPr/>
          <w:p>
            <w:pPr>
              <w:pStyle w:val="Compact"/>
              <w:jc w:val="left"/>
            </w:pPr>
            <w:r>
              <w:t xml:space="preserve">9; 0.30 (−0.11, 0.71); p = .30</w:t>
            </w:r>
          </w:p>
        </w:tc>
      </w:tr>
    </w:tbl>
    <w:p>
      <w:pPr>
        <w:pStyle w:val="BodyText"/>
      </w:pPr>
      <w:r>
        <w:rPr>
          <w:iCs/>
          <w:i/>
        </w:rPr>
        <w:t xml:space="preserve">Table 5. Human-label 30-minute directional return by adjudication status: n; mean (day-clustered 95% CI); two-sided Wilcoxon p. The consensus-only row is also the sensitivity in which adjudicated items are set to</w:t>
      </w:r>
      <w:r>
        <w:rPr>
          <w:iCs/>
          <w:i/>
        </w:rPr>
        <w:t xml:space="preserve"> </w:t>
      </w:r>
      <w:r>
        <w:rPr>
          <w:iCs/>
          <w:i/>
        </w:rPr>
        <w:t xml:space="preserve">“</w:t>
      </w:r>
      <w:r>
        <w:rPr>
          <w:iCs/>
          <w:i/>
        </w:rPr>
        <w:t xml:space="preserve">other</w:t>
      </w:r>
      <w:r>
        <w:rPr>
          <w:iCs/>
          <w:i/>
        </w:rPr>
        <w:t xml:space="preserve">”</w:t>
      </w:r>
      <w:r>
        <w:rPr>
          <w:iCs/>
          <w:i/>
        </w:rPr>
        <w:t xml:space="preserve">.</w:t>
      </w:r>
    </w:p>
    <w:p>
      <w:pPr>
        <w:pStyle w:val="BodyText"/>
      </w:pPr>
      <w:r>
        <w:rPr>
          <w:iCs/>
          <w:i/>
        </w:rPr>
        <w:t xml:space="preserve">Placebo.</w:t>
      </w:r>
      <w:r>
        <w:t xml:space="preserve"> </w:t>
      </w:r>
      <w:r>
        <w:t xml:space="preserve">To check that the co-movement is not an artefact of the hours in which posts fall, we drew fake post times in the same clock hour on neighbouring days (same weekday status, at least two hours from any labelled post; 10,000 draws) for the same events as the headline. The placebo mean of the 30-minute directional return is +0.04% for de-escalation (95th percentile 0.20, 99th 0.28; observed +1.04%, 28 of 29 events with a placebo pool) and +0.02% for escalation (95th percentile 0.20; observed +0.48%, 16 of 16); none of the 10,000 draws reaches the observed value. A second placebo uses only the 20% of candidate times whose directional return in the preceding 30 minutes is nearest to the event’s own (mean +0.57% for de-escalation events, +0.22% for escalation): the placebo means are +0.10% and +0.09% (95th percentiles 0.27 and 0.26) and again no draw reaches the observed value. Neither placebo is matched on news, so they show that the posts’ windows differ from comparable hours with comparable preceding drift, not from comparable news hours.</w:t>
      </w:r>
    </w:p>
    <w:p>
      <w:pPr>
        <w:pStyle w:val="CaptionedFigure"/>
      </w:pPr>
      <w:r>
        <w:drawing>
          <wp:inline>
            <wp:extent cx="5334000" cy="2133599"/>
            <wp:effectExtent b="0" l="0" r="0" t="0"/>
            <wp:docPr descr="Figure 2" title="" id="37" name="Picture"/>
            <a:graphic>
              <a:graphicData uri="http://schemas.openxmlformats.org/drawingml/2006/picture">
                <pic:pic>
                  <pic:nvPicPr>
                    <pic:cNvPr descr="figs/fig_human_path.png" id="38" name="Picture"/>
                    <pic:cNvPicPr>
                      <a:picLocks noChangeArrowheads="1" noChangeAspect="1"/>
                    </pic:cNvPicPr>
                  </pic:nvPicPr>
                  <pic:blipFill>
                    <a:blip r:embed="rId36"/>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Directional WTI return relative to the price at the post time, human-labelled posts (de-escalation n = 29, escalation n = 16): mean ± 1 SE, median, and the 95% band of the mean at placebo times.</w:t>
      </w:r>
    </w:p>
    <w:p>
      <w:pPr>
        <w:pStyle w:val="BodyText"/>
      </w:pPr>
      <w:r>
        <w:rPr>
          <w:iCs/>
          <w:i/>
        </w:rPr>
        <w:t xml:space="preserve">Weekend and closed-market posts.</w:t>
      </w:r>
      <w:r>
        <w:t xml:space="preserve"> </w:t>
      </w:r>
      <w:r>
        <w:t xml:space="preserve">The 23 signal posts without a window cannot be analysed at 30 minutes. As a descriptive check we computed the directional return from the last tick before the post to the first tick after the market reopened (median gap 49 hours, so it contains all news of the weekend): for the 15 escalation posts the mean is +4.14% (median +3.94%; 14 of 15 positive), for the 8 de-escalation posts −0.10% (median −1.47%; 3 of 8 positive). The escalation gaps are consistent in sign with the weekday result, the de-escalation gaps are not informative, and neither can be attributed to the post.</w:t>
      </w:r>
    </w:p>
    <w:p>
      <w:pPr>
        <w:pStyle w:val="BodyText"/>
      </w:pPr>
      <w:r>
        <w:rPr>
          <w:iCs/>
          <w:i/>
        </w:rPr>
        <w:t xml:space="preserve">Pre-post drift.</w:t>
      </w:r>
      <w:r>
        <w:t xml:space="preserve"> </w:t>
      </w:r>
      <w:r>
        <w:t xml:space="preserve">On the 26 and 14 events with a −60 minute price, the 30 minutes before the post also exceed the placebo for de-escalation (+0.57%; +0.86% over the preceding hour; both below 0.0001) and, on the 30-minute window only, for escalation (+0.29%, p = 0.016); tick counts in the half hour before a de-escalation post are 28% above comparable hours. The mean path before de-escalation posts rises by about 0.5 points between 20 and 15 minutes before the post (Figure 2); the median does not show the step, so a few events moving together produce it. We describe this as drift larger than in comparable hours whose cause is not identified: the market may be reacting to news that the post then repeats, or the same event may move both. It does not show leakage or any party’s conduct. Whether an outside source reported a decision before the post makes no difference to the drift (30 events, p = 0.90; Appendix E).</w:t>
      </w:r>
    </w:p>
    <w:p>
      <w:pPr>
        <w:pStyle w:val="BodyText"/>
      </w:pPr>
      <w:r>
        <w:rPr>
          <w:iCs/>
          <w:i/>
        </w:rPr>
        <w:t xml:space="preserve">Robustness.</w:t>
      </w:r>
      <w:r>
        <w:t xml:space="preserve"> </w:t>
      </w:r>
      <w:r>
        <w:t xml:space="preserve">Table 6 varies one feature at a time. The post-period move is positive in every variant for both classes, with two-sided p &lt; .05 in all but one (escalation over 60 minutes, p = .065), including when the three events on 23 March and 7 April are dropped (de-escalation mean 0.80%, median 0.48%) and when only posts on which both coders agreed are used. The variants change cluster rule, window or labels of largely the same events and are not independent confirmations. The median is stable at 0.4 to 0.5%; the mean is pulled by a few events (the three largest de-escalation events, 2.7%, 3.3% and 10.5%, make up 54% of the summed move; leave-one-event-out means range from 0.71 to 1.12). The excess of the 30 minutes after a post over the 30 minutes before is not reliable: two-sided p between .049 and .127 across the cluster rules for de-escalation and between .089 and .194 for escalation. It depends on the window. Over 5 and 15 minutes the post move is not preceded by drift for de-escalation posts (pre-window means −0.05% and 0.00%; paired excess +0.72 and +0.76 points, p = .006 and .011), and for escalation it is significant only at 15 minutes (p = .039); over 60 minutes the earlier drift has caught up (paired −0.15, p = .73). The short-window statement is the one we can defend, but the windows to rely on were chosen after seeing Table 6, and the 5-minute pre-window cannot see the drift that occurs 30 to 15 minutes before the post. Post timestamps come from the archive at one-second precision and are matched to a dealer quote feed whose latency we cannot test; a tick stamped in the same second as the post is counted as before it.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De-escalation: n, post-30 mean (median), paired post − pre (p)</w:t>
            </w:r>
          </w:p>
        </w:tc>
        <w:tc>
          <w:tcPr/>
          <w:p>
            <w:pPr>
              <w:pStyle w:val="Compact"/>
              <w:jc w:val="left"/>
            </w:pPr>
            <w:r>
              <w:t xml:space="preserve">Escalation: n, post-30 mean (median), paired post − pre (p)</w:t>
            </w:r>
          </w:p>
        </w:tc>
      </w:tr>
      <w:tr>
        <w:tc>
          <w:tcPr/>
          <w:p>
            <w:pPr>
              <w:pStyle w:val="Compact"/>
              <w:jc w:val="left"/>
            </w:pPr>
            <w:r>
              <w:t xml:space="preserve">Baseline (3-hour filter)</w:t>
            </w:r>
          </w:p>
        </w:tc>
        <w:tc>
          <w:tcPr/>
          <w:p>
            <w:pPr>
              <w:pStyle w:val="Compact"/>
              <w:jc w:val="left"/>
            </w:pPr>
            <w:r>
              <w:t xml:space="preserve">29, 1.05 (0.47), +0.48 (.059)</w:t>
            </w:r>
          </w:p>
        </w:tc>
        <w:tc>
          <w:tcPr/>
          <w:p>
            <w:pPr>
              <w:pStyle w:val="Compact"/>
              <w:jc w:val="left"/>
            </w:pPr>
            <w:r>
              <w:t xml:space="preserve">16, 0.48 (0.40), +0.26 (.117)</w:t>
            </w:r>
          </w:p>
        </w:tc>
      </w:tr>
      <w:tr>
        <w:tc>
          <w:tcPr/>
          <w:p>
            <w:pPr>
              <w:pStyle w:val="Compact"/>
              <w:jc w:val="left"/>
            </w:pPr>
            <w:r>
              <w:t xml:space="preserve">No cluster filter</w:t>
            </w:r>
          </w:p>
        </w:tc>
        <w:tc>
          <w:tcPr/>
          <w:p>
            <w:pPr>
              <w:pStyle w:val="Compact"/>
              <w:jc w:val="left"/>
            </w:pPr>
            <w:r>
              <w:t xml:space="preserve">34, 0.91 (0.46), +0.44 (.053)</w:t>
            </w:r>
          </w:p>
        </w:tc>
        <w:tc>
          <w:tcPr/>
          <w:p>
            <w:pPr>
              <w:pStyle w:val="Compact"/>
              <w:jc w:val="left"/>
            </w:pPr>
            <w:r>
              <w:t xml:space="preserve">19, 0.46 (0.35), +0.23 (.142)</w:t>
            </w:r>
          </w:p>
        </w:tc>
      </w:tr>
      <w:tr>
        <w:tc>
          <w:tcPr/>
          <w:p>
            <w:pPr>
              <w:pStyle w:val="Compact"/>
              <w:jc w:val="left"/>
            </w:pPr>
            <w:r>
              <w:t xml:space="preserve">6-hour filter</w:t>
            </w:r>
          </w:p>
        </w:tc>
        <w:tc>
          <w:tcPr/>
          <w:p>
            <w:pPr>
              <w:pStyle w:val="Compact"/>
              <w:jc w:val="left"/>
            </w:pPr>
            <w:r>
              <w:t xml:space="preserve">25, 1.08 (0.49), +0.42 (.127)</w:t>
            </w:r>
          </w:p>
        </w:tc>
        <w:tc>
          <w:tcPr/>
          <w:p>
            <w:pPr>
              <w:pStyle w:val="Compact"/>
              <w:jc w:val="left"/>
            </w:pPr>
            <w:r>
              <w:t xml:space="preserve">14, 0.54 (0.50), +0.27 (.194)</w:t>
            </w:r>
          </w:p>
        </w:tc>
      </w:tr>
      <w:tr>
        <w:tc>
          <w:tcPr/>
          <w:p>
            <w:pPr>
              <w:pStyle w:val="Compact"/>
              <w:jc w:val="left"/>
            </w:pPr>
            <w:r>
              <w:t xml:space="preserve">Both coders agreed before adjudication</w:t>
            </w:r>
          </w:p>
        </w:tc>
        <w:tc>
          <w:tcPr/>
          <w:p>
            <w:pPr>
              <w:pStyle w:val="Compact"/>
              <w:jc w:val="left"/>
            </w:pPr>
            <w:r>
              <w:t xml:space="preserve">28, 1.03 (0.47), +0.44 (.090)</w:t>
            </w:r>
          </w:p>
        </w:tc>
        <w:tc>
          <w:tcPr/>
          <w:p>
            <w:pPr>
              <w:pStyle w:val="Compact"/>
              <w:jc w:val="left"/>
            </w:pPr>
            <w:r>
              <w:t xml:space="preserve">7, 0.71 (0.54), +0.44 (.156)</w:t>
            </w:r>
          </w:p>
        </w:tc>
      </w:tr>
      <w:tr>
        <w:tc>
          <w:tcPr/>
          <w:p>
            <w:pPr>
              <w:pStyle w:val="Compact"/>
              <w:jc w:val="left"/>
            </w:pPr>
            <w:r>
              <w:t xml:space="preserve">Window 5 minutes</w:t>
            </w:r>
          </w:p>
        </w:tc>
        <w:tc>
          <w:tcPr/>
          <w:p>
            <w:pPr>
              <w:pStyle w:val="Compact"/>
              <w:jc w:val="left"/>
            </w:pPr>
            <w:r>
              <w:t xml:space="preserve">29, 0.67 (0.21), +0.72 (.006)</w:t>
            </w:r>
          </w:p>
        </w:tc>
        <w:tc>
          <w:tcPr/>
          <w:p>
            <w:pPr>
              <w:pStyle w:val="Compact"/>
              <w:jc w:val="left"/>
            </w:pPr>
            <w:r>
              <w:t xml:space="preserve">16, 0.46 (0.19), +0.38 (.193)</w:t>
            </w:r>
          </w:p>
        </w:tc>
      </w:tr>
      <w:tr>
        <w:tc>
          <w:tcPr/>
          <w:p>
            <w:pPr>
              <w:pStyle w:val="Compact"/>
              <w:jc w:val="left"/>
            </w:pPr>
            <w:r>
              <w:t xml:space="preserve">Window 15 minutes</w:t>
            </w:r>
          </w:p>
        </w:tc>
        <w:tc>
          <w:tcPr/>
          <w:p>
            <w:pPr>
              <w:pStyle w:val="Compact"/>
              <w:jc w:val="left"/>
            </w:pPr>
            <w:r>
              <w:t xml:space="preserve">29, 0.76 (0.60), +0.76 (.011)</w:t>
            </w:r>
          </w:p>
        </w:tc>
        <w:tc>
          <w:tcPr/>
          <w:p>
            <w:pPr>
              <w:pStyle w:val="Compact"/>
              <w:jc w:val="left"/>
            </w:pPr>
            <w:r>
              <w:t xml:space="preserve">16, 0.57 (0.42), +0.36 (.039)</w:t>
            </w:r>
          </w:p>
        </w:tc>
      </w:tr>
      <w:tr>
        <w:tc>
          <w:tcPr/>
          <w:p>
            <w:pPr>
              <w:pStyle w:val="Compact"/>
              <w:jc w:val="left"/>
            </w:pPr>
            <w:r>
              <w:t xml:space="preserve">Window 60 minutes</w:t>
            </w:r>
          </w:p>
        </w:tc>
        <w:tc>
          <w:tcPr/>
          <w:p>
            <w:pPr>
              <w:pStyle w:val="Compact"/>
              <w:jc w:val="left"/>
            </w:pPr>
            <w:r>
              <w:t xml:space="preserve">28, 1.18 (0.42), −0.15 (.731)</w:t>
            </w:r>
          </w:p>
        </w:tc>
        <w:tc>
          <w:tcPr/>
          <w:p>
            <w:pPr>
              <w:pStyle w:val="Compact"/>
              <w:jc w:val="left"/>
            </w:pPr>
            <w:r>
              <w:t xml:space="preserve">16, 0.48 (0.40), +0.44 (.173)</w:t>
            </w:r>
          </w:p>
        </w:tc>
      </w:tr>
      <w:tr>
        <w:tc>
          <w:tcPr/>
          <w:p>
            <w:pPr>
              <w:pStyle w:val="Compact"/>
              <w:jc w:val="left"/>
            </w:pPr>
            <w:r>
              <w:t xml:space="preserve">Drop 23 March and 7 April (three events)</w:t>
            </w:r>
          </w:p>
        </w:tc>
        <w:tc>
          <w:tcPr/>
          <w:p>
            <w:pPr>
              <w:pStyle w:val="Compact"/>
              <w:jc w:val="left"/>
            </w:pPr>
            <w:r>
              <w:t xml:space="preserve">26, 0.80 (0.48), +0.49 (.049)</w:t>
            </w:r>
          </w:p>
        </w:tc>
        <w:tc>
          <w:tcPr/>
          <w:p>
            <w:pPr>
              <w:pStyle w:val="Compact"/>
              <w:jc w:val="left"/>
            </w:pPr>
            <w:r>
              <w:t xml:space="preserve">16, 0.48 (0.40), +0.26 (.117)</w:t>
            </w:r>
          </w:p>
        </w:tc>
      </w:tr>
    </w:tbl>
    <w:p>
      <w:pPr>
        <w:pStyle w:val="BodyText"/>
      </w:pPr>
      <w:r>
        <w:rPr>
          <w:iCs/>
          <w:i/>
        </w:rPr>
        <w:t xml:space="preserve">Table 6. Robustness of the human-label tick-level result (mean directional returns in percent; two-sided Wilcoxon p for post minus pre; variants are not independent and p-values are unadjusted).</w:t>
      </w:r>
    </w:p>
    <w:p>
      <w:pPr>
        <w:pStyle w:val="BodyText"/>
      </w:pPr>
      <w:r>
        <w:t xml:space="preserve">Other topics. Before the war, de-escalation posts about Iran show the same sign at about a quarter of the size, significant only for posts on which both coders agree (−0.62%, n = 8, p = 0.008); posts about monetary policy and non-tariff China matters show no hourly reaction, though the samples are too small to call this</w:t>
      </w:r>
      <w:r>
        <w:t xml:space="preserve"> </w:t>
      </w:r>
      <w:r>
        <w:t xml:space="preserve">“</w:t>
      </w:r>
      <w:r>
        <w:t xml:space="preserve">no response</w:t>
      </w:r>
      <w:r>
        <w:t xml:space="preserve">”</w:t>
      </w:r>
      <w:r>
        <w:t xml:space="preserve">.</w:t>
      </w:r>
    </w:p>
    <w:bookmarkEnd w:id="39"/>
    <w:bookmarkStart w:id="40" w:name="information-theoretic-propositions"/>
    <w:p>
      <w:pPr>
        <w:pStyle w:val="Heading3"/>
      </w:pPr>
      <w:r>
        <w:t xml:space="preserve">4.6 Information-theoretic propositions</w:t>
      </w:r>
    </w:p>
    <w:p>
      <w:pPr>
        <w:pStyle w:val="FirstParagraph"/>
      </w:pPr>
      <w:r>
        <w:t xml:space="preserve">The pre-specified tests of the information-theoretic propositions (novelty, prior uncertainty, their interaction, mutual information and timing surprisal) are not supported in the 2026 sample, in a 2022–2024 replication or in the two 2017–2021 samples; prior uncertainty is positive in tariff tweets but is the coefficient that volatility persistence predicts without any account of information, and the one marginal mutual-information result (p = 0.041) would be 0.16 under a Holm adjustment over the four tests of its plan. These tests have low power: they could not detect an effect, which is not evidence that none exists. They are reported in full in Appendix F (Table F1).</w:t>
      </w:r>
    </w:p>
    <w:bookmarkEnd w:id="40"/>
    <w:bookmarkStart w:id="41" w:name="analysis-status"/>
    <w:p>
      <w:pPr>
        <w:pStyle w:val="Heading3"/>
      </w:pPr>
      <w:r>
        <w:t xml:space="preserve">4.7 Analysis status</w:t>
      </w:r>
    </w:p>
    <w:p>
      <w:pPr>
        <w:pStyle w:val="FirstParagraph"/>
      </w:pPr>
      <w:r>
        <w:t xml:space="preserve">Table A1 (Appendix A) gives, for each result in the main text, whether it was pre-specified in a repository plan, amended, or exploratory. In brief: the model re-labelling, the label-set comparison, the adjudication split, the matched placebos and the robustness variants were planned before they were computed but after the baseline result was known; the human-label tick result and the post-minus-pre excess are amended results, because the primary sample was redefined after round 2; the information-theoretic tests are pre-specified; and Appendices D to F are exploratory or model-labelled.</w:t>
      </w:r>
    </w:p>
    <w:bookmarkEnd w:id="41"/>
    <w:bookmarkEnd w:id="42"/>
    <w:bookmarkStart w:id="47" w:name="discussion"/>
    <w:p>
      <w:pPr>
        <w:pStyle w:val="Heading2"/>
      </w:pPr>
      <w:r>
        <w:t xml:space="preserve">5. Discussion</w:t>
      </w:r>
    </w:p>
    <w:bookmarkStart w:id="43" w:name="what-the-evidence-supports"/>
    <w:p>
      <w:pPr>
        <w:pStyle w:val="Heading3"/>
      </w:pPr>
      <w:r>
        <w:t xml:space="preserve">5.1 What the evidence supports</w:t>
      </w:r>
    </w:p>
    <w:p>
      <w:pPr>
        <w:pStyle w:val="FirstParagraph"/>
      </w:pPr>
      <w:r>
        <w:t xml:space="preserve">The evidence supports four statements. First, during the closure, oil moves in the direction of posts that humans label de-escalation (about +1.05% over 30 minutes; median 0.47%) and, at about half the size, of posts that humans label escalation (+0.48%). The direction is robust to the choices we varied and the move exceeds that at matched and drift-matched placebo times. Second, the move cannot be attributed to the post itself beyond short windows: it is preceded by drift, and the excess over the preceding 30 minutes is not reliable at conventional levels. Third, model labels, including four runs under the humans’ own codebook, agree with human labels only at κ of about 0.5 and over-label escalation, so the models’ escalation class contains events that humans call de-escalation or other. The resulting estimate (0.17% to 0.35%) is smaller than the human one (0.48%); for the original labels the difference is borderline (p = 0.038, one of twelve contrasts) and for the clearer-codebook labels it is not distinguishable from zero. Fourth, two thirds of the human escalation labels were adjudicated by the investigator, and the escalation result is not separately established for them.</w:t>
      </w:r>
    </w:p>
    <w:bookmarkEnd w:id="43"/>
    <w:bookmarkStart w:id="44" w:name="contributions"/>
    <w:p>
      <w:pPr>
        <w:pStyle w:val="Heading3"/>
      </w:pPr>
      <w:r>
        <w:t xml:space="preserve">5.2 Contributions</w:t>
      </w:r>
    </w:p>
    <w:p>
      <w:pPr>
        <w:pStyle w:val="FirstParagraph"/>
      </w:pPr>
      <w:r>
        <w:t xml:space="preserve">The paper’s main contribution is a worked example of how the labelling of text changes an event-study estimate. Agreement between model runs was high (κ 0.62 to 0.96; 0.69 to 0.84 among four runs of three model sizes), but agreement with human coders was moderate (0.29 to 0.56 by round; 0.50 overall) and re-running the model with the humans’ codebook did not help. The error was in one class, over-labelling escalation, and it changed the estimate by changing which events enter the class. For IS research that uses language models as measurement instruments, which is common in work on platforms and digital traces, the case suggests a short checklist: (i) report validity against human coders by class and with a prevalence-robust measure, not only consistency between model runs; (ii) give the model and the humans the same codebook, and say who wrote it and when; (iii) compare estimates under alternative label sets on the same events with clustered inference, and decompose the difference by the events the label sets disagree on; (iv) report the share of human labels that were adjudicated, by class, and the results with and without them; (v) report which events are lost for lack of an outcome window, by class. Recent methods can correct downstream estimates for imperfect labels using a validated subsample (Egami et al. 2023; Angelopoulos et al. 2023); our human-labelled set is small and was not drawn for that purpose, so we use it descriptively. A second contribution is descriptive: a documented case in which oil moves with posts within minutes without our being able to say that the post is the news.</w:t>
      </w:r>
    </w:p>
    <w:p>
      <w:pPr>
        <w:pStyle w:val="BodyText"/>
      </w:pPr>
      <w:r>
        <w:t xml:space="preserve">The paper does not offer a theory of platform-mediated speech. No platform feature varies in our data.</w:t>
      </w:r>
    </w:p>
    <w:bookmarkEnd w:id="44"/>
    <w:bookmarkStart w:id="45" w:name="limitations"/>
    <w:p>
      <w:pPr>
        <w:pStyle w:val="Heading3"/>
      </w:pPr>
      <w:r>
        <w:t xml:space="preserve">5.3 Limitations</w:t>
      </w:r>
    </w:p>
    <w:p>
      <w:pPr>
        <w:pStyle w:val="FirstParagraph"/>
      </w:pPr>
      <w:r>
        <w:t xml:space="preserve">The identification is weak. Posts follow volatile hours, all 20 cases examined in market-wire coverage show other drivers, and the pre-post drift is as large as the post move over windows of 30 minutes and longer; the tick analysis separates them only at 5 to 15 minutes, on 29 and 16 events from one conflict, one sender and one asset (a dealer CFD quote feed, not exchange futures, with contract roll and timestamp alignment not tested). The placebos are matched on clock hour, weekday and preceding drift but not on news. Three events supply 54% of the de-escalation mean, 83% of signal posts without a market window were made on weekends or off-hours, and 48% of escalation signal posts are lost for that reason against 22% of de-escalation posts, so the two classes are selected differently. The labels are not independent of the investigator: the investigator who adjudicated knew the hypotheses, 66% of final escalation labels are adjudicated, the two coders did not know the hypotheses and had no interest in oil prices, but they are from the authors’ department and remembered the course of the war; no independent third person has resolved their disagreements. The human coders agree at κ = 0.51 to 0.69, so human labels are a benchmark, not truth. The model comparison uses instances of one vendor’s model family under one codebook; the first-stage model is not documented to the level of version and temperature, and no other family, few-shot or reasoning variant was run. The decision rule for a prompt explanation (κ ≥ 0.60 and escalation precision ≥ 0.70) was set by us, and the humans themselves reach 0.61 to 0.69. The label-set contrasts are not corrected for multiplicity. The primary sample was redefined three times after seeing label quality and outcomes, the plans are not an independent registry, and the windows we rely on were chosen after seeing them. The arrival-process, event-explanation and information-theoretic analyses were run after, or are independent of, the labelling question and are exploratory or low-powered (Appendices D to F).</w:t>
      </w:r>
    </w:p>
    <w:bookmarkEnd w:id="45"/>
    <w:bookmarkStart w:id="46" w:name="future-research"/>
    <w:p>
      <w:pPr>
        <w:pStyle w:val="Heading3"/>
      </w:pPr>
      <w:r>
        <w:t xml:space="preserve">5.4 Future research</w:t>
      </w:r>
    </w:p>
    <w:p>
      <w:pPr>
        <w:pStyle w:val="FirstParagraph"/>
      </w:pPr>
      <w:r>
        <w:t xml:space="preserve">The most informative next steps are replication on other episodes with human-validated labels and a third, independent coder who resolves disagreements without knowing the hypotheses; other model families and few-shot or reasoning variants; a latent-class analysis of all raters; exchange-futures data with checked timestamps and next-open returns for weekend posts; and a news-matched placebo.</w:t>
      </w:r>
    </w:p>
    <w:bookmarkEnd w:id="46"/>
    <w:bookmarkEnd w:id="47"/>
    <w:bookmarkStart w:id="48" w:name="conclusion"/>
    <w:p>
      <w:pPr>
        <w:pStyle w:val="Heading2"/>
      </w:pPr>
      <w:r>
        <w:t xml:space="preserve">6. Conclusion</w:t>
      </w:r>
    </w:p>
    <w:p>
      <w:pPr>
        <w:pStyle w:val="FirstParagraph"/>
      </w:pPr>
      <w:r>
        <w:t xml:space="preserve">In the 2026 Hormuz closure, oil moved with posts that humans labelled de-escalation and escalation, by more than at comparable hours, and the model labels that suggested a one-sided response understated the escalation response because they added events that humans do not call escalation; a clearer codebook did not repair that. The co-movement cannot be separated from earlier drift beyond short windows. We offer the case as an audited example of why agreement with human coders, and not agreement between model runs, is the evidence a labelling needs before it is attached to market outcomes.</w:t>
      </w:r>
    </w:p>
    <w:p>
      <w:r>
        <w:pict>
          <v:rect style="width:0;height:1.5pt" o:hralign="center" o:hrstd="t" o:hr="t"/>
        </w:pict>
      </w:r>
    </w:p>
    <w:bookmarkEnd w:id="48"/>
    <w:bookmarkStart w:id="49"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analysis plans, coder outputs, and results are in an anonymized repository; the post archive and market data come from public sources [add anonymous repository DOI for review].</w:t>
      </w:r>
    </w:p>
    <w:bookmarkEnd w:id="49"/>
    <w:bookmarkStart w:id="50" w:name="references"/>
    <w:p>
      <w:pPr>
        <w:pStyle w:val="Heading2"/>
      </w:pPr>
      <w:r>
        <w:t xml:space="preserve">References</w:t>
      </w:r>
    </w:p>
    <w:p>
      <w:pPr>
        <w:pStyle w:val="FirstParagraph"/>
      </w:pPr>
      <w:r>
        <w:t xml:space="preserve">Angelopoulos, A. N., Bates, S., Fannjiang, C., Jordan, M. I., and Zrnic, T. 2023.</w:t>
      </w:r>
      <w:r>
        <w:t xml:space="preserve"> </w:t>
      </w:r>
      <w:r>
        <w:t xml:space="preserve">“</w:t>
      </w:r>
      <w:r>
        <w:t xml:space="preserve">Prediction-Powered Inference,</w:t>
      </w:r>
      <w:r>
        <w:t xml:space="preserve">”</w:t>
      </w:r>
      <w:r>
        <w:t xml:space="preserve"> </w:t>
      </w:r>
      <w:r>
        <w:rPr>
          <w:iCs/>
          <w:i/>
        </w:rPr>
        <w:t xml:space="preserve">Science</w:t>
      </w:r>
      <w:r>
        <w:t xml:space="preserve"> </w:t>
      </w:r>
      <w:r>
        <w:t xml:space="preserve">(382:6671), pp. 669–674, https://doi.org/10.1126/science.adi6000.</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Egami, N., Hinck, M., Stewart, B., and Wei, H. 2023.</w:t>
      </w:r>
      <w:r>
        <w:t xml:space="preserve"> </w:t>
      </w:r>
      <w:r>
        <w:t xml:space="preserve">“</w:t>
      </w:r>
      <w:r>
        <w:t xml:space="preserve">Using Imperfect Surrogates for Downstream Inference: Design-Based Supervised Learning for Social Science Applications of Large Language Models,</w:t>
      </w:r>
      <w:r>
        <w:t xml:space="preserve">”</w:t>
      </w:r>
      <w:r>
        <w:t xml:space="preserve"> </w:t>
      </w:r>
      <w:r>
        <w:t xml:space="preserve">in</w:t>
      </w:r>
      <w:r>
        <w:t xml:space="preserve"> </w:t>
      </w:r>
      <w:r>
        <w:rPr>
          <w:iCs/>
          <w:i/>
        </w:rPr>
        <w:t xml:space="preserve">Advances in Neural Information Processing Systems 36</w:t>
      </w:r>
      <w:r>
        <w:t xml:space="preserve">, pp. 68589–68601.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Gilardi, F., Alizadeh, M., and Kubli, M. 2023.</w:t>
      </w:r>
      <w:r>
        <w:t xml:space="preserve"> </w:t>
      </w:r>
      <w:r>
        <w:t xml:space="preserve">“</w:t>
      </w:r>
      <w:r>
        <w:t xml:space="preserve">ChatGPT Outperforms Crowd Workers for Text-Annotation Tasks,</w:t>
      </w:r>
      <w:r>
        <w:t xml:space="preserve">”</w:t>
      </w:r>
      <w:r>
        <w:t xml:space="preserve"> </w:t>
      </w:r>
      <w:r>
        <w:rPr>
          <w:iCs/>
          <w:i/>
        </w:rPr>
        <w:t xml:space="preserve">Proceedings of the National Academy of Sciences</w:t>
      </w:r>
      <w:r>
        <w:t xml:space="preserve"> </w:t>
      </w:r>
      <w:r>
        <w:t xml:space="preserve">(120:30), e2305016120, https://doi.org/10.1073/pnas.2305016120.</w:t>
      </w:r>
    </w:p>
    <w:p>
      <w:pPr>
        <w:pStyle w:val="BodyText"/>
      </w:pPr>
      <w:r>
        <w:t xml:space="preserve">Grimmer, J., and Stewart, B. M. 2013.</w:t>
      </w:r>
      <w:r>
        <w:t xml:space="preserve"> </w:t>
      </w:r>
      <w:r>
        <w:t xml:space="preserve">“</w:t>
      </w:r>
      <w:r>
        <w:t xml:space="preserve">Text as Data: The Promise and Pitfalls of Automatic Content Analysis Methods for Political Texts,</w:t>
      </w:r>
      <w:r>
        <w:t xml:space="preserve">”</w:t>
      </w:r>
      <w:r>
        <w:t xml:space="preserve"> </w:t>
      </w:r>
      <w:r>
        <w:rPr>
          <w:iCs/>
          <w:i/>
        </w:rPr>
        <w:t xml:space="preserve">Political Analysis</w:t>
      </w:r>
      <w:r>
        <w:t xml:space="preserve"> </w:t>
      </w:r>
      <w:r>
        <w:t xml:space="preserve">(21:3), pp. 267–297, https://doi.org/10.1093/pan/mps028.</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p>
      <w:pPr>
        <w:pStyle w:val="BodyText"/>
      </w:pPr>
      <w:r>
        <w:t xml:space="preserve">Ziems, C., Held, W., Shaikh, O., Chen, J., Zhang, Z., and Yang, D. 2024.</w:t>
      </w:r>
      <w:r>
        <w:t xml:space="preserve"> </w:t>
      </w:r>
      <w:r>
        <w:t xml:space="preserve">“</w:t>
      </w:r>
      <w:r>
        <w:t xml:space="preserve">Can Large Language Models Transform Computational Social Science?,</w:t>
      </w:r>
      <w:r>
        <w:t xml:space="preserve">”</w:t>
      </w:r>
      <w:r>
        <w:t xml:space="preserve"> </w:t>
      </w:r>
      <w:r>
        <w:rPr>
          <w:iCs/>
          <w:i/>
        </w:rPr>
        <w:t xml:space="preserve">Computational Linguistics</w:t>
      </w:r>
      <w:r>
        <w:t xml:space="preserve"> </w:t>
      </w:r>
      <w:r>
        <w:t xml:space="preserve">(50:1), pp. 237–291, https://doi.org/10.1162/coli_a_00502.</w:t>
      </w:r>
    </w:p>
    <w:bookmarkEnd w:id="50"/>
    <w:bookmarkStart w:id="51" w:name="Xbed0aa88a1a69b4e450aea3cdcce5210cd68ba4"/>
    <w:p>
      <w:pPr>
        <w:pStyle w:val="Heading2"/>
      </w:pPr>
      <w:r>
        <w:t xml:space="preserve">Appendix A. Analysis plans, status and outcomes</w:t>
      </w:r>
    </w:p>
    <w:p>
      <w:pPr>
        <w:pStyle w:val="FirstParagraph"/>
      </w:pPr>
      <w:r>
        <w:t xml:space="preserve">Plans are files in a project repository, dated 13–14 October 2026 in the commit history; they are not independently time-stamped. Table A1 gives the status of the results in the main text. The labels H5a, H7b and similar in the ledger below are the hypotheses of the individual plans; P1–P7 are the propositions of Appendix F.</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Posting overdispersed; follows volatile hours (4.1)</w:t>
            </w:r>
          </w:p>
        </w:tc>
        <w:tc>
          <w:tcPr/>
          <w:p>
            <w:pPr>
              <w:pStyle w:val="Compact"/>
              <w:jc w:val="left"/>
            </w:pPr>
            <w:r>
              <w:t xml:space="preserve">Pre-specified for dispersion; exploratory for the logit</w:t>
            </w:r>
          </w:p>
        </w:tc>
      </w:tr>
      <w:tr>
        <w:tc>
          <w:tcPr/>
          <w:p>
            <w:pPr>
              <w:pStyle w:val="Compact"/>
              <w:jc w:val="left"/>
            </w:pPr>
            <w:r>
              <w:t xml:space="preserve">Model-labelled hourly co-movement (4.2)</w:t>
            </w:r>
          </w:p>
        </w:tc>
        <w:tc>
          <w:tcPr/>
          <w:p>
            <w:pPr>
              <w:pStyle w:val="Compact"/>
              <w:jc w:val="left"/>
            </w:pPr>
            <w:r>
              <w:t xml:space="preserve">Amended (headline arose from an amendment); superseded by 4.5</w:t>
            </w:r>
          </w:p>
        </w:tc>
      </w:tr>
      <w:tr>
        <w:tc>
          <w:tcPr/>
          <w:p>
            <w:pPr>
              <w:pStyle w:val="Compact"/>
              <w:jc w:val="left"/>
            </w:pPr>
            <w:r>
              <w:t xml:space="preserve">Human validation κ (4.3)</w:t>
            </w:r>
          </w:p>
        </w:tc>
        <w:tc>
          <w:tcPr/>
          <w:p>
            <w:pPr>
              <w:pStyle w:val="Compact"/>
              <w:jc w:val="left"/>
            </w:pPr>
            <w:r>
              <w:t xml:space="preserve">Descriptive; round-2 and round-3 plans written before labels returned</w:t>
            </w:r>
          </w:p>
        </w:tc>
      </w:tr>
      <w:tr>
        <w:tc>
          <w:tcPr/>
          <w:p>
            <w:pPr>
              <w:pStyle w:val="Compact"/>
              <w:jc w:val="left"/>
            </w:pPr>
            <w:r>
              <w:t xml:space="preserve">Model re-labelling under codebook v2 and label-set comparison (4.4)</w:t>
            </w:r>
          </w:p>
        </w:tc>
        <w:tc>
          <w:tcPr/>
          <w:p>
            <w:pPr>
              <w:pStyle w:val="Compact"/>
              <w:jc w:val="left"/>
            </w:pPr>
            <w:r>
              <w:t xml:space="preserve">Planned before the labels were produced</w:t>
            </w:r>
          </w:p>
        </w:tc>
      </w:tr>
      <w:tr>
        <w:tc>
          <w:tcPr/>
          <w:p>
            <w:pPr>
              <w:pStyle w:val="Compact"/>
              <w:jc w:val="left"/>
            </w:pPr>
            <w:r>
              <w:t xml:space="preserve">Tick-level human-label direction, 5 and 30 minutes (4.5)</w:t>
            </w:r>
          </w:p>
        </w:tc>
        <w:tc>
          <w:tcPr/>
          <w:p>
            <w:pPr>
              <w:pStyle w:val="Compact"/>
              <w:jc w:val="left"/>
            </w:pPr>
            <w:r>
              <w:t xml:space="preserve">Amended (primary sample redefined after round 2)</w:t>
            </w:r>
          </w:p>
        </w:tc>
      </w:tr>
      <w:tr>
        <w:tc>
          <w:tcPr/>
          <w:p>
            <w:pPr>
              <w:pStyle w:val="Compact"/>
              <w:jc w:val="left"/>
            </w:pPr>
            <w:r>
              <w:t xml:space="preserve">Post − pre excess at 30 minutes (4.5)</w:t>
            </w:r>
          </w:p>
        </w:tc>
        <w:tc>
          <w:tcPr/>
          <w:p>
            <w:pPr>
              <w:pStyle w:val="Compact"/>
              <w:jc w:val="left"/>
            </w:pPr>
            <w:r>
              <w:t xml:space="preserve">Amended; borderline in robustness</w:t>
            </w:r>
          </w:p>
        </w:tc>
      </w:tr>
      <w:tr>
        <w:tc>
          <w:tcPr/>
          <w:p>
            <w:pPr>
              <w:pStyle w:val="Compact"/>
              <w:jc w:val="left"/>
            </w:pPr>
            <w:r>
              <w:t xml:space="preserve">Placebo and pre-post drift (4.5)</w:t>
            </w:r>
          </w:p>
        </w:tc>
        <w:tc>
          <w:tcPr/>
          <w:p>
            <w:pPr>
              <w:pStyle w:val="Compact"/>
              <w:jc w:val="left"/>
            </w:pPr>
            <w:r>
              <w:t xml:space="preserve">Planned before placebo data were analysed; applied to human labels after the sample was fixed</w:t>
            </w:r>
          </w:p>
        </w:tc>
      </w:tr>
      <w:tr>
        <w:tc>
          <w:tcPr/>
          <w:p>
            <w:pPr>
              <w:pStyle w:val="Compact"/>
              <w:jc w:val="left"/>
            </w:pPr>
            <w:r>
              <w:t xml:space="preserve">Adjudication split; two-sided and day-clustered re-statement (4.5)</w:t>
            </w:r>
          </w:p>
        </w:tc>
        <w:tc>
          <w:tcPr/>
          <w:p>
            <w:pPr>
              <w:pStyle w:val="Compact"/>
              <w:jc w:val="left"/>
            </w:pPr>
            <w:r>
              <w:t xml:space="preserve">Planned after the round-3 review, before computation</w:t>
            </w:r>
          </w:p>
        </w:tc>
      </w:tr>
      <w:tr>
        <w:tc>
          <w:tcPr/>
          <w:p>
            <w:pPr>
              <w:pStyle w:val="Compact"/>
              <w:jc w:val="left"/>
            </w:pPr>
            <w:r>
              <w:t xml:space="preserve">Robustness variants (Table 6)</w:t>
            </w:r>
          </w:p>
        </w:tc>
        <w:tc>
          <w:tcPr/>
          <w:p>
            <w:pPr>
              <w:pStyle w:val="Compact"/>
              <w:jc w:val="left"/>
            </w:pPr>
            <w:r>
              <w:t xml:space="preserve">Planned after the baseline was known; unadjusted</w:t>
            </w:r>
          </w:p>
        </w:tc>
      </w:tr>
      <w:tr>
        <w:tc>
          <w:tcPr/>
          <w:p>
            <w:pPr>
              <w:pStyle w:val="Compact"/>
              <w:jc w:val="left"/>
            </w:pPr>
            <w:r>
              <w:t xml:space="preserve">P1–P3 (4.6)</w:t>
            </w:r>
          </w:p>
        </w:tc>
        <w:tc>
          <w:tcPr/>
          <w:p>
            <w:pPr>
              <w:pStyle w:val="Compact"/>
              <w:jc w:val="left"/>
            </w:pPr>
            <w:r>
              <w:t xml:space="preserve">Pre-specified; not supported</w:t>
            </w:r>
          </w:p>
        </w:tc>
      </w:tr>
      <w:tr>
        <w:tc>
          <w:tcPr/>
          <w:p>
            <w:pPr>
              <w:pStyle w:val="Compact"/>
              <w:jc w:val="left"/>
            </w:pPr>
            <w:r>
              <w:t xml:space="preserve">P4 (4.6)</w:t>
            </w:r>
          </w:p>
        </w:tc>
        <w:tc>
          <w:tcPr/>
          <w:p>
            <w:pPr>
              <w:pStyle w:val="Compact"/>
              <w:jc w:val="left"/>
            </w:pPr>
            <w:r>
              <w:t xml:space="preserve">Pre-specified; marginal</w:t>
            </w:r>
          </w:p>
        </w:tc>
      </w:tr>
      <w:tr>
        <w:tc>
          <w:tcPr/>
          <w:p>
            <w:pPr>
              <w:pStyle w:val="Compact"/>
              <w:jc w:val="left"/>
            </w:pPr>
            <w:r>
              <w:t xml:space="preserve">Cross-asset responses (4.2)</w:t>
            </w:r>
          </w:p>
        </w:tc>
        <w:tc>
          <w:tcPr/>
          <w:p>
            <w:pPr>
              <w:pStyle w:val="Compact"/>
              <w:jc w:val="left"/>
            </w:pPr>
            <w:r>
              <w:t xml:space="preserve">Model-labelled; Holm within assets</w:t>
            </w:r>
          </w:p>
        </w:tc>
      </w:tr>
      <w:tr>
        <w:tc>
          <w:tcPr/>
          <w:p>
            <w:pPr>
              <w:pStyle w:val="Compact"/>
              <w:jc w:val="left"/>
            </w:pPr>
            <w:r>
              <w:t xml:space="preserve">Appendices D and E</w:t>
            </w:r>
          </w:p>
        </w:tc>
        <w:tc>
          <w:tcPr/>
          <w:p>
            <w:pPr>
              <w:pStyle w:val="Compact"/>
              <w:jc w:val="left"/>
            </w:pPr>
            <w:r>
              <w:t xml:space="preserve">Exploratory or model-labelled</w:t>
            </w:r>
          </w:p>
        </w:tc>
      </w:tr>
    </w:tbl>
    <w:p>
      <w:pPr>
        <w:pStyle w:val="BodyText"/>
      </w:pPr>
      <w:r>
        <w:rPr>
          <w:iCs/>
          <w:i/>
        </w:rPr>
        <w:t xml:space="preserve">Table A1. Status of results in the main text.</w:t>
      </w:r>
    </w:p>
    <w:p>
      <w:pPr>
        <w:pStyle w:val="BodyText"/>
      </w:pPr>
      <w:r>
        <w:rPr>
          <w:bCs/>
          <w:b/>
        </w:rPr>
        <w:t xml:space="preserve">Ledger of plans.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on the 26 and 14 events of the drift sample (+0.62 and +0.53 against placebo 95th percentiles 0.22 and 0.26); re-run on the headline 29 and 16 events: +1.04 and +0.48 against 0.20 and 0.20; H8a: pre-post drift also exceeds placebo for de-escalation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for de-escalation (one-sided p = 0.0002 and 0.030; two-sided p = 0.0003 and 0.059); escalation +0.48% (one-sided p = 0.007; two-sided p = 0.013)</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marginal (p = 0.041; Holm over HI1–HI4 would give 0.16) and not counted as support</w:t>
            </w:r>
          </w:p>
        </w:tc>
      </w:tr>
      <w:tr>
        <w:tc>
          <w:tcPr/>
          <w:p>
            <w:pPr>
              <w:pStyle w:val="Compact"/>
              <w:jc w:val="left"/>
            </w:pPr>
            <w:r>
              <w:t xml:space="preserve">Robustness of the human-label headline</w:t>
            </w:r>
          </w:p>
        </w:tc>
        <w:tc>
          <w:tcPr/>
          <w:p>
            <w:pPr>
              <w:pStyle w:val="Compact"/>
              <w:jc w:val="left"/>
            </w:pPr>
            <w:r>
              <w:t xml:space="preserve">hf/ANALYSIS_PLAN_ROBUST_HEADLINE.md</w:t>
            </w:r>
          </w:p>
        </w:tc>
        <w:tc>
          <w:tcPr/>
          <w:p>
            <w:pPr>
              <w:pStyle w:val="Compact"/>
              <w:jc w:val="left"/>
            </w:pPr>
            <w:r>
              <w:t xml:space="preserve">Direction robust in every variant; post − pre excess borderline and window-dependent (Table 6)</w:t>
            </w:r>
          </w:p>
        </w:tc>
      </w:tr>
      <w:tr>
        <w:tc>
          <w:tcPr/>
          <w:p>
            <w:pPr>
              <w:pStyle w:val="Compact"/>
              <w:jc w:val="left"/>
            </w:pPr>
            <w:r>
              <w:t xml:space="preserve">Model re-labelling under codebook v2; label-set comparison; adjudication split; same-sample placebo; two-sided and day-clustered re-statement</w:t>
            </w:r>
          </w:p>
        </w:tc>
        <w:tc>
          <w:tcPr/>
          <w:p>
            <w:pPr>
              <w:pStyle w:val="Compact"/>
              <w:jc w:val="left"/>
            </w:pPr>
            <w:r>
              <w:t xml:space="preserve">hf/ANALYSIS_PLAN_V2RELABEL.md</w:t>
            </w:r>
          </w:p>
        </w:tc>
        <w:tc>
          <w:tcPr/>
          <w:p>
            <w:pPr>
              <w:pStyle w:val="Compact"/>
              <w:jc w:val="left"/>
            </w:pPr>
            <w:r>
              <w:t xml:space="preserve">κ 0.48–0.51 under v2 (no improvement); escalation attenuated under all model label sets (human minus original model +0.31, p = 0.038; minus v2 majority +0.16, p = 0.27); 66% of escalation labels adjudicated (Tables 2, 3, 5)</w:t>
            </w:r>
          </w:p>
        </w:tc>
      </w:tr>
    </w:tbl>
    <w:bookmarkEnd w:id="51"/>
    <w:bookmarkStart w:id="52" w:name="appendix-b.-coding-protocol"/>
    <w:p>
      <w:pPr>
        <w:pStyle w:val="Heading2"/>
      </w:pPr>
      <w:r>
        <w:t xml:space="preserve">Appendix B. Coding protocol</w:t>
      </w:r>
    </w:p>
    <w:p>
      <w:pPr>
        <w:pStyle w:val="FirstParagraph"/>
      </w:pPr>
      <w:r>
        <w:rPr>
          <w:bCs/>
          <w:b/>
        </w:rPr>
        <w:t xml:space="preserve">B.1 Model labelling.</w:t>
      </w:r>
      <w:r>
        <w:t xml:space="preserve"> </w:t>
      </w:r>
      <w:r>
        <w:t xml:space="preserve">Two independent runs of a large language model each received only the text of a post, with no market data, time stamp or other posts, and returned a direction class (escalation, de-escalation, mixed, other) and a type (action or rhetoric). The runs are copies of the same model. Prompts, outputs and the code that merges them are in an anonymized repository. The first run’s labels were adopted as primary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w:t>
      </w:r>
    </w:p>
    <w:p>
      <w:pPr>
        <w:pStyle w:val="BodyText"/>
      </w:pPr>
      <w:r>
        <w:rPr>
          <w:bCs/>
          <w:b/>
        </w:rPr>
        <w:t xml:space="preserve">B.2 Human coders.</w:t>
      </w:r>
      <w:r>
        <w:t xml:space="preserve"> </w:t>
      </w:r>
      <w:r>
        <w:t xml:space="preserve">Two coders, doctoral students in information systems, coded independently from a spreadsheet that contained the codebook and, for each item, only the post text. They were told to use only the text shown, not to look anything up or look at prices, not to discuss items with each other, and to code the post’s own stance (for a re-post or link, the stance of a quoted headline if clear, otherwise</w:t>
      </w:r>
      <w:r>
        <w:t xml:space="preserve"> </w:t>
      </w:r>
      <w:r>
        <w:t xml:space="preserve">“</w:t>
      </w:r>
      <w:r>
        <w:t xml:space="preserve">other</w:t>
      </w:r>
      <w:r>
        <w:t xml:space="preserve">”</w:t>
      </w:r>
      <w:r>
        <w:t xml:space="preserve">). Items were in a different random order for each coder in round 2. Each item also received a confidence rating (1 = clear, 2 = somewhat unclear). The coders did not know the research question. Disagreements were adjudicated by the lead investigator from the text alone, without market information; a post for which no resolution was reached would have been excluded (sensitivity: treated as mixed).</w:t>
      </w:r>
    </w:p>
    <w:p>
      <w:pPr>
        <w:pStyle w:val="BodyText"/>
      </w:pPr>
      <w:r>
        <w:rPr>
          <w:bCs/>
          <w:b/>
        </w:rPr>
        <w:t xml:space="preserve">B.3 Codebook, round 1 (v1; 150 posts, 2024–2026 posts matching keywords about Iran, oil or oil-producing countries).</w:t>
      </w:r>
      <w:r>
        <w:t xml:space="preserve"> </w:t>
      </w:r>
      <w:r>
        <w:t xml:space="preserve">Exactly one class per post.</w:t>
      </w:r>
      <w:r>
        <w:t xml:space="preserve"> </w:t>
      </w:r>
      <w:r>
        <w:t xml:space="preserve">- ESC: the post raises the risk of military conflict or oil-supply disruption; threatens, warns of, announces or celebrates attacks, strikes, blockade or destruction (for example on Iran); ultimatums; new sanctions or secondary tariffs on oil buyers or oil-exporting countries; threats against such countries or their energy infrastructure.</w:t>
      </w:r>
      <w:r>
        <w:t xml:space="preserve"> </w:t>
      </w:r>
      <w:r>
        <w:t xml:space="preserve">- DEESC: the post lowers that risk; announces or hints at holding off, cancelling or postponing strikes; ceasefire; deal, memorandum or agreement progress; talks; reopening of routes (for example the Strait of Hormuz); peace; sanctions relief; higher oil production or lower oil prices through supply.</w:t>
      </w:r>
      <w:r>
        <w:t xml:space="preserve"> </w:t>
      </w:r>
      <w:r>
        <w:t xml:space="preserve">- MIXED: clear escalation and clear de-escalation in the same post (for example</w:t>
      </w:r>
      <w:r>
        <w:t xml:space="preserve"> </w:t>
      </w:r>
      <w:r>
        <w:t xml:space="preserve">“</w:t>
      </w:r>
      <w:r>
        <w:t xml:space="preserve">deal or we strike</w:t>
      </w:r>
      <w:r>
        <w:t xml:space="preserve">”</w:t>
      </w:r>
      <w:r>
        <w:t xml:space="preserve">).</w:t>
      </w:r>
      <w:r>
        <w:t xml:space="preserve"> </w:t>
      </w:r>
      <w:r>
        <w:t xml:space="preserve">- OTHER: not about the military or diplomatic course of conflicts involving oil-producing countries or about oil supply; polls, domestic politics, attacks on the media, tariffs on non-oil goods, unrelated mentions; re-posts or links of others’ commentary without a clear stance.</w:t>
      </w:r>
    </w:p>
    <w:p>
      <w:pPr>
        <w:pStyle w:val="BodyText"/>
      </w:pPr>
      <w:r>
        <w:rPr>
          <w:bCs/>
          <w:b/>
        </w:rPr>
        <w:t xml:space="preserve">B.4 Codebook, rounds 2 and 3 (v2; 61 and 130 war-period posts).</w:t>
      </w:r>
      <w:r>
        <w:t xml:space="preserve"> </w:t>
      </w:r>
      <w:r>
        <w:t xml:space="preserve">Written after round 1 showed moderate agreement (κ = 0.51) and a dominant model error (a de-escalation label on unrelated posts). Changes from v1:</w:t>
      </w:r>
      <w:r>
        <w:t xml:space="preserve"> </w:t>
      </w:r>
      <w:r>
        <w:t xml:space="preserve">- ESC includes demands or conditions addressed to Iran that are backed by pressure (</w:t>
      </w:r>
      <w:r>
        <w:t xml:space="preserve">“</w:t>
      </w:r>
      <w:r>
        <w:t xml:space="preserve">Iran must …, or …</w:t>
      </w:r>
      <w:r>
        <w:t xml:space="preserve">”</w:t>
      </w:r>
      <w:r>
        <w:t xml:space="preserve">) and criticism that the other side is failing to agree, when no pause, concession or progress is announced; it covers posts that raise or keep up the risk.</w:t>
      </w:r>
      <w:r>
        <w:t xml:space="preserve"> </w:t>
      </w:r>
      <w:r>
        <w:t xml:space="preserve">- DEESC requires an announced or clearly signalled pause, postponement or cancellation of strikes, ceasefire, agreement or deal, progress in talks, reopening of the Strait or lifting of the blockade, sanctions relief or other relief. A post that only describes terms or demands is not DEESC.</w:t>
      </w:r>
      <w:r>
        <w:t xml:space="preserve"> </w:t>
      </w:r>
      <w:r>
        <w:t xml:space="preserve">- MIXED requires a clear announcement of de-escalation and a clear threat or escalation in the same post (</w:t>
      </w:r>
      <w:r>
        <w:t xml:space="preserve">“</w:t>
      </w:r>
      <w:r>
        <w:t xml:space="preserve">we will hold off, but if they do not sign we will strike</w:t>
      </w:r>
      <w:r>
        <w:t xml:space="preserve">”</w:t>
      </w:r>
      <w:r>
        <w:t xml:space="preserve">).</w:t>
      </w:r>
      <w:r>
        <w:t xml:space="preserve"> </w:t>
      </w:r>
      <w:r>
        <w:t xml:space="preserve">- OTHER: domestic politics, attacks on the media or critics without a stance on the conflict, boasts without a stance on what happens next, polls and unrelated topics; re-posts and bare links with no stated stance in the visible text. If the visible text quotes a headline with a clear stance, the stance of that headline is coded.</w:t>
      </w:r>
    </w:p>
    <w:p>
      <w:pPr>
        <w:pStyle w:val="BodyText"/>
      </w:pPr>
      <w:r>
        <w:t xml:space="preserve">Eighteen of the 61 round-2 posts had been coded in round 1 and give a test–retest comparison. Codebook v2 was written after the investigators knew where the model had gone wrong, and it was fixed before the round-2 and round-3 labels returned; this is a researcher degree of freedom that Table 6 partly addresses by repeating the main result on posts where the coders agreed before adjudication.</w:t>
      </w:r>
    </w:p>
    <w:p>
      <w:pPr>
        <w:pStyle w:val="BodyText"/>
      </w:pPr>
      <w:r>
        <w:rPr>
          <w:bCs/>
          <w:b/>
        </w:rPr>
        <w:t xml:space="preserve">B.5 Model re-labelling under codebook v2 (Section 4.4).</w:t>
      </w:r>
      <w:r>
        <w:t xml:space="preserve"> </w:t>
      </w:r>
      <w:r>
        <w:t xml:space="preserve">Four runs (three model sizes of one vendor’s family and a repeat of one) each received the codebook v2 text exactly as the human coders saw it and the 191 post texts as the coders saw them, in a different random order per run, with no ids, times, prices, source labels or earlier labels, and wrote one class and a confidence per item to a file outside the repository; they were instructed not to write keyword rules and not to open any other file. The runs were launched after the plan was committed. The majority of the four runs is the</w:t>
      </w:r>
      <w:r>
        <w:t xml:space="preserve"> </w:t>
      </w:r>
      <w:r>
        <w:t xml:space="preserve">“</w:t>
      </w:r>
      <w:r>
        <w:t xml:space="preserve">v2 majority</w:t>
      </w:r>
      <w:r>
        <w:t xml:space="preserve">”</w:t>
      </w:r>
      <w:r>
        <w:t xml:space="preserve">; ties (15 posts) were resolved by the largest run. The runs used claude-opus-5-5, claude-sonnet-5-5, claude-haiku-5-5 and claude-sonnet-5-5 (repeat) on 14 October 2026 with default sampling settings; the first-stage labels (model 1) were produced by claude-sonnet-5-5 on the same date.</w:t>
      </w:r>
    </w:p>
    <w:p>
      <w:pPr>
        <w:pStyle w:val="BodyText"/>
      </w:pPr>
      <w:r>
        <w:rPr>
          <w:bCs/>
          <w:b/>
        </w:rPr>
        <w:t xml:space="preserve">B.6 Content analysis (hypothesis generation, Appendix E.2).</w:t>
      </w:r>
      <w:r>
        <w:t xml:space="preserve"> </w:t>
      </w:r>
      <w:r>
        <w:t xml:space="preserve">136 posts were shuffled, stripped of labels and market data, and coded by two model-instance analysts; codebooks were reconciled and fixed before reactions were attached.</w:t>
      </w:r>
    </w:p>
    <w:bookmarkEnd w:id="52"/>
    <w:bookmarkStart w:id="53"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The round-3 labels and the model re-labelling are reported in Sections 4.3 and 4.4.</w:t>
      </w:r>
    </w:p>
    <w:bookmarkEnd w:id="53"/>
    <w:bookmarkStart w:id="60" w:name="X7a2b0a026ac61b487ce1e6f8f1f69ad89ee9f8b"/>
    <w:p>
      <w:pPr>
        <w:pStyle w:val="Heading2"/>
      </w:pPr>
      <w:r>
        <w:t xml:space="preserve">Appendix D. Exploratory analyses of arrival, events and other self-timed events</w:t>
      </w:r>
    </w:p>
    <w:p>
      <w:pPr>
        <w:pStyle w:val="CaptionedFigure"/>
      </w:pPr>
      <w:r>
        <w:drawing>
          <wp:inline>
            <wp:extent cx="5334000" cy="2066925"/>
            <wp:effectExtent b="0" l="0" r="0" t="0"/>
            <wp:docPr descr="Figure D1" title="" id="55" name="Picture"/>
            <a:graphic>
              <a:graphicData uri="http://schemas.openxmlformats.org/drawingml/2006/picture">
                <pic:pic>
                  <pic:nvPicPr>
                    <pic:cNvPr descr="figs/fig1_arrivals.png" id="56" name="Picture"/>
                    <pic:cNvPicPr>
                      <a:picLocks noChangeArrowheads="1" noChangeAspect="1"/>
                    </pic:cNvPicPr>
                  </pic:nvPicPr>
                  <pic:blipFill>
                    <a:blip r:embed="rId54"/>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D1</w:t>
      </w:r>
    </w:p>
    <w:p>
      <w:pPr>
        <w:pStyle w:val="BodyText"/>
      </w:pPr>
      <w:r>
        <w:rPr>
          <w:iCs/>
          <w:i/>
        </w:rPr>
        <w:t xml:space="preserve">Figure D1. Iran-related posts with threat terms (n = 108). A: observed daily counts versus Poisson and negative binomial fits. B: weekly counts.</w:t>
      </w:r>
    </w:p>
    <w:p>
      <w:pPr>
        <w:pStyle w:val="BodyText"/>
      </w:pPr>
      <w:r>
        <w:t xml:space="preserve">These analyses were run after the main results were seen. Their definitions were fixed in dated plans before the relevant data were downloaded or parsed (Appendix A), but none is confirmatory.</w:t>
      </w:r>
    </w:p>
    <w:bookmarkStart w:id="57"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Appendices E.4–E.5),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pre-specified comparison with matched ordinary accounts is specified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pre-specified; the results file).</w:t>
      </w:r>
    </w:p>
    <w:bookmarkEnd w:id="57"/>
    <w:bookmarkStart w:id="58"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58"/>
    <w:bookmarkStart w:id="59"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4.5)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59"/>
    <w:bookmarkEnd w:id="60"/>
    <w:bookmarkStart w:id="72" w:name="X7117f966726966b25e68a4ee9c3836f3668b7b4"/>
    <w:p>
      <w:pPr>
        <w:pStyle w:val="Heading2"/>
      </w:pPr>
      <w:r>
        <w:t xml:space="preserve">Appendix E. Supplementary analyses (model-labelled or exploratory)</w:t>
      </w:r>
    </w:p>
    <w:p>
      <w:pPr>
        <w:pStyle w:val="FirstParagraph"/>
      </w:pPr>
      <w:r>
        <w:t xml:space="preserve">The analyses in this appendix use model labels that humans accept for only about half of the model-agreed signals (Section 4.3; E.5), or were generated from the cases they describe, or were run after the main results were seen. They are not evidence for the information-theoretic account. In particular, the opposite signs of the oil responses in 2026 and 2017–2021 are an unvalidated observation: the 2017–2021 oil sample has model labels only, and the pre-specified test of the proposition that would have made sense of it (P6) was rejected in the opposite direction (E.5).</w:t>
      </w:r>
    </w:p>
    <w:p>
      <w:pPr>
        <w:pStyle w:val="CaptionedFigure"/>
      </w:pPr>
      <w:r>
        <w:drawing>
          <wp:inline>
            <wp:extent cx="5334000" cy="2200275"/>
            <wp:effectExtent b="0" l="0" r="0" t="0"/>
            <wp:docPr descr="Figure E1" title="" id="62" name="Picture"/>
            <a:graphic>
              <a:graphicData uri="http://schemas.openxmlformats.org/drawingml/2006/picture">
                <pic:pic>
                  <pic:nvPicPr>
                    <pic:cNvPr descr="figs/fig2_event_time.png" id="63" name="Picture"/>
                    <pic:cNvPicPr>
                      <a:picLocks noChangeArrowheads="1" noChangeAspect="1"/>
                    </pic:cNvPicPr>
                  </pic:nvPicPr>
                  <pic:blipFill>
                    <a:blip r:embed="rId61"/>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E1</w:t>
      </w:r>
    </w:p>
    <w:p>
      <w:pPr>
        <w:pStyle w:val="BodyText"/>
      </w:pPr>
      <w:r>
        <w:rPr>
          <w:iCs/>
          <w:i/>
        </w:rPr>
        <w:t xml:space="preserve">Figure E1. WTI path around war-period posts, model labels (first stage): de-escalation n = 33; escalation n = 27 with complete windows. A: mean ± 1 SE. B: median.</w:t>
      </w:r>
    </w:p>
    <w:p>
      <w:pPr>
        <w:pStyle w:val="CaptionedFigure"/>
      </w:pPr>
      <w:r>
        <w:drawing>
          <wp:inline>
            <wp:extent cx="5334000" cy="2753032"/>
            <wp:effectExtent b="0" l="0" r="0" t="0"/>
            <wp:docPr descr="Figure E2" title="" id="65" name="Picture"/>
            <a:graphic>
              <a:graphicData uri="http://schemas.openxmlformats.org/drawingml/2006/picture">
                <pic:pic>
                  <pic:nvPicPr>
                    <pic:cNvPr descr="figs/fig3_bar_decomposition.png" id="66" name="Picture"/>
                    <pic:cNvPicPr>
                      <a:picLocks noChangeArrowheads="1" noChangeAspect="1"/>
                    </pic:cNvPicPr>
                  </pic:nvPicPr>
                  <pic:blipFill>
                    <a:blip r:embed="rId64"/>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E2</w:t>
      </w:r>
    </w:p>
    <w:p>
      <w:pPr>
        <w:pStyle w:val="BodyText"/>
      </w:pPr>
      <w:r>
        <w:rPr>
          <w:iCs/>
          <w:i/>
        </w:rPr>
        <w:t xml:space="preserve">Figure E2. Directional WTI return by hour relative to the bar k containing the post, model-labelled de-escalation posts (mean ± 1 SE); the hour before the post bar already carries +0.36%.</w:t>
      </w:r>
    </w:p>
    <w:bookmarkStart w:id="67" w:name="e.1-earlier-pre-specified-mechanisms"/>
    <w:p>
      <w:pPr>
        <w:pStyle w:val="Heading3"/>
      </w:pPr>
      <w:r>
        <w:t xml:space="preserve">E.1 Earlier pre-specified mechanisms</w:t>
      </w:r>
    </w:p>
    <w:p>
      <w:pPr>
        <w:pStyle w:val="FirstParagraph"/>
      </w:pPr>
      <w:r>
        <w:t xml:space="preserve">Three mechanisms were pre-specified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pre-specified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67"/>
    <w:bookmarkStart w:id="68" w:name="X66cd5ee863ab5a1a78bfd9fd7d21d1587b03d84"/>
    <w:p>
      <w:pPr>
        <w:pStyle w:val="Heading3"/>
      </w:pPr>
      <w:r>
        <w:t xml:space="preserve">E.2 Content analysis (hypothesis generation)</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p>
      <w:pPr>
        <w:pStyle w:val="BodyText"/>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68"/>
    <w:bookmarkStart w:id="69" w:name="Xc55d518a044bbf75c734e1bbadad911bba60243"/>
    <w:p>
      <w:pPr>
        <w:pStyle w:val="Heading3"/>
      </w:pPr>
      <w:r>
        <w:t xml:space="preserve">E.3 Timing surprisal (P7), first source and redundancy (P5)</w:t>
      </w:r>
    </w:p>
    <w:p>
      <w:pPr>
        <w:pStyle w:val="FirstParagraph"/>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(the analysis plan,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p>
      <w:pPr>
        <w:pStyle w:val="BodyText"/>
      </w:pPr>
      <w:r>
        <w:t xml:space="preserve">The redundancy proposition (P5) was examined as the correlation between novelty and the number of same-topic posts in the previous 24 hours (−0.10, direction as expected, uninformative) and in the held-out re-post test of E.2. For the 30 events that overlap the first-source classification, the mean directional return in the 30 minutes before the post was +0.28% (POST_FIRST, n = 10), +0.66% (OTHER_FIRST, 9), +1.57% (SIMULTANEOUS, 6) and +0.30% (undeterminable, 5); POST_FIRST versus OTHER_FIRST p = 0.90, so the drift does not differ by who reported first.</w:t>
      </w:r>
    </w:p>
    <w:bookmarkEnd w:id="69"/>
    <w:bookmarkStart w:id="70" w:name="X7f75c071481e4d1a882ce628d2a70625f7aea76"/>
    <w:p>
      <w:pPr>
        <w:pStyle w:val="Heading3"/>
      </w:pPr>
      <w:r>
        <w:t xml:space="preserve">E.4 Twitter-era oil and Iran tweets (model labels)</w:t>
      </w:r>
    </w:p>
    <w:p>
      <w:pPr>
        <w:pStyle w:val="FirstParagraph"/>
      </w:pPr>
      <w:r>
        <w:t xml:space="preserve">To test the propositions on data not used to form them, we pre-specified (a plan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differed: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pre-specified the sign flip, and we offer it as a post hoc reading. P6 turns it into a prediction that is tested on the tariff and trade tweets of the same period, with a plan registered before their returns were examined (the analysis plan, Amendment 1); human labels for the oil sample were not collected. Finally, the standardized reaction is larger in the 2026 posts (mean 1.39 against 0.84; exploratory permutation p = 0.002); the comparison is confounded with the war and cannot isolate the platform.</w:t>
      </w:r>
    </w:p>
    <w:bookmarkEnd w:id="70"/>
    <w:bookmarkStart w:id="71" w:name="Xfc180e0341532553c9b889b0cbfc6ae9be261b8"/>
    <w:p>
      <w:pPr>
        <w:pStyle w:val="Heading3"/>
      </w:pPr>
      <w:r>
        <w:t xml:space="preserve">E.5 Tariff and trade tweets (model labels; state-dependent sign)</w:t>
      </w:r>
    </w:p>
    <w:p>
      <w:pPr>
        <w:pStyle w:val="FirstParagraph"/>
      </w:pPr>
      <w:r>
        <w:t xml:space="preserve">The state-dependence reading of Appendix E.4 was formed after the oil results, so it could not be tested on them. For the tariff, trade, and China tweets of 2017–2021 (937 original tweets; 632 after the three-hour filter; 410 with a tick window of the S&amp;P 500 index CFD; labels from two model instances, κ = 0.80, human labels for only 150 tweets) we registered the test before any price or return was examined (the analysis plan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were not analysed.</w:t>
      </w:r>
    </w:p>
    <w:bookmarkEnd w:id="71"/>
    <w:bookmarkEnd w:id="72"/>
    <w:bookmarkStart w:id="76" w:name="Xe7c5810073d46a57ece0d138b6cd5940676f0b5"/>
    <w:p>
      <w:pPr>
        <w:pStyle w:val="Heading2"/>
      </w:pPr>
      <w:r>
        <w:t xml:space="preserve">Appendix F. Information-theoretic motivation and tests</w:t>
      </w:r>
    </w:p>
    <w:p>
      <w:pPr>
        <w:pStyle w:val="FirstParagraph"/>
      </w:pPr>
      <w:r>
        <w:t xml:space="preserve">These analyses motivated the study and are reported here because they do not bear on the labelling question. They use hourly signal posts selected with model labels, but their outcome is the size of the reaction, which does not depend on the label of direction. The tests have low power;</w:t>
      </w:r>
      <w:r>
        <w:t xml:space="preserve"> </w:t>
      </w:r>
      <w:r>
        <w:t xml:space="preserve">“</w:t>
      </w:r>
      <w:r>
        <w:t xml:space="preserve">not supported</w:t>
      </w:r>
      <w:r>
        <w:t xml:space="preserve">”</w:t>
      </w:r>
      <w:r>
        <w:t xml:space="preserve"> </w:t>
      </w:r>
      <w:r>
        <w:t xml:space="preserve">means that they could not detect an effect.</w:t>
      </w:r>
    </w:p>
    <w:bookmarkStart w:id="73" w:name="f.1-motivation-and-propositions"/>
    <w:p>
      <w:pPr>
        <w:pStyle w:val="Heading3"/>
      </w:pPr>
      <w:r>
        <w:t xml:space="preserve">F.1 Motivation and propositions</w:t>
      </w:r>
    </w:p>
    <w:p>
      <w:pPr>
        <w:pStyle w:val="FirstParagraph"/>
      </w:pPr>
      <w:r>
        <w:t xml:space="preserve">When the author of a message is also the decision-maker, the message may be the decision’s first public form (Austin 1962; Searle 1969). A platform lowers the cost of producing messages and removes intermediaries that would filter or confirm them, so receivers must infer the channel’s reliability (Crawford and Sobel 1982; Kamenica and Gentzkow 2011). Information theory offers a vocabulary for this (Shannon 1948; Cover and Thomas 2006). Let S be a state the market cares about (here, whether Hormuz transit is open), with prior π and entropy H(π). A message that changes the belief to π′ conveys KL(π′ ‖ π) (Kullback and Leibler 1951). Three implications follow in expectation. A message that is unlikely under π, and not a repeat of earlier messages, should produce a larger update (surprisal and redundancy). The update should be larger when H(π) is larger (prior uncertainty). And reliability should scale the update. These are statements about the</w:t>
      </w:r>
      <w:r>
        <w:t xml:space="preserve"> </w:t>
      </w:r>
      <w:r>
        <w:rPr>
          <w:iCs/>
          <w:i/>
        </w:rPr>
        <w:t xml:space="preserve">size</w:t>
      </w:r>
      <w:r>
        <w:t xml:space="preserve"> </w:t>
      </w:r>
      <w:r>
        <w:t xml:space="preserve">of a reaction, not its sign.</w:t>
      </w:r>
    </w:p>
    <w:p>
      <w:pPr>
        <w:pStyle w:val="BodyText"/>
      </w:pPr>
      <w:r>
        <w:t xml:space="preserve">We treat this as a motivation and test four propositions with operationalizations fixed in advance in repository plans:</w:t>
      </w:r>
    </w:p>
    <w:p>
      <w:pPr>
        <w:pStyle w:val="BodyText"/>
      </w:pPr>
      <w:r>
        <w:t xml:space="preserve">P1 (surprisal): |reaction| increases in the novelty of the post relative to the poster’s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prior uncertainty about the relevant state is high and close to zero otherwise.</w:t>
      </w:r>
    </w:p>
    <w:p>
      <w:pPr>
        <w:pStyle w:val="BodyText"/>
      </w:pPr>
      <w:r>
        <w:t xml:space="preserve">Three further propositions (P5, redundancy; P6, state-dependent sign; P7, timing surprisal) are examined in Appendix E. The proxies are crude. Prior uncertainty is relative volatility, not the entropy of beliefs about the strait; novelty is a lexical measure computed on the poster’s own recent text, not on the market’s information set. We therefore treat failures as failures of these tests, not of the vocabulary, and we do not claim that the account organizes the evidence.</w:t>
      </w:r>
    </w:p>
    <w:bookmarkEnd w:id="73"/>
    <w:bookmarkStart w:id="74" w:name="f.2-measures"/>
    <w:p>
      <w:pPr>
        <w:pStyle w:val="Heading3"/>
      </w:pPr>
      <w:r>
        <w:t xml:space="preserve">F.2 Measures</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A TF-IDF measure (one minus the maximum cosine similarity to any post in the previous seven days) is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 U shares the long-run volatility denominator with |z|, so a positive coefficient is also what volatility persistence predicts; we return to this in Appendix F.3.</w:t>
      </w:r>
    </w:p>
    <w:bookmarkEnd w:id="74"/>
    <w:bookmarkStart w:id="75" w:name="f.3-tests"/>
    <w:p>
      <w:pPr>
        <w:pStyle w:val="Heading3"/>
      </w:pPr>
      <w:r>
        <w:t xml:space="preserve">F.3 Tests</w:t>
      </w:r>
    </w:p>
    <w:p>
      <w:pPr>
        <w:pStyle w:val="FirstParagraph"/>
      </w:pPr>
      <w:r>
        <w:t xml:space="preserve">Table F1 reports the pre-specified tests on 271 hourly signal posts across four topics (oil 112, tariffs 74, Fed 47, China 38), with topic fixed effects and standard errors clustered by day; the outcome is |z|. These tests use model labels only to select posts, so they do not depend on the label of direction.</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 2026 sample</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2017–21 oil/Iran tweets (n = 191)</w:t>
            </w:r>
          </w:p>
        </w:tc>
        <w:tc>
          <w:tcPr/>
          <w:p>
            <w:pPr>
              <w:pStyle w:val="Compact"/>
              <w:jc w:val="left"/>
            </w:pPr>
            <w:r>
              <w:t xml:space="preserve">−0.27 (SE 0.74)</w:t>
            </w:r>
          </w:p>
        </w:tc>
        <w:tc>
          <w:tcPr/>
          <w:p>
            <w:pPr>
              <w:pStyle w:val="Compact"/>
              <w:jc w:val="left"/>
            </w:pPr>
            <w:r>
              <w:t xml:space="preserve">0.64</w:t>
            </w:r>
          </w:p>
        </w:tc>
        <w:tc>
          <w:tcPr/>
          <w:p>
            <w:pPr>
              <w:pStyle w:val="Compact"/>
              <w:jc w:val="left"/>
            </w:pPr>
            <w:r>
              <w:t xml:space="preserve">Not supported</w:t>
            </w:r>
          </w:p>
        </w:tc>
      </w:tr>
      <w:tr>
        <w:tc>
          <w:tcPr/>
          <w:p>
            <w:pPr>
              <w:pStyle w:val="Compact"/>
              <w:jc w:val="left"/>
            </w:pPr>
            <w:r>
              <w:t xml:space="preserve">P1, 2017–21 tariff tweets (n = 410)</w:t>
            </w:r>
          </w:p>
        </w:tc>
        <w:tc>
          <w:tcPr/>
          <w:p>
            <w:pPr>
              <w:pStyle w:val="Compact"/>
              <w:jc w:val="left"/>
            </w:pPr>
            <w:r>
              <w:t xml:space="preserve">−0.05 (SE 0.68)</w:t>
            </w:r>
          </w:p>
        </w:tc>
        <w:tc>
          <w:tcPr/>
          <w:p>
            <w:pPr>
              <w:pStyle w:val="Compact"/>
              <w:jc w:val="left"/>
            </w:pPr>
            <w:r>
              <w:t xml:space="preserve">Holm 0.74</w:t>
            </w:r>
          </w:p>
        </w:tc>
        <w:tc>
          <w:tcPr/>
          <w:p>
            <w:pPr>
              <w:pStyle w:val="Compact"/>
              <w:jc w:val="left"/>
            </w:pPr>
            <w:r>
              <w:t xml:space="preserve">Not supported</w:t>
            </w:r>
          </w:p>
        </w:tc>
      </w:tr>
      <w:tr>
        <w:tc>
          <w:tcPr/>
          <w:p>
            <w:pPr>
              <w:pStyle w:val="Compact"/>
              <w:jc w:val="left"/>
            </w:pPr>
            <w:r>
              <w:t xml:space="preserve">P2 prior uncertainty U, 2026</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P2, 2017–21 oil/Iran</w:t>
            </w:r>
          </w:p>
        </w:tc>
        <w:tc>
          <w:tcPr/>
          <w:p>
            <w:pPr>
              <w:pStyle w:val="Compact"/>
              <w:jc w:val="left"/>
            </w:pPr>
            <w:r>
              <w:t xml:space="preserve">+0.18 (SE 0.18)</w:t>
            </w:r>
          </w:p>
        </w:tc>
        <w:tc>
          <w:tcPr/>
          <w:p>
            <w:pPr>
              <w:pStyle w:val="Compact"/>
              <w:jc w:val="left"/>
            </w:pPr>
            <w:r>
              <w:t xml:space="preserve">0.15</w:t>
            </w:r>
          </w:p>
        </w:tc>
        <w:tc>
          <w:tcPr/>
          <w:p>
            <w:pPr>
              <w:pStyle w:val="Compact"/>
              <w:jc w:val="left"/>
            </w:pPr>
            <w:r>
              <w:t xml:space="preserve">Not supported</w:t>
            </w:r>
          </w:p>
        </w:tc>
      </w:tr>
      <w:tr>
        <w:tc>
          <w:tcPr/>
          <w:p>
            <w:pPr>
              <w:pStyle w:val="Compact"/>
              <w:jc w:val="left"/>
            </w:pPr>
            <w:r>
              <w:t xml:space="preserve">P2, 2017–21 tariff</w:t>
            </w:r>
          </w:p>
        </w:tc>
        <w:tc>
          <w:tcPr/>
          <w:p>
            <w:pPr>
              <w:pStyle w:val="Compact"/>
              <w:jc w:val="left"/>
            </w:pPr>
            <w:r>
              <w:t xml:space="preserve">+0.40 (SE 0.10)</w:t>
            </w:r>
          </w:p>
        </w:tc>
        <w:tc>
          <w:tcPr/>
          <w:p>
            <w:pPr>
              <w:pStyle w:val="Compact"/>
              <w:jc w:val="left"/>
            </w:pPr>
            <w:r>
              <w:t xml:space="preserve">&lt; 0.001</w:t>
            </w:r>
          </w:p>
        </w:tc>
        <w:tc>
          <w:tcPr/>
          <w:p>
            <w:pPr>
              <w:pStyle w:val="Compact"/>
              <w:jc w:val="left"/>
            </w:pPr>
            <w:r>
              <w:t xml:space="preserve">Supported; confounded with volatility clustering</w:t>
            </w:r>
          </w:p>
        </w:tc>
      </w:tr>
      <w:tr>
        <w:tc>
          <w:tcPr/>
          <w:p>
            <w:pPr>
              <w:pStyle w:val="Compact"/>
              <w:jc w:val="left"/>
            </w:pPr>
            <w:r>
              <w:t xml:space="preserve">P3 N_c × U, 2026</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P3, 2017–21 oil/Iran; tariff</w:t>
            </w:r>
          </w:p>
        </w:tc>
        <w:tc>
          <w:tcPr/>
          <w:p>
            <w:pPr>
              <w:pStyle w:val="Compact"/>
              <w:jc w:val="left"/>
            </w:pPr>
            <w:r>
              <w:t xml:space="preserve">−0.37 (1.81); +0.32 (0.97)</w:t>
            </w:r>
          </w:p>
        </w:tc>
        <w:tc>
          <w:tcPr/>
          <w:p>
            <w:pPr>
              <w:pStyle w:val="Compact"/>
              <w:jc w:val="left"/>
            </w:pPr>
            <w:r>
              <w:t xml:space="preserve">0.58; Holm 0.74</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Marginal; Holm over HI1–HI4 would give 0.16</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Not different from null</w:t>
            </w:r>
          </w:p>
        </w:tc>
      </w:tr>
    </w:tbl>
    <w:p>
      <w:pPr>
        <w:pStyle w:val="BodyText"/>
      </w:pPr>
      <w:r>
        <w:rPr>
          <w:iCs/>
          <w:i/>
        </w:rPr>
        <w:t xml:space="preserve">Table F1. Pre-specified information-theoretic tests (analysis plans in Appendix A).</w:t>
      </w:r>
    </w:p>
    <w:p>
      <w:pPr>
        <w:pStyle w:val="BodyText"/>
      </w:pPr>
      <w:r>
        <w:t xml:space="preserve">The coefficients of novelty and prior uncertainty have the predicted sign in the 2026 sample and its replication, but none reaches p &lt; 0.05, and the interaction is absent. In the two 2017–2021 samples novelty is negative or zero. With 271 posts the standard error of the novelty coefficient is 0.56 against an estimate of 0.77, so effects below about 1.5 in these units cannot be excluded;</w:t>
      </w:r>
      <w:r>
        <w:t xml:space="preserve"> </w:t>
      </w:r>
      <w:r>
        <w:t xml:space="preserve">“</w:t>
      </w:r>
      <w:r>
        <w:t xml:space="preserve">not supported</w:t>
      </w:r>
      <w:r>
        <w:t xml:space="preserve">”</w:t>
      </w:r>
      <w:r>
        <w:t xml:space="preserve"> </w:t>
      </w:r>
      <w:r>
        <w:t xml:space="preserve">here means that the tests could not detect an effect, not that none exists. The only coefficient that clears its threshold, prior uncertainty in the tariff tweets, is the one that volatility persistence predicts without any account of information (Appendix F.2), and it did not appear in the oil samples. The mutual-information result, at about one thousandth of a bit per hour-bar, is one of four tests of the information family in the plan (each fixed at α = .05 with no family adjustment); a Holm adjustment over the four would give 0.16, and the plan’s test of a larger value in the war than before the war was not a formal contrast. We do not count it as support.</w:t>
      </w:r>
    </w:p>
    <w:bookmarkEnd w:id="75"/>
    <w:bookmarkEnd w:id="76"/>
    <w:bookmarkEnd w:id="77"/>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61" Type="http://schemas.openxmlformats.org/officeDocument/2006/relationships/image" Target="media/rId61.png"/><Relationship Id="rId64" Type="http://schemas.openxmlformats.org/officeDocument/2006/relationships/image" Target="media/rId64.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2026-10-15T01:13:00Z</dcterms:created>
  <dcterms:modified xsi:type="dcterms:W3CDTF">2026-10-15T01:13:00Z</dcterms:modified>
</cp:coreProperties>
</file>

<file path=docProps/custom.xml><?xml version="1.0" encoding="utf-8"?>
<Properties xmlns="http://schemas.openxmlformats.org/officeDocument/2006/custom-properties" xmlns:vt="http://schemas.openxmlformats.org/officeDocument/2006/docPropsVTypes"/>
</file>