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Does Generative AI Help Inventors Innovate? Evidence from LLM-Assisted Drafting in U.S. Patent Applications</w:t>
      </w:r>
    </w:p>
    <w:p>
      <w:pPr>
        <w:spacing w:after="200"/>
        <w:jc w:val="center"/>
      </w:pPr>
      <w:r>
        <w:rPr>
          <w:i/>
          <w:iCs/>
          <w:sz w:val="22"/>
          <w:szCs w:val="22"/>
        </w:rPr>
        <w:t xml:space="preserve">Manuscript draft prepared for submission to Information Systems Research — pre-results version</w:t>
      </w:r>
    </w:p>
    <w:p>
      <w:pPr>
        <w:shd w:fill="FFF4CE" w:color="auto" w:val="clear"/>
        <w:spacing w:after="160"/>
      </w:pPr>
      <w:r>
        <w:rPr>
          <w:i/>
          <w:iCs/>
          <w:sz w:val="20"/>
          <w:szCs w:val="20"/>
        </w:rPr>
        <w:t xml:space="preserve">Status of this draft. No empirical analysis has yet been run. All sections that depend on estimates are marked [RESULTS] and contain only the structure and the pre-specified interpretation rules; no numbers are reported or implied. Before submission the author must (i) complete the pilot gate described in Section 6, (ii) fill the marked sections with actual estimates, and (iii) verify every reference. Use of an AI system in drafting this text should be disclosed in accordance with ISR’s policy, consistent with the disclosure commitment in Section 9.</w:t>
      </w:r>
    </w:p>
    <w:p>
      <w:pPr>
        <w:pStyle w:val="Heading1"/>
      </w:pPr>
      <w:r>
        <w:t xml:space="preserve">Abstract</w:t>
      </w:r>
    </w:p>
    <w:p>
      <w:pPr>
        <w:spacing w:after="160" w:line="360"/>
        <w:jc w:val="both"/>
      </w:pPr>
      <w:r>
        <w:t xml:space="preserve">Generative AI lowers the cost of searching, drafting, and recombining technical knowledge, yet evidence on whether it improves real-world invention remains scarce and mostly indirect. Prior firm-level studies infer adoption from product installations or exposure indices and cannot observe whether a particular invention was produced with large language model (LLM) assistance. We propose and implement a filing-level measurement of LLM-assisted drafting in U.S. patent applications, based on distributional estimation validated against multi-generator reference corpora, and link it to quantity, combinatorial novelty, and exploration outcomes using staggered-adoption difference-in-differences designs. Because specifications are frequently drafted by attorneys, our primary unit of analysis is the drafting unit (assignee by law firm), with inventor-level analyses treated as exposure. We separate effects on expression from effects on the invention by contrasting text-based novelty with classification-based combinatorial novelty. We [RESULTS: summarize direction and magnitude of effects on filings, combinatorial novelty, and exploration]. The study contributes a validated procedure for detecting LLM-assisted writing in patents, evidence on the quantity–novelty trade-off of generative AI in knowledge work, and a framework for distinguishing AI-assisted drafting from AI-assisted invention.</w:t>
      </w:r>
    </w:p>
    <w:p>
      <w:pPr>
        <w:spacing w:after="160" w:line="360"/>
        <w:jc w:val="both"/>
      </w:pPr>
      <w:r>
        <w:rPr>
          <w:b/>
          <w:bCs/>
        </w:rPr>
        <w:t xml:space="preserve">Keywords: </w:t>
      </w:r>
      <w:r>
        <w:t xml:space="preserve">generative AI; large language models; innovation; patents; knowledge work; homogenization; difference-in-differences</w:t>
      </w:r>
    </w:p>
    <w:p>
      <w:pPr>
        <w:pStyle w:val="Heading1"/>
      </w:pPr>
      <w:r>
        <w:t xml:space="preserve">1. Introduction</w:t>
      </w:r>
    </w:p>
    <w:p>
      <w:pPr>
        <w:spacing w:after="160" w:line="360"/>
        <w:jc w:val="both"/>
      </w:pPr>
      <w:r>
        <w:t xml:space="preserve">Invention is a knowledge-intensive activity in which three costs weigh heavily: finding relevant prior knowledge, generating candidate ideas, and documenting the result in a form that can be protected. Generative artificial intelligence, and large language models in particular, reduces all three. An engineer can summarize hundreds of prior documents in minutes, ask a model to propose design variants, and turn an invention disclosure into a draft specification in an afternoon. Whether this reduction in cost translates into more inventions, better inventions, or merely more words is an empirical question of considerable importance to firms, to patent offices, and to scholars of information systems who study how digital tools reshape knowledge work.</w:t>
      </w:r>
    </w:p>
    <w:p>
      <w:pPr>
        <w:spacing w:after="160" w:line="360"/>
        <w:jc w:val="both"/>
      </w:pPr>
      <w:r>
        <w:t xml:space="preserve">The evidence so far points in two directions. Controlled experiments find that access to an LLM raises individual creativity while reducing the collective diversity of what people produce (Doshi and Hauser 2024). Field evidence on firms suggests that adopters of AI technologies file more patents, and that those patents receive more citations and score higher on originality and generality (Acharya et al. 2026). Whether these two findings can be reconciled in real invention, where the stakes are high and the incentives differ from those in a laboratory, is unclear. A central obstacle is measurement. Studies of firms typically proxy adoption with product installations, job postings, or occupational exposure indices. Such proxies reveal that a firm could use AI, not whether a given invention was in fact produced with its help.</w:t>
      </w:r>
    </w:p>
    <w:p>
      <w:pPr>
        <w:spacing w:after="160" w:line="360"/>
        <w:jc w:val="both"/>
      </w:pPr>
      <w:r>
        <w:t xml:space="preserve">Patent applications offer an unusual opportunity to overcome this obstacle. They are public, time-stamped, long documents written under strong incentives, and they have been systematically published for decades, providing a large pre-ChatGPT baseline. The text of an application carries traces of the process that produced it. If LLM-assisted writing leaves a statistical signature in word choice, that signature can be estimated, validated, and tied to the organizations and individuals who file. Measurement in this setting is not trivial. Detecting machine-generated text at the level of a single document is unreliable, particularly for formulaic legal language, and patent specifications are often drafted by attorneys rather than inventors. A credible study must therefore be explicit about what the measure identifies.</w:t>
      </w:r>
    </w:p>
    <w:p>
      <w:pPr>
        <w:spacing w:after="160" w:line="360"/>
        <w:jc w:val="both"/>
      </w:pPr>
      <w:r>
        <w:t xml:space="preserve">This paper addresses these challenges in three steps. First, we build a detection procedure that treats LLMs as generators of reference text rather than as judges. Human-written reference text comes from applications filed before the public release of ChatGPT; machine-written reference text is produced by several different LLMs, including systems used in commercial drafting tools, so that the detector does not learn the style of any single model. We estimate the share of LLM-assisted text at the group level using a distributional mixture approach in the spirit of Liang et al. (2024, 2025), and we use document-level scores only as a secondary check. Second, we define treatment at the level where the measurement is credible. Because attorneys draft many specifications, our primary unit is the drafting unit, defined as an assignee–law firm pair, and inventor-level results are interpreted as exposure to AI-assisted drafting rather than as the inventor’s own adoption. Third, we estimate how filings, combinatorial novelty, and the technological exploration of drafting units change after LLM-assisted drafting becomes detectable, using estimators designed for staggered and continuous treatment.</w:t>
      </w:r>
    </w:p>
    <w:p>
      <w:pPr>
        <w:spacing w:after="160" w:line="360"/>
        <w:jc w:val="both"/>
      </w:pPr>
      <w:r>
        <w:t xml:space="preserve">Our conceptual contribution is to separate expression from invention. An LLM that merely polishes a specification can change the text of a patent without changing the technology it describes. We therefore contrast novelty measured from text embeddings, which we expect to be mechanically affected by LLM polishing, with novelty measured from combinations of technology classes, which does not depend on wording. A divergence between the two is informative about whether generative AI changes how inventions are described, what is invented, or both.</w:t>
      </w:r>
    </w:p>
    <w:p>
      <w:pPr>
        <w:spacing w:after="160" w:line="360"/>
        <w:jc w:val="both"/>
      </w:pPr>
      <w:r>
        <w:t xml:space="preserve">The paper makes three contributions. For research on information systems and knowledge work, it moves the study of generative AI from exposure and adoption proxies to observed use in the artifacts that workers produce. For the economics of innovation, it provides a test of a quantity–novelty trade-off, in which generative AI raises output while pulling it toward the center of existing knowledge. For measurement, it offers a validated, multi-generator, translation-aware procedure for detecting LLM-assisted writing in patents, together with an explicit account of the procedure’s limits. The data and methods are public, and we make the detection pipeline available to enable replication.</w:t>
      </w:r>
    </w:p>
    <w:p>
      <w:pPr>
        <w:pStyle w:val="Heading1"/>
      </w:pPr>
      <w:r>
        <w:t xml:space="preserve">2. Background and Related Literature</w:t>
      </w:r>
    </w:p>
    <w:p>
      <w:pPr>
        <w:pStyle w:val="Heading2"/>
      </w:pPr>
      <w:r>
        <w:t xml:space="preserve">2.1 Generative AI and the production of knowledge</w:t>
      </w:r>
    </w:p>
    <w:p>
      <w:pPr>
        <w:spacing w:after="160" w:line="360"/>
        <w:jc w:val="both"/>
      </w:pPr>
      <w:r>
        <w:t xml:space="preserve">Research on information technology and innovation has long emphasized that digital tools change the cost structure of search and recombination. Generative AI extends this logic by automating not only retrieval but also the generation of text and code. Experimental studies report productivity gains in writing and programming tasks, often largest for less experienced workers, along with concerns about homogenization of output. Doshi and Hauser (2024) show that stories written with AI ideas are rated as more creative individually but are more similar to one another. Whether similar patterns arise when inventors and drafters work under real incentives is the question we take up.</w:t>
      </w:r>
    </w:p>
    <w:p>
      <w:pPr>
        <w:pStyle w:val="Heading2"/>
      </w:pPr>
      <w:r>
        <w:t xml:space="preserve">2.2 Measuring AI use in firms and in text</w:t>
      </w:r>
    </w:p>
    <w:p>
      <w:pPr>
        <w:spacing w:after="160" w:line="360"/>
        <w:jc w:val="both"/>
      </w:pPr>
      <w:r>
        <w:t xml:space="preserve">Most studies of AI and innovation at the firm level rely on proxies for adoption. Acharya et al. (2026) exploit the timing of AI product installations in a staggered difference-in-differences design and report that adopters subsequently file more patents with higher citation counts, more claims, and higher originality and generality. Our work complements this approach by measuring use in each filing rather than at the firm level, and by testing homogenization directly. A separate literature estimates the prevalence of LLM-modified text in domains such as scientific peer reviews and corporate communication using population-level distributional methods (Liang et al. 2024, 2025). These methods are accurate at the aggregate level but less reliable for individual documents, which motivates our group-level design. Zero-shot detectors based on token probabilities (Hans et al. 2024) offer document-level scores, but their reliability is limited for formulaic text such as patent claims.</w:t>
      </w:r>
    </w:p>
    <w:p>
      <w:pPr>
        <w:pStyle w:val="Heading2"/>
      </w:pPr>
      <w:r>
        <w:t xml:space="preserve">2.3 Patents as measures of invention</w:t>
      </w:r>
    </w:p>
    <w:p>
      <w:pPr>
        <w:spacing w:after="160" w:line="360"/>
        <w:jc w:val="both"/>
      </w:pPr>
      <w:r>
        <w:t xml:space="preserve">Patent counts and citations are standard, imperfect measures of inventive output, and the literature offers several ways to measure novelty. Classification-based measures capture whether an application combines technology classes that have not been combined before, consistent with recombinant theories of growth (Weitzman 1998). Text-based measures compare the language of an application with that of prior applications. The two capture different things, and the difference matters here because LLM assistance may affect the wording of an application without altering its technological content.</w:t>
      </w:r>
    </w:p>
    <w:p>
      <w:pPr>
        <w:pStyle w:val="Heading1"/>
      </w:pPr>
      <w:r>
        <w:t xml:space="preserve">3. Theory and Hypotheses</w:t>
      </w:r>
    </w:p>
    <w:p>
      <w:pPr>
        <w:pStyle w:val="Heading2"/>
      </w:pPr>
      <w:r>
        <w:t xml:space="preserve">3.1 Quantity</w:t>
      </w:r>
    </w:p>
    <w:p>
      <w:pPr>
        <w:spacing w:after="160" w:line="360"/>
        <w:jc w:val="both"/>
      </w:pPr>
      <w:r>
        <w:t xml:space="preserve">Following the knowledge production function tradition (Griliches 1979), inventive output depends on inputs and on the stock of existing knowledge. Generative AI lowers the marginal cost of literature search, ideation, and documentation. When an invention disclosure can be turned into a draft specification quickly, the effective cost of filing declines, and units that face binding drafting capacity can file more applications with the same resources.</w:t>
      </w:r>
    </w:p>
    <w:p>
      <w:pPr>
        <w:spacing w:after="160" w:line="360"/>
        <w:jc w:val="both"/>
      </w:pPr>
      <w:r>
        <w:rPr>
          <w:b/>
          <w:bCs/>
        </w:rPr>
        <w:t xml:space="preserve">Hypothesis 1. </w:t>
      </w:r>
      <w:r>
        <w:t xml:space="preserve">Drafting units that adopt LLM-assisted drafting increase their patent filings relative to comparable units that have not yet adopted.</w:t>
      </w:r>
    </w:p>
    <w:p>
      <w:pPr>
        <w:pStyle w:val="Heading2"/>
      </w:pPr>
      <w:r>
        <w:t xml:space="preserve">3.2 Novelty and homogenization</w:t>
      </w:r>
    </w:p>
    <w:p>
      <w:pPr>
        <w:spacing w:after="160" w:line="360"/>
        <w:jc w:val="both"/>
      </w:pPr>
      <w:r>
        <w:t xml:space="preserve">If new ideas are new combinations of existing ones (Weitzman 1998), the effect of AI on novelty depends on which combinations it proposes. LLMs are trained to predict likely continuations, and in generation tasks they tend to return combinations that are frequent in the training distribution. Users who rely on these suggestions may therefore drift toward the center of existing knowledge. At the same time, an LLM can expose users to remote areas of the knowledge space that they would not have searched, so the net effect is not obvious. We expect that the first force dominates in routine drafting and search, and we derive a prediction on classification-based novelty, which is independent of wording.</w:t>
      </w:r>
    </w:p>
    <w:p>
      <w:pPr>
        <w:spacing w:after="160" w:line="360"/>
        <w:jc w:val="both"/>
      </w:pPr>
      <w:r>
        <w:rPr>
          <w:b/>
          <w:bCs/>
        </w:rPr>
        <w:t xml:space="preserve">Hypothesis 2. </w:t>
      </w:r>
      <w:r>
        <w:t xml:space="preserve">After adoption, the share of filings that contain previously unseen technology-class combinations declines relative to non-adopters.</w:t>
      </w:r>
    </w:p>
    <w:p>
      <w:pPr>
        <w:spacing w:after="160" w:line="360"/>
        <w:jc w:val="both"/>
      </w:pPr>
      <w:r>
        <w:t xml:space="preserve">Text-based novelty is analyzed separately. Because LLM-polished text is mechanically more similar to other text, a decline in text novelty alone is not evidence that inventions have become less novel. We therefore treat text novelty as evidence about expression and use it chiefly to interpret any divergence from classification-based novelty.</w:t>
      </w:r>
    </w:p>
    <w:p>
      <w:pPr>
        <w:pStyle w:val="Heading2"/>
      </w:pPr>
      <w:r>
        <w:t xml:space="preserve">3.3 Exploration and exploitation</w:t>
      </w:r>
    </w:p>
    <w:p>
      <w:pPr>
        <w:spacing w:after="160" w:line="360"/>
        <w:jc w:val="both"/>
      </w:pPr>
      <w:r>
        <w:t xml:space="preserve">Organizations tend to exploit familiar domains (March 1991). Generative AI may reinforce this tendency, because models offer fluent assistance in areas already well represented in the units’ existing documents, or it may lower the cost of learning in unfamiliar fields. We expect heterogeneity by prior specialization. Units with narrow, deep portfolios gain most from faster refinement of what they know, whereas units with broad portfolios gain most from faster cross-domain learning.</w:t>
      </w:r>
    </w:p>
    <w:p>
      <w:pPr>
        <w:spacing w:after="160" w:line="360"/>
        <w:jc w:val="both"/>
      </w:pPr>
      <w:r>
        <w:rPr>
          <w:b/>
          <w:bCs/>
        </w:rPr>
        <w:t xml:space="preserve">Hypothesis 3. </w:t>
      </w:r>
      <w:r>
        <w:t xml:space="preserve">The effect of adoption on the share of filings in new technology fields depends on prior specialization: it is negative for highly specialized units and positive for units with broad prior portfolios. A pooled null effect is not interpreted as evidence against the mechanism.</w:t>
      </w:r>
    </w:p>
    <w:p>
      <w:pPr>
        <w:pStyle w:val="Heading2"/>
      </w:pPr>
      <w:r>
        <w:t xml:space="preserve">3.4 Organizational capacity</w:t>
      </w:r>
    </w:p>
    <w:p>
      <w:pPr>
        <w:spacing w:after="160" w:line="360"/>
        <w:jc w:val="both"/>
      </w:pPr>
      <w:r>
        <w:t xml:space="preserve">Drafting and prior-art search are largely fixed costs per invention. Small firms lack in-house intellectual-property teams, so cost reductions should matter more to them. Larger firms, however, may adopt AI tools earlier and with more governance. The sign of the size interaction is therefore a theoretical question to be tested rather than assumed.</w:t>
      </w:r>
    </w:p>
    <w:p>
      <w:pPr>
        <w:spacing w:after="160" w:line="360"/>
        <w:jc w:val="both"/>
      </w:pPr>
      <w:r>
        <w:rPr>
          <w:b/>
          <w:bCs/>
        </w:rPr>
        <w:t xml:space="preserve">Hypothesis 4. </w:t>
      </w:r>
      <w:r>
        <w:t xml:space="preserve">The effect on filings differs by firm size. We pre-specify that it is stronger for small firms, and we report the interaction irrespective of sign.</w:t>
      </w:r>
    </w:p>
    <w:p>
      <w:pPr>
        <w:pStyle w:val="Heading1"/>
      </w:pPr>
      <w:r>
        <w:t xml:space="preserve">4. Data</w:t>
      </w:r>
    </w:p>
    <w:p>
      <w:pPr>
        <w:spacing w:after="160" w:line="360"/>
        <w:jc w:val="both"/>
      </w:pPr>
      <w:r>
        <w:t xml:space="preserve">We use the full text of U.S. patent applications and the disambiguated inventor, assignee, and classification tables from PatentsView, complemented by USPTO bulk XML for fields on attorneys and agents. The sample covers applications filed from 2018 onward and published through the latest release available at the time of analysis. Applications are published about eighteen months after filing, so filings through roughly mid-2024 are close to complete in the 2025 release and later cohorts are partial. We account for this truncation with cohort-specific publication-lag controls and re-estimate results as new releases appear. Firm size and firm-level adoption cross-checks come from SEC filings and, where available, from Compustat. An industry-level exposure index (Eloundou et al. 2024; Felten et al. 2021) supports an intent-to-treat analysis that does not rely on the text detector.</w:t>
      </w:r>
    </w:p>
    <w:p>
      <w:pPr>
        <w:spacing w:after="160" w:line="360"/>
        <w:jc w:val="both"/>
      </w:pPr>
      <w:r>
        <w:t xml:space="preserve">Units are selected using pre-period characteristics only, such as a minimum number of filings between 2018 and November 2022 and a minimum number of documents for reliable detection. We do not condition on post-period filing counts, because doing so would select on the outcome. Descriptive results are reported for all units.</w:t>
      </w:r>
    </w:p>
    <w:p>
      <w:pPr>
        <w:pStyle w:val="Heading1"/>
      </w:pPr>
      <w:r>
        <w:t xml:space="preserve">5. Measuring LLM-Assisted Drafting</w:t>
      </w:r>
    </w:p>
    <w:p>
      <w:pPr>
        <w:pStyle w:val="Heading2"/>
      </w:pPr>
      <w:r>
        <w:t xml:space="preserve">5.1 Reference corpora</w:t>
      </w:r>
    </w:p>
    <w:p>
      <w:pPr>
        <w:spacing w:after="160" w:line="360"/>
        <w:jc w:val="both"/>
      </w:pPr>
      <w:r>
        <w:t xml:space="preserve">We treat applications filed before November 30, 2022 as the human reference corpus, recognizing that earlier language models and templated text may contribute some noise. The machine reference corpus consists of a random sample of pre-2022 applications rewritten by several LLMs under prompts that mimic realistic uses: polishing a human draft, expanding a short summary, and drafting from an invention disclosure. A subset is produced with commercial patent-drafting tools, whose output may differ from general-purpose chat models. To avoid mistaking translated text for machine-generated text, we also build a corpus of pre-2022 filings from non-English-origin applicants processed through neural machine translation.</w:t>
      </w:r>
    </w:p>
    <w:p>
      <w:pPr>
        <w:pStyle w:val="Heading2"/>
      </w:pPr>
      <w:r>
        <w:t xml:space="preserve">5.2 Estimation</w:t>
      </w:r>
    </w:p>
    <w:p>
      <w:pPr>
        <w:spacing w:after="160" w:line="360"/>
        <w:jc w:val="both"/>
      </w:pPr>
      <w:r>
        <w:t xml:space="preserve">Our primary measure is a group-level estimate of the share of LLM-assisted text, obtained from a mixture model of word frequencies calibrated on the reference corpora. It is computed for drafting units per quarter and for field-by-quarter cells, subject to minimum group sizes determined in a pilot. Secondary measures are a document-level likelihood score computed from two open-source language models and a supervised classifier fine-tuned on the reference corpora, which outputs a continuous probability. Because claims are highly formulaic, all measures are computed separately for claims, summaries, and detailed descriptions, and we expect the description to be the most informative.</w:t>
      </w:r>
    </w:p>
    <w:p>
      <w:pPr>
        <w:pStyle w:val="Heading2"/>
      </w:pPr>
      <w:r>
        <w:t xml:space="preserve">5.3 Validation</w:t>
      </w:r>
    </w:p>
    <w:p>
      <w:pPr>
        <w:spacing w:after="160" w:line="360"/>
        <w:jc w:val="both"/>
      </w:pPr>
      <w:r>
        <w:t xml:space="preserve">We evaluate the false-positive rate on held-out pre-2022 applications, perform a leave-one-generator-out test in which the detector is trained on four generators and tested on a fifth, assess detection of lightly edited human text, and compare false-positive rates across U.S. and non-U.S. applicants, machine-translated filings, and technology fields. We also apply the procedure to cohorts from 2019 to 2021, where no adoption should be detected, and we re-estimate the machine corpus with newer model generations to gauge detector aging. [RESULTS: report validation metrics.]</w:t>
      </w:r>
    </w:p>
    <w:p>
      <w:pPr>
        <w:pStyle w:val="Heading2"/>
      </w:pPr>
      <w:r>
        <w:t xml:space="preserve">5.4 Treatment definition</w:t>
      </w:r>
    </w:p>
    <w:p>
      <w:pPr>
        <w:spacing w:after="160" w:line="360"/>
        <w:jc w:val="both"/>
      </w:pPr>
      <w:r>
        <w:t xml:space="preserve">The primary unit of analysis is the drafting unit, defined as an assignee–law firm pair, because attorneys draft a large share of specifications and group sizes are sufficient for distributional estimation. Treatment intensity is the estimated share of LLM-assisted text for the unit in a quarter. Binary adoption equals one from the first quarter in which intensity exceeds a threshold calibrated by permutation on the pre-2022 null distribution, conditional on the unit’s number of documents, so that units with few and many filings face the same false-positive rate. We also use intensity as a continuous treatment. For inventor-level analyses, intensity is shrunk toward the drafting-unit estimate and is interpreted as exposure to AI-assisted drafting.</w:t>
      </w:r>
    </w:p>
    <w:p>
      <w:pPr>
        <w:spacing w:after="160" w:line="360"/>
        <w:jc w:val="both"/>
      </w:pPr>
      <w:r>
        <w:t xml:space="preserve">To prevent treatment from depending mechanically on the documents used to measure outcomes, adoption is determined from a random half of each unit’s documents, and document-level outcomes are measured on the other half. For filing counts, which cannot be split, we rely on the document-count-conditional calibration above and verify results using intensity measured on a lagged window.</w:t>
      </w:r>
    </w:p>
    <w:p>
      <w:pPr>
        <w:pStyle w:val="Heading1"/>
      </w:pPr>
      <w:r>
        <w:t xml:space="preserve">6. Outcomes and Empirical Strategy</w:t>
      </w:r>
    </w:p>
    <w:p>
      <w:pPr>
        <w:pStyle w:val="Heading2"/>
      </w:pPr>
      <w:r>
        <w:t xml:space="preserve">6.1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2960"/>
      </w:tblGrid>
      <w:tr>
        <w:trPr>
          <w:tblHeader/>
        </w:trPr>
        <w:tc>
          <w:tcPr>
            <w:tcW w:type="dxa" w:w="23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tcPr>
          <w:p>
            <w:r>
              <w:rPr>
                <w:b/>
                <w:bCs/>
                <w:sz w:val="19"/>
                <w:szCs w:val="19"/>
              </w:rPr>
              <w:t xml:space="preserve">Outcome</w:t>
            </w:r>
          </w:p>
        </w:tc>
        <w:tc>
          <w:tcPr>
            <w:tcW w:type="dxa" w:w="41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tcPr>
          <w:p>
            <w:r>
              <w:rPr>
                <w:b/>
                <w:bCs/>
                <w:sz w:val="19"/>
                <w:szCs w:val="19"/>
              </w:rPr>
              <w:t xml:space="preserve">Definition</w:t>
            </w:r>
          </w:p>
        </w:tc>
        <w:tc>
          <w:tcPr>
            <w:tcW w:type="dxa" w:w="296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tcPr>
          <w:p>
            <w:r>
              <w:rPr>
                <w:b/>
                <w:bCs/>
                <w:sz w:val="19"/>
                <w:szCs w:val="19"/>
              </w:rPr>
              <w:t xml:space="preserve">Role</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Filings</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Number of applications filed by unit i in period t</w:t>
            </w:r>
          </w:p>
        </w:tc>
        <w:tc>
          <w:tcPr>
            <w:tcW w:type="dxa" w:w="29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Quantity (H1, H4)</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Combinatorial novelty</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Share of a unit’s filings containing a pair of CPC subclasses not seen together in the prior five years; rarity-weighted version also reported</w:t>
            </w:r>
          </w:p>
        </w:tc>
        <w:tc>
          <w:tcPr>
            <w:tcW w:type="dxa" w:w="29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Primary novelty measure (H2)</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Exploration share</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Share of filings in CPC subclasses new to the unit in the prior five years</w:t>
            </w:r>
          </w:p>
        </w:tc>
        <w:tc>
          <w:tcPr>
            <w:tcW w:type="dxa" w:w="29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Exploration (H3)</w:t>
            </w:r>
          </w:p>
        </w:tc>
      </w:tr>
      <w:tr>
        <w:trPr>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Text novelty</w:t>
            </w:r>
          </w:p>
        </w:tc>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One minus mean cosine similarity of a filing’s claims and description embeddings to its k nearest prior applications</w:t>
            </w:r>
          </w:p>
        </w:tc>
        <w:tc>
          <w:tcPr>
            <w:tcW w:type="dxa" w:w="29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Secondary; interpreted as expression</w:t>
            </w:r>
          </w:p>
        </w:tc>
      </w:tr>
    </w:tbl>
    <w:p>
      <w:pPr>
        <w:spacing w:after="80"/>
        <w:jc w:val="both"/>
      </w:pPr>
      <w:r>
        <w:t xml:space="preserve"/>
      </w:r>
    </w:p>
    <w:p>
      <w:pPr>
        <w:spacing w:after="160" w:line="360"/>
        <w:jc w:val="both"/>
      </w:pPr>
      <w:r>
        <w:t xml:space="preserve">Combinatorial novelty and exploration are computed per filing and then aggregated, so that they are not mechanically correlated with filing volume. Because classification codes are partly assigned by examiners, we also report results using applicant-designated classes where available.</w:t>
      </w:r>
    </w:p>
    <w:p>
      <w:pPr>
        <w:pStyle w:val="Heading2"/>
      </w:pPr>
      <w:r>
        <w:t xml:space="preserve">6.2 Identification</w:t>
      </w:r>
    </w:p>
    <w:p>
      <w:pPr>
        <w:spacing w:after="160" w:line="360"/>
        <w:jc w:val="both"/>
      </w:pPr>
      <w:r>
        <w:t xml:space="preserve">We compare adopting units with not-yet-adopting and never-adopting units using estimators robust to staggered timing (Callaway and Sant’Anna 2021) and to continuous treatment intensity (Callaway et al. 2024). Because most units may eventually exhibit some detectable use, not-yet-treated units supply much of the identifying variation, and we show results with a stringent never-adopter definition separately. Controls are matched on pre-period filing trends, field, and firm size. For counts, we estimate the extended two-way fixed-effects Poisson model (Wooldridge 2023) with unit and field-by-year effects:</w:t>
      </w:r>
    </w:p>
    <w:p>
      <w:pPr>
        <w:spacing w:after="160"/>
        <w:jc w:val="center"/>
      </w:pPr>
      <w:r>
        <w:rPr>
          <w:i/>
          <w:iCs/>
        </w:rPr>
        <w:t xml:space="preserve">E[Filings</w:t>
      </w:r>
      <w:r>
        <w:rPr>
          <w:i/>
          <w:iCs/>
          <w:vertAlign w:val="subscript"/>
        </w:rPr>
        <w:t xml:space="preserve">it</w:t>
      </w:r>
      <w:r>
        <w:rPr>
          <w:i/>
          <w:iCs/>
        </w:rPr>
        <w:t xml:space="preserve"> | ·] = exp(α</w:t>
      </w:r>
      <w:r>
        <w:rPr>
          <w:i/>
          <w:iCs/>
          <w:vertAlign w:val="subscript"/>
        </w:rPr>
        <w:t xml:space="preserve">i</w:t>
      </w:r>
      <w:r>
        <w:rPr>
          <w:i/>
          <w:iCs/>
        </w:rPr>
        <w:t xml:space="preserve"> + γ</w:t>
      </w:r>
      <w:r>
        <w:rPr>
          <w:i/>
          <w:iCs/>
          <w:vertAlign w:val="subscript"/>
        </w:rPr>
        <w:t xml:space="preserve">jt</w:t>
      </w:r>
      <w:r>
        <w:rPr>
          <w:i/>
          <w:iCs/>
        </w:rPr>
        <w:t xml:space="preserve"> + β · Adopt</w:t>
      </w:r>
      <w:r>
        <w:rPr>
          <w:i/>
          <w:iCs/>
          <w:vertAlign w:val="subscript"/>
        </w:rPr>
        <w:t xml:space="preserve">it</w:t>
      </w:r>
      <w:r>
        <w:rPr>
          <w:i/>
          <w:iCs/>
        </w:rPr>
        <w:t xml:space="preserve"> + X′</w:t>
      </w:r>
      <w:r>
        <w:rPr>
          <w:i/>
          <w:iCs/>
          <w:vertAlign w:val="subscript"/>
        </w:rPr>
        <w:t xml:space="preserve">it</w:t>
      </w:r>
      <w:r>
        <w:rPr>
          <w:i/>
          <w:iCs/>
        </w:rPr>
        <w:t xml:space="preserve">δ)    (1)</w:t>
      </w:r>
    </w:p>
    <w:p>
      <w:pPr>
        <w:spacing w:after="160" w:line="360"/>
        <w:jc w:val="both"/>
      </w:pPr>
      <w:r>
        <w:t xml:space="preserve">where α is a unit effect, γ is a technology field-by-year effect, and X contains time-varying controls. Estimation uses Poisson pseudo-maximum likelihood with high-dimensional fixed effects (Santos Silva and Tenreyro 2006; Correia et al. 2020), which is consistent under distributional misspecification (Wooldridge 1999). Standard errors are clustered by drafting unit. Novelty and exploration outcomes are analyzed with filing-level models with unit and field-by-year effects and with dynamic event-study estimates. Hypotheses 3 and 4 add interactions with pre-period specialization, measured by a Herfindahl index of the unit’s prior classification distribution, and with firm size.</w:t>
      </w:r>
    </w:p>
    <w:p>
      <w:pPr>
        <w:pStyle w:val="Heading2"/>
      </w:pPr>
      <w:r>
        <w:t xml:space="preserve">6.3 Robustness and falsification</w:t>
      </w:r>
    </w:p>
    <w:p>
      <w:pPr>
        <w:spacing w:after="160" w:line="360"/>
        <w:jc w:val="both"/>
      </w:pPr>
      <w:r>
        <w:t xml:space="preserve">We examine pre-trends in event-study plots; run placebo analyses that apply the detector and adoption rule to 2019–2021; add law-firm fixed effects, interpreting the granted-patent subset with its selection in mind; exclude or separately estimate translation-based filings; estimate an intent-to-treat specification using industry exposure interacted with the post-ChatGPT period; bound the influence of detection error using validation error rates; and report sensitivity bounds for selection on unobservables.</w:t>
      </w:r>
    </w:p>
    <w:p>
      <w:pPr>
        <w:pStyle w:val="Heading2"/>
      </w:pPr>
      <w:r>
        <w:t xml:space="preserve">6.4 Pilot gate</w:t>
      </w:r>
    </w:p>
    <w:p>
      <w:pPr>
        <w:spacing w:after="160" w:line="360"/>
        <w:jc w:val="both"/>
      </w:pPr>
      <w:r>
        <w:t xml:space="preserve">Before the main analysis, a pilot on two technology fields must show that the group-level estimate is clearly above a flat pre-2022 baseline and varies across fields, that the false-positive rate on held-out pre-2022 text is near zero including for non-U.S. and translated filings, and that agent or law-firm information is available for application publications. If detection fails these criteria, the paper is reframed as a study of the limits of detection; if agent information is unavailable, the drafting unit falls back to the assignee with stronger caveats.</w:t>
      </w:r>
    </w:p>
    <w:p>
      <w:pPr>
        <w:pStyle w:val="Heading1"/>
      </w:pPr>
      <w:r>
        <w:t xml:space="preserve">7. Results</w:t>
      </w:r>
    </w:p>
    <w:p>
      <w:pPr>
        <w:shd w:fill="FFF4CE" w:color="auto" w:val="clear"/>
        <w:spacing w:after="160"/>
      </w:pPr>
      <w:r>
        <w:rPr>
          <w:i/>
          <w:iCs/>
          <w:sz w:val="20"/>
          <w:szCs w:val="20"/>
        </w:rPr>
        <w:t xml:space="preserve">[RESULTS] This section is intentionally left as a structure. Do not fill with illustrative numbers.</w:t>
      </w:r>
    </w:p>
    <w:p>
      <w:pPr>
        <w:spacing w:after="160" w:line="360"/>
        <w:jc w:val="both"/>
      </w:pPr>
      <w:r>
        <w:rPr>
          <w:b/>
          <w:bCs/>
        </w:rPr>
        <w:t xml:space="preserve">7.1 Prevalence of LLM-assisted drafting (RQ1). </w:t>
      </w:r>
      <w:r>
        <w:t xml:space="preserve">[RESULTS: group-level estimates by field, firm size, applicant country, and quarter, with validation evidence.]</w:t>
      </w:r>
    </w:p>
    <w:p>
      <w:pPr>
        <w:spacing w:after="160" w:line="360"/>
        <w:jc w:val="both"/>
      </w:pPr>
      <w:r>
        <w:rPr>
          <w:b/>
          <w:bCs/>
        </w:rPr>
        <w:t xml:space="preserve">7.2 Filings (H1, H4). </w:t>
      </w:r>
      <w:r>
        <w:t xml:space="preserve">[RESULTS: staggered and continuous DID estimates; Poisson ETWFE; heterogeneity by firm size.]</w:t>
      </w:r>
    </w:p>
    <w:p>
      <w:pPr>
        <w:spacing w:after="160" w:line="360"/>
        <w:jc w:val="both"/>
      </w:pPr>
      <w:r>
        <w:rPr>
          <w:b/>
          <w:bCs/>
        </w:rPr>
        <w:t xml:space="preserve">7.3 Novelty (H2). </w:t>
      </w:r>
      <w:r>
        <w:t xml:space="preserve">[RESULTS: classification-based novelty; contrast with text novelty.]</w:t>
      </w:r>
    </w:p>
    <w:p>
      <w:pPr>
        <w:spacing w:after="160" w:line="360"/>
        <w:jc w:val="both"/>
      </w:pPr>
      <w:r>
        <w:rPr>
          <w:b/>
          <w:bCs/>
        </w:rPr>
        <w:t xml:space="preserve">7.4 Exploration (H3). </w:t>
      </w:r>
      <w:r>
        <w:t xml:space="preserve">[RESULTS: effects by prior specialization.]</w:t>
      </w:r>
    </w:p>
    <w:p>
      <w:pPr>
        <w:spacing w:after="160" w:line="360"/>
        <w:jc w:val="both"/>
      </w:pPr>
      <w:r>
        <w:t xml:space="preserve">Pre-specified interpretation rules. A decline in combinatorial novelty together with a decline in text novelty supports homogenization of inventions. A decline in text novelty with no change in combinatorial novelty indicates a change in expression only. An increase in filings with no change in novelty indicates a pure cost effect. A null result on filings with changes in novelty remains informative about quality, and a null result on all outcomes is reported as such, subject to the power analysis for the short post-period.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tblHeader/>
        </w:trPr>
        <w:tc>
          <w:tcPr>
            <w:tcW w:type="dxa" w:w="26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tcPr>
          <w:p>
            <w:r>
              <w:rPr>
                <w:b/>
                <w:bCs/>
                <w:sz w:val="19"/>
                <w:szCs w:val="19"/>
              </w:rPr>
              <w:t xml:space="preserve">Outcome</w:t>
            </w:r>
          </w:p>
        </w:tc>
        <w:tc>
          <w:tcPr>
            <w:tcW w:type="dxa" w:w="23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tcPr>
          <w:p>
            <w:r>
              <w:rPr>
                <w:b/>
                <w:bCs/>
                <w:sz w:val="19"/>
                <w:szCs w:val="19"/>
              </w:rPr>
              <w:t xml:space="preserve">Coefficient (SE)</w:t>
            </w:r>
          </w:p>
        </w:tc>
        <w:tc>
          <w:tcPr>
            <w:tcW w:type="dxa" w:w="23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tcPr>
          <w:p>
            <w:r>
              <w:rPr>
                <w:b/>
                <w:bCs/>
                <w:sz w:val="19"/>
                <w:szCs w:val="19"/>
              </w:rPr>
              <w:t xml:space="preserve">Event-study pre-trend test</w:t>
            </w:r>
          </w:p>
        </w:tc>
        <w:tc>
          <w:tcPr>
            <w:tcW w:type="dxa" w:w="216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tcPr>
          <w:p>
            <w:r>
              <w:rPr>
                <w:b/>
                <w:bCs/>
                <w:sz w:val="19"/>
                <w:szCs w:val="19"/>
              </w:rPr>
              <w:t xml:space="preserve">Observations</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Filings (Poisson)</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Combinatorial novelty</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Exploration share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Text novelty</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c>
          <w:tcPr>
            <w:tcW w:type="dxa" w:w="21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[RESULTS]</w:t>
            </w:r>
          </w:p>
        </w:tc>
      </w:tr>
    </w:tbl>
    <w:p>
      <w:pPr>
        <w:spacing w:after="160" w:before="80"/>
        <w:jc w:val="both"/>
      </w:pPr>
      <w:r>
        <w:t xml:space="preserve">Table 2 (shell). Main estimates.</w:t>
      </w:r>
    </w:p>
    <w:p>
      <w:pPr>
        <w:pStyle w:val="Heading1"/>
      </w:pPr>
      <w:r>
        <w:t xml:space="preserve">8. Discussion</w:t>
      </w:r>
    </w:p>
    <w:p>
      <w:pPr>
        <w:spacing w:after="160" w:line="360"/>
        <w:jc w:val="both"/>
      </w:pPr>
      <w:r>
        <w:rPr>
          <w:b/>
          <w:bCs/>
        </w:rPr>
        <w:t xml:space="preserve">Implications for research. </w:t>
      </w:r>
      <w:r>
        <w:t xml:space="preserve">[RESULTS-dependent.] The design allows the paper to speak to whether generative AI’s effect on inventive output operates through expression, through the cost of filing, or through the content of inventions. We expect the divergence between classification-based and text-based novelty to be the most informative contribution regardless of the sign of the quantity effect.</w:t>
      </w:r>
    </w:p>
    <w:p>
      <w:pPr>
        <w:spacing w:after="160" w:line="360"/>
        <w:jc w:val="both"/>
      </w:pPr>
      <w:r>
        <w:rPr>
          <w:b/>
          <w:bCs/>
        </w:rPr>
        <w:t xml:space="preserve">Implications for practice and policy. </w:t>
      </w:r>
      <w:r>
        <w:t xml:space="preserve">[RESULTS-dependent.] Evidence on the scale of AI-assisted filings and on their novelty is relevant to patent offices facing growing application volumes and to firms deciding how to govern AI use in invention. Because the USPTO revised its inventorship guidance in 2025, incentives to disclose or conceal AI use may have changed, and we discuss this as context.</w:t>
      </w:r>
    </w:p>
    <w:p>
      <w:pPr>
        <w:spacing w:after="160" w:line="360"/>
        <w:jc w:val="both"/>
      </w:pPr>
      <w:r>
        <w:rPr>
          <w:b/>
          <w:bCs/>
        </w:rPr>
        <w:t xml:space="preserve">Limitations. </w:t>
      </w:r>
      <w:r>
        <w:t xml:space="preserve">Detection measures AI-assisted drafting and not AI-assisted invention; attorneys, not inventors, often draft specifications; adopters self-select and the control group shrinks as use spreads; temporal drift, machine translation, and detector aging may confound text-based signals; classification codes are partly assigned by examiners; and the post-period with complete data is short, so conclusions are short-run. We address these through the drafting-unit design, split-sample adoption, placebo cohorts, translation controls, and re-estimation as data are released.</w:t>
      </w:r>
    </w:p>
    <w:p>
      <w:pPr>
        <w:pStyle w:val="Heading1"/>
      </w:pPr>
      <w:r>
        <w:t xml:space="preserve">9. Conclusion and Disclosure</w:t>
      </w:r>
    </w:p>
    <w:p>
      <w:pPr>
        <w:spacing w:after="160" w:line="360"/>
        <w:jc w:val="both"/>
      </w:pPr>
      <w:r>
        <w:t xml:space="preserve">Generative AI may change not only how much is invented but also how inventions are described and which ideas are combined. By observing LLM-assisted drafting directly in patent filings and by separating expression from invention, this study aims to provide evidence on a trade-off between quantity and novelty that experiments can suggest but not establish. [RESULTS: one-paragraph summary of findings and their boundary conditions.]</w:t>
      </w:r>
    </w:p>
    <w:p>
      <w:pPr>
        <w:spacing w:after="160" w:line="360"/>
        <w:jc w:val="both"/>
      </w:pPr>
      <w:r>
        <w:rPr>
          <w:b/>
          <w:bCs/>
        </w:rPr>
        <w:t xml:space="preserve">Disclosure of AI use. </w:t>
      </w:r>
      <w:r>
        <w:t xml:space="preserve">Large language models are used to generate the machine reference corpora, assist with code, and support drafting of this manuscript. Model names, versions, prompts, and settings will be recorded and reported in accordance with the journal’s policy. Results are reported at aggregate levels with minimum cell sizes, and detector outputs are not treated as proof of AI use for any individual application, applicant, or law firm.</w:t>
      </w:r>
    </w:p>
    <w:p>
      <w:pPr>
        <w:pStyle w:val="Heading1"/>
      </w:pPr>
      <w:r>
        <w:t xml:space="preserve">References</w:t>
      </w:r>
    </w:p>
    <w:p>
      <w:pPr>
        <w:shd w:fill="FFF4CE" w:color="auto" w:val="clear"/>
        <w:spacing w:after="160"/>
      </w:pPr>
      <w:r>
        <w:rPr>
          <w:i/>
          <w:iCs/>
          <w:sz w:val="20"/>
          <w:szCs w:val="20"/>
        </w:rPr>
        <w:t xml:space="preserve">All references must be verified for volume, pages, and year before submission. Items marked [verify] were not confirmed.</w:t>
      </w:r>
    </w:p>
    <w:p>
      <w:pPr>
        <w:spacing w:after="80" w:line="276"/>
        <w:ind w:left="360" w:hanging="360"/>
        <w:jc w:val="left"/>
      </w:pPr>
      <w:r>
        <w:t xml:space="preserve">Acharya, V. V., Shao, X., and Xu, Z. 2026. AI and productivity: The role of innovation. Working paper (SSRN, March 2026).</w:t>
      </w:r>
    </w:p>
    <w:p>
      <w:pPr>
        <w:spacing w:after="80" w:line="276"/>
        <w:ind w:left="360" w:hanging="360"/>
        <w:jc w:val="left"/>
      </w:pPr>
      <w:r>
        <w:t xml:space="preserve">Callaway, B., Goodman-Bacon, A., and Sant’Anna, P. H. C. 2024. Difference-in-differences with a continuous treatment. Working paper. [verify]</w:t>
      </w:r>
    </w:p>
    <w:p>
      <w:pPr>
        <w:spacing w:after="80" w:line="276"/>
        <w:ind w:left="360" w:hanging="360"/>
        <w:jc w:val="left"/>
      </w:pPr>
      <w:r>
        <w:t xml:space="preserve">Callaway, B., and Sant’Anna, P. H. C. 2021. Difference-in-differences with multiple time periods. Journal of Econometrics 225(2): 200–230.</w:t>
      </w:r>
    </w:p>
    <w:p>
      <w:pPr>
        <w:spacing w:after="80" w:line="276"/>
        <w:ind w:left="360" w:hanging="360"/>
        <w:jc w:val="left"/>
      </w:pPr>
      <w:r>
        <w:t xml:space="preserve">Correia, S., Guimarães, P., and Zylkin, T. 2020. Fast Poisson estimation with high-dimensional fixed effects. The Stata Journal 20(1): 95–115.</w:t>
      </w:r>
    </w:p>
    <w:p>
      <w:pPr>
        <w:spacing w:after="80" w:line="276"/>
        <w:ind w:left="360" w:hanging="360"/>
        <w:jc w:val="left"/>
      </w:pPr>
      <w:r>
        <w:t xml:space="preserve">Doshi, A. R., and Hauser, O. P. 2024. Generative AI enhances individual creativity but reduces the collective diversity of novel content. Science Advances 10(28).</w:t>
      </w:r>
    </w:p>
    <w:p>
      <w:pPr>
        <w:spacing w:after="80" w:line="276"/>
        <w:ind w:left="360" w:hanging="360"/>
        <w:jc w:val="left"/>
      </w:pPr>
      <w:r>
        <w:t xml:space="preserve">Eloundou, T., Manning, S., Mishkin, P., and Rock, D. 2024. GPTs are GPTs: Labor market impact potential of LLMs. Science 384(6702): 1306–1308.</w:t>
      </w:r>
    </w:p>
    <w:p>
      <w:pPr>
        <w:spacing w:after="80" w:line="276"/>
        <w:ind w:left="360" w:hanging="360"/>
        <w:jc w:val="left"/>
      </w:pPr>
      <w:r>
        <w:t xml:space="preserve">Felten, E., Raj, M., and Seamans, R. 2021. Occupational, industry, and geographic exposure to artificial intelligence. Strategic Management Journal 42(12): 2195–2217.</w:t>
      </w:r>
    </w:p>
    <w:p>
      <w:pPr>
        <w:spacing w:after="80" w:line="276"/>
        <w:ind w:left="360" w:hanging="360"/>
        <w:jc w:val="left"/>
      </w:pPr>
      <w:r>
        <w:t xml:space="preserve">Griliches, Z. 1979. Issues in assessing the contribution of research and development to productivity growth. Bell Journal of Economics 10(1): 92–116.</w:t>
      </w:r>
    </w:p>
    <w:p>
      <w:pPr>
        <w:spacing w:after="80" w:line="276"/>
        <w:ind w:left="360" w:hanging="360"/>
        <w:jc w:val="left"/>
      </w:pPr>
      <w:r>
        <w:t xml:space="preserve">Hans, A., Schwarzschild, A., Cherepanova, V., et al. 2024. Spotting LLMs with Binoculars: Zero-shot detection of machine-generated text. Proceedings of ICML 2024.</w:t>
      </w:r>
    </w:p>
    <w:p>
      <w:pPr>
        <w:spacing w:after="80" w:line="276"/>
        <w:ind w:left="360" w:hanging="360"/>
        <w:jc w:val="left"/>
      </w:pPr>
      <w:r>
        <w:t xml:space="preserve">Liang, W., et al. 2024. Monitoring AI-modified content at scale: A case study on the impact of ChatGPT on AI conference peer reviews. Proceedings of ICML 2024.</w:t>
      </w:r>
    </w:p>
    <w:p>
      <w:pPr>
        <w:spacing w:after="80" w:line="276"/>
        <w:ind w:left="360" w:hanging="360"/>
        <w:jc w:val="left"/>
      </w:pPr>
      <w:r>
        <w:t xml:space="preserve">Liang, W., et al. 2025. The widespread adoption of large language model-assisted writing across society. Patterns. [verify]</w:t>
      </w:r>
    </w:p>
    <w:p>
      <w:pPr>
        <w:spacing w:after="80" w:line="276"/>
        <w:ind w:left="360" w:hanging="360"/>
        <w:jc w:val="left"/>
      </w:pPr>
      <w:r>
        <w:t xml:space="preserve">March, J. G. 1991. Exploration and exploitation in organizational learning. Organization Science 2(1): 71–87.</w:t>
      </w:r>
    </w:p>
    <w:p>
      <w:pPr>
        <w:spacing w:after="80" w:line="276"/>
        <w:ind w:left="360" w:hanging="360"/>
        <w:jc w:val="left"/>
      </w:pPr>
      <w:r>
        <w:t xml:space="preserve">Santos Silva, J. M. C., and Tenreyro, S. 2006. The log of gravity. Review of Economics and Statistics 88(4): 641–658.</w:t>
      </w:r>
    </w:p>
    <w:p>
      <w:pPr>
        <w:spacing w:after="80" w:line="276"/>
        <w:ind w:left="360" w:hanging="360"/>
        <w:jc w:val="left"/>
      </w:pPr>
      <w:r>
        <w:t xml:space="preserve">Weitzman, M. L. 1998. Recombinant growth. Quarterly Journal of Economics 113(2): 331–360.</w:t>
      </w:r>
    </w:p>
    <w:p>
      <w:pPr>
        <w:spacing w:after="80" w:line="276"/>
        <w:ind w:left="360" w:hanging="360"/>
        <w:jc w:val="left"/>
      </w:pPr>
      <w:r>
        <w:t xml:space="preserve">Wooldridge, J. M. 1999. Distribution-free estimation of some nonlinear panel data models. Journal of Econometrics 90(1): 77–97.</w:t>
      </w:r>
    </w:p>
    <w:p>
      <w:pPr>
        <w:spacing w:after="80" w:line="276"/>
        <w:ind w:left="360" w:hanging="360"/>
        <w:jc w:val="left"/>
      </w:pPr>
      <w:r>
        <w:t xml:space="preserve">Wooldridge, J. M. 2023. Simple approaches to nonlinear difference-in-differences with panel data. The Econometrics Journal 26(3): C31–C66. [verify]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2026-10-18T08:59:15.263Z</dcterms:created>
  <dcterms:modified xsi:type="dcterms:W3CDTF">2026-10-18T08:59:15.277Z</dcterms:modified>
</cp:coreProperties>
</file>

<file path=docProps/custom.xml><?xml version="1.0" encoding="utf-8"?>
<Properties xmlns="http://schemas.openxmlformats.org/officeDocument/2006/custom-properties" xmlns:vt="http://schemas.openxmlformats.org/officeDocument/2006/docPropsVTypes"/>
</file>