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and conjoint results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that is,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does not lie in the language model alone but in the fit between what the system delivers and what the task demands (Goodhue and Thompson 1995). For promotion planning the task demands a plausible share of customers who do not buy, a plausible weight of heavy buyers, and a plausible absolute size of an effect. The elicitation design, meaning how the model is asked, how its answers become numbers, and where the variation among customers comes from, is therefore the artifact’s central design variable. We ask which designs preserve what the decision needs, why, and what organizations must do to know.</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whose rate differs across customers, so that the overdispersion of counts measures how much customers differ (Ehrenberg 1959, Schmittlein et al. 1987, Fader et al. 2005). Heterogeneity is a demanding test for a generative system for three reasons. It is invisible in the averages that users inspect. It drives the decisions that matter, those that depend on heavy buyers, on non-buyers, and on uncertainty. And it is the property that studies of silicon samples find compressed, with answers clustering on the modal response (Li et al. 2025, Tigre and Souto 2026) and instruction-tuned models unable to sample from distributions they can describe (Jang et al. 2026). Purchase counts, concentration, and promotion lifts are thus the supporting evidence in this paper, not its subject. They let us observe, against real data, whether the artifact preserves the property that the decision needs.</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five contributions. First, we give design knowledge for the artifact: a design constraint, a calibration mechanism, and a result that links the constraint to customer concentration (Propositions 1 to 3). Second, we explain why this is a managerial problem and not merely a statistical one: when behavior is generated rather than estimated, quality is bounded by the firm’s data assets, cannot be seen from inside the system, and depends on components that the firm does not control. Third, we show across designs, models, and settings that direct and day-by-day designs collapse, that taking only the level from the model and calibrating the spread externally restores concentration, and that calibrating the level adds little beyond the historical mean. Fourth, we derive five design principles and an acceptance-test protocol for synthetic-customer systems. Fifth, we identify the organizational arrangements that follow, and we show with a randomized email experiment that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and this can be known before any experiment. Second, Proposition 2 turns the remedy into a rule that can be computed, audited, and handed to a governance process, which is the form in which design knowledge becomes usable in organizations (Gregor and Hevner 2013). Third, both propositions are independent of which model is used, so they continue to hold when models and providers change, which is the condition for building a system around a component that the organization does not control. Fourth, they generate predictions that we test in Section 5: that direct answers collapse, that constant answers produce</w:t>
      </w:r>
      <w:r>
        <w:t xml:space="preserve"> </w:t>
      </w:r>
      <m:oMath>
        <m:sSup>
          <m:e>
            <m:r>
              <m:t>α</m:t>
            </m:r>
          </m:e>
          <m:sup>
            <m:r>
              <m:rPr>
                <m:sty m:val="p"/>
              </m:rPr>
              <m:t>*</m:t>
            </m:r>
          </m:sup>
        </m:sSup>
        <m:r>
          <m:rPr>
            <m:sty m:val="p"/>
          </m:rPr>
          <m:t>=</m:t>
        </m:r>
        <m:r>
          <m:rPr>
            <m:sty m:val="p"/>
          </m:rPr>
          <m:t>−</m:t>
        </m:r>
        <m:r>
          <m:t>1</m:t>
        </m:r>
        <m:r>
          <m:rPr>
            <m:sty m:val="p"/>
          </m:rPr>
          <m:t>/</m:t>
        </m:r>
        <m:r>
          <m:t>μ</m:t>
        </m:r>
      </m:oMath>
      <w:r>
        <w:t xml:space="preserve">, that external noise restores concentration, and that richer personas cannot supply heterogeneity that the persona data do not contain. They are therefore testable design knowledge in the sense of design science (Gregor and Hevner 2013), in the form of constraints and a mechanism that apply to a class of artifacts,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Proposition 1 shows that the tie cannot be restored through the prompt. The spread is a property of the system’s architecture and not of its inputs, and it must be supplied by a component that is connected to data.</w:t>
      </w:r>
    </w:p>
    <w:p>
      <w:pPr>
        <w:pStyle w:val="BodyText"/>
      </w:pPr>
      <w:r>
        <w:rPr>
          <w:iCs/>
          <w:i/>
        </w:rPr>
        <w:t xml:space="preserve">A bound set by the organization’s data assets.</w:t>
      </w:r>
      <w:r>
        <w:t xml:space="preserve"> </w:t>
      </w:r>
      <w:r>
        <w:t xml:space="preserve">The share of heterogeneity that a simulator can carry is the share explained by the persona, and the persona can contain only what the organization knows about its customers (about 1% in our demographic experiment). This is a statement of complementarity between a generative model and the firm’s data assets, familiar from research on IT business value (Melville et al. 2004), with a sharp form: more capable models cannot compensate for uninformative customer data. The common assumption that they can is the opposite of what the proposition implies.</w:t>
      </w:r>
    </w:p>
    <w:p>
      <w:pPr>
        <w:pStyle w:val="BodyText"/>
      </w:pPr>
      <w:r>
        <w:rPr>
          <w:iCs/>
          <w:i/>
        </w:rPr>
        <w:t xml:space="preserve">The validation paradox.</w:t>
      </w:r>
      <w:r>
        <w:t xml:space="preserve"> </w:t>
      </w:r>
      <w:r>
        <w:t xml:space="preserve">Synthetic customers are adopted where real data are scarce or costly, yet the part of the heterogeneity that Proposition 1 shows to be lost is invisible inside the system and can be detected only against real data on the same properties. The evidence that would reveal the error is the evidence that the system was meant to economize. The paradox is resolved only by partial validation, in which a small amount of real data is used to calibrate and audit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the user no signal of failure, and a decision that is wrong because of a compressed spread becomes visible only after several campaign cycles, if at all. The generating component is also outside the firm’s control. In our runs eight models produced very different levels and spreads for the same prompt, and a model that the firm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per model over the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the Online Appendix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Online Appendix Table B3).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0.212</w:t>
            </w:r>
          </w:p>
        </w:tc>
        <w:tc>
          <w:tcPr/>
          <w:p>
            <w:pPr>
              <w:pStyle w:val="Compact"/>
              <w:spacing w:before="20" w:after="20" w:line="240" w:lineRule="auto"/>
              <w:ind w:firstLine="0"/>
              <w:jc w:val="left"/>
            </w:pPr>
            <w:r>
              <w:rPr>
                <w:rFonts w:ascii="Times New Roman" w:hAnsi="Times New Roman"/>
                <w:sz w:val="17"/>
              </w:rPr>
              <w:t xml:space="preserve">+0.139 [+0.129, +0.150]*</w:t>
            </w:r>
          </w:p>
        </w:tc>
        <w:tc>
          <w:tcPr/>
          <w:p>
            <w:pPr>
              <w:pStyle w:val="Compact"/>
              <w:spacing w:before="20" w:after="20" w:line="240" w:lineRule="auto"/>
              <w:ind w:firstLine="0"/>
              <w:jc w:val="left"/>
            </w:pPr>
            <w:r>
              <w:rPr>
                <w:rFonts w:ascii="Times New Roman" w:hAnsi="Times New Roman"/>
                <w:sz w:val="17"/>
              </w:rPr>
              <w:t xml:space="preserve">+0.152 [+0.143, +0.162]*</w:t>
            </w:r>
          </w:p>
        </w:tc>
        <w:tc>
          <w:tcPr/>
          <w:p>
            <w:pPr>
              <w:pStyle w:val="Compact"/>
              <w:spacing w:before="20" w:after="20" w:line="240" w:lineRule="auto"/>
              <w:ind w:firstLine="0"/>
              <w:jc w:val="left"/>
            </w:pPr>
            <w:r>
              <w:rPr>
                <w:rFonts w:ascii="Times New Roman" w:hAnsi="Times New Roman"/>
                <w:sz w:val="17"/>
              </w:rPr>
              <w:t xml:space="preserve">-0.013 [-0.028, +0.003]*</w:t>
            </w:r>
          </w:p>
        </w:tc>
        <w:tc>
          <w:tcPr/>
          <w:p>
            <w:pPr>
              <w:pStyle w:val="Compact"/>
              <w:spacing w:before="20" w:after="20" w:line="240" w:lineRule="auto"/>
              <w:ind w:firstLine="0"/>
              <w:jc w:val="left"/>
            </w:pPr>
            <w:r>
              <w:rPr>
                <w:rFonts w:ascii="Times New Roman" w:hAnsi="Times New Roman"/>
                <w:sz w:val="17"/>
              </w:rPr>
              <w:t xml:space="preserve">1.65</w:t>
            </w:r>
          </w:p>
        </w:tc>
        <w:tc>
          <w:tcPr/>
          <w:p>
            <w:pPr>
              <w:pStyle w:val="Compact"/>
              <w:spacing w:before="20" w:after="20" w:line="240" w:lineRule="auto"/>
              <w:ind w:firstLine="0"/>
              <w:jc w:val="left"/>
            </w:pPr>
            <w:r>
              <w:rPr>
                <w:rFonts w:ascii="Times New Roman" w:hAnsi="Times New Roman"/>
                <w:sz w:val="17"/>
              </w:rPr>
              <w:t xml:space="preserve">1.72*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0.195</w:t>
            </w:r>
          </w:p>
        </w:tc>
        <w:tc>
          <w:tcPr/>
          <w:p>
            <w:pPr>
              <w:pStyle w:val="Compact"/>
              <w:spacing w:before="20" w:after="20" w:line="240" w:lineRule="auto"/>
              <w:ind w:firstLine="0"/>
              <w:jc w:val="left"/>
            </w:pPr>
            <w:r>
              <w:rPr>
                <w:rFonts w:ascii="Times New Roman" w:hAnsi="Times New Roman"/>
                <w:sz w:val="17"/>
              </w:rPr>
              <w:t xml:space="preserve">+0.027 [+0.019, +0.036]*</w:t>
            </w:r>
          </w:p>
        </w:tc>
        <w:tc>
          <w:tcPr/>
          <w:p>
            <w:pPr>
              <w:pStyle w:val="Compact"/>
              <w:spacing w:before="20" w:after="20" w:line="240" w:lineRule="auto"/>
              <w:ind w:firstLine="0"/>
              <w:jc w:val="left"/>
            </w:pPr>
            <w:r>
              <w:rPr>
                <w:rFonts w:ascii="Times New Roman" w:hAnsi="Times New Roman"/>
                <w:sz w:val="17"/>
              </w:rPr>
              <w:t xml:space="preserve">+0.036 [+0.027, +0.045]*</w:t>
            </w:r>
          </w:p>
        </w:tc>
        <w:tc>
          <w:tcPr/>
          <w:p>
            <w:pPr>
              <w:pStyle w:val="Compact"/>
              <w:spacing w:before="20" w:after="20" w:line="240" w:lineRule="auto"/>
              <w:ind w:firstLine="0"/>
              <w:jc w:val="left"/>
            </w:pPr>
            <w:r>
              <w:rPr>
                <w:rFonts w:ascii="Times New Roman" w:hAnsi="Times New Roman"/>
                <w:sz w:val="17"/>
              </w:rPr>
              <w:t xml:space="preserve">-0.009 [-0.022, +0.004]*</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1.19*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0.277</w:t>
            </w:r>
          </w:p>
        </w:tc>
        <w:tc>
          <w:tcPr/>
          <w:p>
            <w:pPr>
              <w:pStyle w:val="Compact"/>
              <w:spacing w:before="20" w:after="20" w:line="240" w:lineRule="auto"/>
              <w:ind w:firstLine="0"/>
              <w:jc w:val="left"/>
            </w:pPr>
            <w:r>
              <w:rPr>
                <w:rFonts w:ascii="Times New Roman" w:hAnsi="Times New Roman"/>
                <w:sz w:val="17"/>
              </w:rPr>
              <w:t xml:space="preserve">+0.049 [+0.038, +0.060]*</w:t>
            </w:r>
          </w:p>
        </w:tc>
        <w:tc>
          <w:tcPr/>
          <w:p>
            <w:pPr>
              <w:pStyle w:val="Compact"/>
              <w:spacing w:before="20" w:after="20" w:line="240" w:lineRule="auto"/>
              <w:ind w:firstLine="0"/>
              <w:jc w:val="left"/>
            </w:pPr>
            <w:r>
              <w:rPr>
                <w:rFonts w:ascii="Times New Roman" w:hAnsi="Times New Roman"/>
                <w:sz w:val="17"/>
              </w:rPr>
              <w:t xml:space="preserve">+0.055 [+0.044, +0.066]</w:t>
            </w:r>
          </w:p>
        </w:tc>
        <w:tc>
          <w:tcPr/>
          <w:p>
            <w:pPr>
              <w:pStyle w:val="Compact"/>
              <w:spacing w:before="20" w:after="20" w:line="240" w:lineRule="auto"/>
              <w:ind w:firstLine="0"/>
              <w:jc w:val="left"/>
            </w:pPr>
            <w:r>
              <w:rPr>
                <w:rFonts w:ascii="Times New Roman" w:hAnsi="Times New Roman"/>
                <w:sz w:val="17"/>
              </w:rPr>
              <w:t xml:space="preserve">-0.006 [-0.021, +0.010]*</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+0.075 [+0.068, +0.083]</w:t>
            </w:r>
          </w:p>
        </w:tc>
        <w:tc>
          <w:tcPr/>
          <w:p>
            <w:pPr>
              <w:pStyle w:val="Compact"/>
              <w:spacing w:before="20" w:after="20" w:line="240" w:lineRule="auto"/>
              <w:ind w:firstLine="0"/>
              <w:jc w:val="left"/>
            </w:pPr>
            <w:r>
              <w:rPr>
                <w:rFonts w:ascii="Times New Roman" w:hAnsi="Times New Roman"/>
                <w:sz w:val="17"/>
              </w:rPr>
              <w:t xml:space="preserve">+0.088 [+0.080, +0.096]*</w:t>
            </w:r>
          </w:p>
        </w:tc>
        <w:tc>
          <w:tcPr/>
          <w:p>
            <w:pPr>
              <w:pStyle w:val="Compact"/>
              <w:spacing w:before="20" w:after="20" w:line="240" w:lineRule="auto"/>
              <w:ind w:firstLine="0"/>
              <w:jc w:val="left"/>
            </w:pPr>
            <w:r>
              <w:rPr>
                <w:rFonts w:ascii="Times New Roman" w:hAnsi="Times New Roman"/>
                <w:sz w:val="17"/>
              </w:rPr>
              <w:t xml:space="preserve">-0.013 [-0.025, -0.001]*</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0.191</w:t>
            </w:r>
          </w:p>
        </w:tc>
        <w:tc>
          <w:tcPr/>
          <w:p>
            <w:pPr>
              <w:pStyle w:val="Compact"/>
              <w:spacing w:before="20" w:after="20" w:line="240" w:lineRule="auto"/>
              <w:ind w:firstLine="0"/>
              <w:jc w:val="left"/>
            </w:pPr>
            <w:r>
              <w:rPr>
                <w:rFonts w:ascii="Times New Roman" w:hAnsi="Times New Roman"/>
                <w:sz w:val="17"/>
              </w:rPr>
              <w:t xml:space="preserve">+0.051 [+0.037, +0.065]*</w:t>
            </w:r>
          </w:p>
        </w:tc>
        <w:tc>
          <w:tcPr/>
          <w:p>
            <w:pPr>
              <w:pStyle w:val="Compact"/>
              <w:spacing w:before="20" w:after="20" w:line="240" w:lineRule="auto"/>
              <w:ind w:firstLine="0"/>
              <w:jc w:val="left"/>
            </w:pPr>
            <w:r>
              <w:rPr>
                <w:rFonts w:ascii="Times New Roman" w:hAnsi="Times New Roman"/>
                <w:sz w:val="17"/>
              </w:rPr>
              <w:t xml:space="preserve">+0.044 [+0.030, +0.057]</w:t>
            </w:r>
          </w:p>
        </w:tc>
        <w:tc>
          <w:tcPr/>
          <w:p>
            <w:pPr>
              <w:pStyle w:val="Compact"/>
              <w:spacing w:before="20" w:after="20" w:line="240" w:lineRule="auto"/>
              <w:ind w:firstLine="0"/>
              <w:jc w:val="left"/>
            </w:pPr>
            <w:r>
              <w:rPr>
                <w:rFonts w:ascii="Times New Roman" w:hAnsi="Times New Roman"/>
                <w:sz w:val="17"/>
              </w:rPr>
              <w:t xml:space="preserve">+0.007 [-0.008, +0.021]*</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0.068</w:t>
            </w:r>
          </w:p>
        </w:tc>
        <w:tc>
          <w:tcPr/>
          <w:p>
            <w:pPr>
              <w:pStyle w:val="Compact"/>
              <w:spacing w:before="20" w:after="20" w:line="240" w:lineRule="auto"/>
              <w:ind w:firstLine="0"/>
              <w:jc w:val="left"/>
            </w:pPr>
            <w:r>
              <w:rPr>
                <w:rFonts w:ascii="Times New Roman" w:hAnsi="Times New Roman"/>
                <w:sz w:val="17"/>
              </w:rPr>
              <w:t xml:space="preserve">+0.198 [+0.187, +0.208]*</w:t>
            </w:r>
          </w:p>
        </w:tc>
        <w:tc>
          <w:tcPr/>
          <w:p>
            <w:pPr>
              <w:pStyle w:val="Compact"/>
              <w:spacing w:before="20" w:after="20" w:line="240" w:lineRule="auto"/>
              <w:ind w:firstLine="0"/>
              <w:jc w:val="left"/>
            </w:pPr>
            <w:r>
              <w:rPr>
                <w:rFonts w:ascii="Times New Roman" w:hAnsi="Times New Roman"/>
                <w:sz w:val="17"/>
              </w:rPr>
              <w:t xml:space="preserve">+0.183 [+0.173, +0.192]*</w:t>
            </w:r>
          </w:p>
        </w:tc>
        <w:tc>
          <w:tcPr/>
          <w:p>
            <w:pPr>
              <w:pStyle w:val="Compact"/>
              <w:spacing w:before="20" w:after="20" w:line="240" w:lineRule="auto"/>
              <w:ind w:firstLine="0"/>
              <w:jc w:val="left"/>
            </w:pPr>
            <w:r>
              <w:rPr>
                <w:rFonts w:ascii="Times New Roman" w:hAnsi="Times New Roman"/>
                <w:sz w:val="17"/>
              </w:rPr>
              <w:t xml:space="preserve">+0.015 [+0.002, +0.029]*</w:t>
            </w:r>
          </w:p>
        </w:tc>
        <w:tc>
          <w:tcPr/>
          <w:p>
            <w:pPr>
              <w:pStyle w:val="Compact"/>
              <w:spacing w:before="20" w:after="20" w:line="240" w:lineRule="auto"/>
              <w:ind w:firstLine="0"/>
              <w:jc w:val="left"/>
            </w:pPr>
            <w:r>
              <w:rPr>
                <w:rFonts w:ascii="Times New Roman" w:hAnsi="Times New Roman"/>
                <w:sz w:val="17"/>
              </w:rPr>
              <w:t xml:space="preserve">3.90*</w:t>
            </w:r>
          </w:p>
        </w:tc>
        <w:tc>
          <w:tcPr/>
          <w:p>
            <w:pPr>
              <w:pStyle w:val="Compact"/>
              <w:spacing w:before="20" w:after="20" w:line="240" w:lineRule="auto"/>
              <w:ind w:firstLine="0"/>
              <w:jc w:val="left"/>
            </w:pPr>
            <w:r>
              <w:rPr>
                <w:rFonts w:ascii="Times New Roman" w:hAnsi="Times New Roman"/>
                <w:sz w:val="17"/>
              </w:rPr>
              <w:t xml:space="preserve">3.68*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0.123</w:t>
            </w:r>
          </w:p>
        </w:tc>
        <w:tc>
          <w:tcPr/>
          <w:p>
            <w:pPr>
              <w:pStyle w:val="Compact"/>
              <w:spacing w:before="20" w:after="20" w:line="240" w:lineRule="auto"/>
              <w:ind w:firstLine="0"/>
              <w:jc w:val="left"/>
            </w:pPr>
            <w:r>
              <w:rPr>
                <w:rFonts w:ascii="Times New Roman" w:hAnsi="Times New Roman"/>
                <w:sz w:val="17"/>
              </w:rPr>
              <w:t xml:space="preserve">+0.045 [+0.037, +0.052]*</w:t>
            </w:r>
          </w:p>
        </w:tc>
        <w:tc>
          <w:tcPr/>
          <w:p>
            <w:pPr>
              <w:pStyle w:val="Compact"/>
              <w:spacing w:before="20" w:after="20" w:line="240" w:lineRule="auto"/>
              <w:ind w:firstLine="0"/>
              <w:jc w:val="left"/>
            </w:pPr>
            <w:r>
              <w:rPr>
                <w:rFonts w:ascii="Times New Roman" w:hAnsi="Times New Roman"/>
                <w:sz w:val="17"/>
              </w:rPr>
              <w:t xml:space="preserve">+0.049 [+0.041, +0.057]</w:t>
            </w:r>
          </w:p>
        </w:tc>
        <w:tc>
          <w:tcPr/>
          <w:p>
            <w:pPr>
              <w:pStyle w:val="Compact"/>
              <w:spacing w:before="20" w:after="20" w:line="240" w:lineRule="auto"/>
              <w:ind w:firstLine="0"/>
              <w:jc w:val="left"/>
            </w:pPr>
            <w:r>
              <w:rPr>
                <w:rFonts w:ascii="Times New Roman" w:hAnsi="Times New Roman"/>
                <w:sz w:val="17"/>
              </w:rPr>
              <w:t xml:space="preserve">-0.005 [-0.019, +0.008]*</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+0.059 [+0.055, +0.064]*</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0.230</w:t>
            </w:r>
          </w:p>
        </w:tc>
        <w:tc>
          <w:tcPr/>
          <w:p>
            <w:pPr>
              <w:pStyle w:val="Compact"/>
              <w:spacing w:before="20" w:after="20" w:line="240" w:lineRule="auto"/>
              <w:ind w:firstLine="0"/>
              <w:jc w:val="left"/>
            </w:pPr>
            <w:r>
              <w:rPr>
                <w:rFonts w:ascii="Times New Roman" w:hAnsi="Times New Roman"/>
                <w:sz w:val="17"/>
              </w:rPr>
              <w:t xml:space="preserve">+0.078 [+0.066, +0.089]</w:t>
            </w:r>
          </w:p>
        </w:tc>
        <w:tc>
          <w:tcPr/>
          <w:p>
            <w:pPr>
              <w:pStyle w:val="Compact"/>
              <w:spacing w:before="20" w:after="20" w:line="240" w:lineRule="auto"/>
              <w:ind w:firstLine="0"/>
              <w:jc w:val="left"/>
            </w:pPr>
            <w:r>
              <w:rPr>
                <w:rFonts w:ascii="Times New Roman" w:hAnsi="Times New Roman"/>
                <w:sz w:val="17"/>
              </w:rPr>
              <w:t xml:space="preserve">+0.089 [+0.078, +0.101]*</w:t>
            </w:r>
          </w:p>
        </w:tc>
        <w:tc>
          <w:tcPr/>
          <w:p>
            <w:pPr>
              <w:pStyle w:val="Compact"/>
              <w:spacing w:before="20" w:after="20" w:line="240" w:lineRule="auto"/>
              <w:ind w:firstLine="0"/>
              <w:jc w:val="left"/>
            </w:pPr>
            <w:r>
              <w:rPr>
                <w:rFonts w:ascii="Times New Roman" w:hAnsi="Times New Roman"/>
                <w:sz w:val="17"/>
              </w:rPr>
              <w:t xml:space="preserve">-0.012 [-0.033, +0.008]*</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+0.041 [+0.035, +0.047]*</w:t>
            </w:r>
          </w:p>
        </w:tc>
        <w:tc>
          <w:tcPr/>
          <w:p>
            <w:pPr>
              <w:pStyle w:val="Compact"/>
              <w:spacing w:before="20" w:after="20" w:line="240" w:lineRule="auto"/>
              <w:ind w:firstLine="0"/>
              <w:jc w:val="left"/>
            </w:pPr>
            <w:r>
              <w:rPr>
                <w:rFonts w:ascii="Times New Roman" w:hAnsi="Times New Roman"/>
                <w:sz w:val="17"/>
              </w:rPr>
              <w:t xml:space="preserve">+0.037 [+0.032, +0.043]*</w:t>
            </w:r>
          </w:p>
        </w:tc>
        <w:tc>
          <w:tcPr/>
          <w:p>
            <w:pPr>
              <w:pStyle w:val="Compact"/>
              <w:spacing w:before="20" w:after="20" w:line="240" w:lineRule="auto"/>
              <w:ind w:firstLine="0"/>
              <w:jc w:val="left"/>
            </w:pPr>
            <w:r>
              <w:rPr>
                <w:rFonts w:ascii="Times New Roman" w:hAnsi="Times New Roman"/>
                <w:sz w:val="17"/>
              </w:rPr>
              <w:t xml:space="preserve">+0.004 [-0.007, +0.014]*</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1.37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+0.044 [+0.039, +0.050]*</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-0.013 [-0.022, -0.004]*</w:t>
            </w:r>
          </w:p>
        </w:tc>
        <w:tc>
          <w:tcPr/>
          <w:p>
            <w:pPr>
              <w:pStyle w:val="Compact"/>
              <w:spacing w:before="20" w:after="20" w:line="240" w:lineRule="auto"/>
              <w:ind w:firstLine="0"/>
              <w:jc w:val="left"/>
            </w:pPr>
            <w:r>
              <w:rPr>
                <w:rFonts w:ascii="Times New Roman" w:hAnsi="Times New Roman"/>
                <w:sz w:val="17"/>
              </w:rPr>
              <w:t xml:space="preserve">1.48*</w:t>
            </w:r>
          </w:p>
        </w:tc>
        <w:tc>
          <w:tcPr/>
          <w:p>
            <w:pPr>
              <w:pStyle w:val="Compact"/>
              <w:spacing w:before="20" w:after="20" w:line="240" w:lineRule="auto"/>
              <w:ind w:firstLine="0"/>
              <w:jc w:val="left"/>
            </w:pPr>
            <w:r>
              <w:rPr>
                <w:rFonts w:ascii="Times New Roman" w:hAnsi="Times New Roman"/>
                <w:sz w:val="17"/>
              </w:rPr>
              <w:t xml:space="preserve">1.62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0.045</w:t>
            </w:r>
          </w:p>
        </w:tc>
        <w:tc>
          <w:tcPr/>
          <w:p>
            <w:pPr>
              <w:pStyle w:val="Compact"/>
              <w:spacing w:before="20" w:after="20" w:line="240" w:lineRule="auto"/>
              <w:ind w:firstLine="0"/>
              <w:jc w:val="left"/>
            </w:pPr>
            <w:r>
              <w:rPr>
                <w:rFonts w:ascii="Times New Roman" w:hAnsi="Times New Roman"/>
                <w:sz w:val="17"/>
              </w:rPr>
              <w:t xml:space="preserve">+0.002 [-0.001, +0.006]*</w:t>
            </w:r>
          </w:p>
        </w:tc>
        <w:tc>
          <w:tcPr/>
          <w:p>
            <w:pPr>
              <w:pStyle w:val="Compact"/>
              <w:spacing w:before="20" w:after="20" w:line="240" w:lineRule="auto"/>
              <w:ind w:firstLine="0"/>
              <w:jc w:val="left"/>
            </w:pPr>
            <w:r>
              <w:rPr>
                <w:rFonts w:ascii="Times New Roman" w:hAnsi="Times New Roman"/>
                <w:sz w:val="17"/>
              </w:rPr>
              <w:t xml:space="preserve">+0.009 [+0.006, +0.012]*</w:t>
            </w:r>
          </w:p>
        </w:tc>
        <w:tc>
          <w:tcPr/>
          <w:p>
            <w:pPr>
              <w:pStyle w:val="Compact"/>
              <w:spacing w:before="20" w:after="20" w:line="240" w:lineRule="auto"/>
              <w:ind w:firstLine="0"/>
              <w:jc w:val="left"/>
            </w:pPr>
            <w:r>
              <w:rPr>
                <w:rFonts w:ascii="Times New Roman" w:hAnsi="Times New Roman"/>
                <w:sz w:val="17"/>
              </w:rPr>
              <w:t xml:space="preserve">-0.007 [-0.012, -0.002]*</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1.21*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+0.111 [+0.104, +0.118]*</w:t>
            </w:r>
          </w:p>
        </w:tc>
        <w:tc>
          <w:tcPr/>
          <w:p>
            <w:pPr>
              <w:pStyle w:val="Compact"/>
              <w:spacing w:before="20" w:after="20" w:line="240" w:lineRule="auto"/>
              <w:ind w:firstLine="0"/>
              <w:jc w:val="left"/>
            </w:pPr>
            <w:r>
              <w:rPr>
                <w:rFonts w:ascii="Times New Roman" w:hAnsi="Times New Roman"/>
                <w:sz w:val="17"/>
              </w:rPr>
              <w:t xml:space="preserve">+0.110 [+0.103, +0.117]*</w:t>
            </w:r>
          </w:p>
        </w:tc>
        <w:tc>
          <w:tcPr/>
          <w:p>
            <w:pPr>
              <w:pStyle w:val="Compact"/>
              <w:spacing w:before="20" w:after="20" w:line="240" w:lineRule="auto"/>
              <w:ind w:firstLine="0"/>
              <w:jc w:val="left"/>
            </w:pPr>
            <w:r>
              <w:rPr>
                <w:rFonts w:ascii="Times New Roman" w:hAnsi="Times New Roman"/>
                <w:sz w:val="17"/>
              </w:rPr>
              <w:t xml:space="preserve">+0.001 [-0.010, +0.011]</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2.60*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+0.016 [+0.014, +0.018]*</w:t>
            </w:r>
          </w:p>
        </w:tc>
        <w:tc>
          <w:tcPr/>
          <w:p>
            <w:pPr>
              <w:pStyle w:val="Compact"/>
              <w:spacing w:before="20" w:after="20" w:line="240" w:lineRule="auto"/>
              <w:ind w:firstLine="0"/>
              <w:jc w:val="left"/>
            </w:pPr>
            <w:r>
              <w:rPr>
                <w:rFonts w:ascii="Times New Roman" w:hAnsi="Times New Roman"/>
                <w:sz w:val="17"/>
              </w:rPr>
              <w:t xml:space="preserve">+0.018 [+0.016, +0.020]*</w:t>
            </w:r>
          </w:p>
        </w:tc>
        <w:tc>
          <w:tcPr/>
          <w:p>
            <w:pPr>
              <w:pStyle w:val="Compact"/>
              <w:spacing w:before="20" w:after="20" w:line="240" w:lineRule="auto"/>
              <w:ind w:firstLine="0"/>
              <w:jc w:val="left"/>
            </w:pPr>
            <w:r>
              <w:rPr>
                <w:rFonts w:ascii="Times New Roman" w:hAnsi="Times New Roman"/>
                <w:sz w:val="17"/>
              </w:rPr>
              <w:t xml:space="preserve">-0.002 [-0.005, +0.001]*</w:t>
            </w:r>
          </w:p>
        </w:tc>
        <w:tc>
          <w:tcPr/>
          <w:p>
            <w:pPr>
              <w:pStyle w:val="Compact"/>
              <w:spacing w:before="20" w:after="20" w:line="240" w:lineRule="auto"/>
              <w:ind w:firstLine="0"/>
              <w:jc w:val="left"/>
            </w:pPr>
            <w:r>
              <w:rPr>
                <w:rFonts w:ascii="Times New Roman" w:hAnsi="Times New Roman"/>
                <w:sz w:val="17"/>
              </w:rPr>
              <w:t xml:space="preserve">3.00*</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-0.000 [-0.010, +0.010]</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1.26*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+0.110 [+0.099, +0.121]*</w:t>
            </w:r>
          </w:p>
        </w:tc>
        <w:tc>
          <w:tcPr/>
          <w:p>
            <w:pPr>
              <w:pStyle w:val="Compact"/>
              <w:spacing w:before="20" w:after="20" w:line="240" w:lineRule="auto"/>
              <w:ind w:firstLine="0"/>
              <w:jc w:val="left"/>
            </w:pPr>
            <w:r>
              <w:rPr>
                <w:rFonts w:ascii="Times New Roman" w:hAnsi="Times New Roman"/>
                <w:sz w:val="17"/>
              </w:rPr>
              <w:t xml:space="preserve">+0.107 [+0.096, +0.118]*</w:t>
            </w:r>
          </w:p>
        </w:tc>
        <w:tc>
          <w:tcPr/>
          <w:p>
            <w:pPr>
              <w:pStyle w:val="Compact"/>
              <w:spacing w:before="20" w:after="20" w:line="240" w:lineRule="auto"/>
              <w:ind w:firstLine="0"/>
              <w:jc w:val="left"/>
            </w:pPr>
            <w:r>
              <w:rPr>
                <w:rFonts w:ascii="Times New Roman" w:hAnsi="Times New Roman"/>
                <w:sz w:val="17"/>
              </w:rPr>
              <w:t xml:space="preserve">+0.003 [-0.010, +0.015]</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2.47*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+0.029 [+0.025, +0.033]*</w:t>
            </w:r>
          </w:p>
        </w:tc>
        <w:tc>
          <w:tcPr/>
          <w:p>
            <w:pPr>
              <w:pStyle w:val="Compact"/>
              <w:spacing w:before="20" w:after="20" w:line="240" w:lineRule="auto"/>
              <w:ind w:firstLine="0"/>
              <w:jc w:val="left"/>
            </w:pPr>
            <w:r>
              <w:rPr>
                <w:rFonts w:ascii="Times New Roman" w:hAnsi="Times New Roman"/>
                <w:sz w:val="17"/>
              </w:rPr>
              <w:t xml:space="preserve">+0.031 [+0.027, +0.035]*</w:t>
            </w:r>
          </w:p>
        </w:tc>
        <w:tc>
          <w:tcPr/>
          <w:p>
            <w:pPr>
              <w:pStyle w:val="Compact"/>
              <w:spacing w:before="20" w:after="20" w:line="240" w:lineRule="auto"/>
              <w:ind w:firstLine="0"/>
              <w:jc w:val="left"/>
            </w:pPr>
            <w:r>
              <w:rPr>
                <w:rFonts w:ascii="Times New Roman" w:hAnsi="Times New Roman"/>
                <w:sz w:val="17"/>
              </w:rPr>
              <w:t xml:space="preserve">-0.002 [-0.009, +0.005]</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+0.000 [-0.002, +0.003]*</w:t>
            </w:r>
          </w:p>
        </w:tc>
        <w:tc>
          <w:tcPr/>
          <w:p>
            <w:pPr>
              <w:pStyle w:val="Compact"/>
              <w:spacing w:before="20" w:after="20" w:line="240" w:lineRule="auto"/>
              <w:ind w:firstLine="0"/>
              <w:jc w:val="left"/>
            </w:pPr>
            <w:r>
              <w:rPr>
                <w:rFonts w:ascii="Times New Roman" w:hAnsi="Times New Roman"/>
                <w:sz w:val="17"/>
              </w:rPr>
              <w:t xml:space="preserve">2.41</w:t>
            </w:r>
          </w:p>
        </w:tc>
        <w:tc>
          <w:tcPr/>
          <w:p>
            <w:pPr>
              <w:pStyle w:val="Compact"/>
              <w:spacing w:before="20" w:after="20" w:line="240" w:lineRule="auto"/>
              <w:ind w:firstLine="0"/>
              <w:jc w:val="left"/>
            </w:pPr>
            <w:r>
              <w:rPr>
                <w:rFonts w:ascii="Times New Roman" w:hAnsi="Times New Roman"/>
                <w:sz w:val="17"/>
              </w:rPr>
              <w:t xml:space="preserve">2.39*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0.119</w:t>
            </w:r>
          </w:p>
        </w:tc>
        <w:tc>
          <w:tcPr/>
          <w:p>
            <w:pPr>
              <w:pStyle w:val="Compact"/>
              <w:spacing w:before="20" w:after="20" w:line="240" w:lineRule="auto"/>
              <w:ind w:firstLine="0"/>
              <w:jc w:val="left"/>
            </w:pPr>
            <w:r>
              <w:rPr>
                <w:rFonts w:ascii="Times New Roman" w:hAnsi="Times New Roman"/>
                <w:sz w:val="17"/>
              </w:rPr>
              <w:t xml:space="preserve">+0.098 [+0.091, +0.105]*</w:t>
            </w:r>
          </w:p>
        </w:tc>
        <w:tc>
          <w:tcPr/>
          <w:p>
            <w:pPr>
              <w:pStyle w:val="Compact"/>
              <w:spacing w:before="20" w:after="20" w:line="240" w:lineRule="auto"/>
              <w:ind w:firstLine="0"/>
              <w:jc w:val="left"/>
            </w:pPr>
            <w:r>
              <w:rPr>
                <w:rFonts w:ascii="Times New Roman" w:hAnsi="Times New Roman"/>
                <w:sz w:val="17"/>
              </w:rPr>
              <w:t xml:space="preserve">+0.097 [+0.088, +0.106]*</w:t>
            </w:r>
          </w:p>
        </w:tc>
        <w:tc>
          <w:tcPr/>
          <w:p>
            <w:pPr>
              <w:pStyle w:val="Compact"/>
              <w:spacing w:before="20" w:after="20" w:line="240" w:lineRule="auto"/>
              <w:ind w:firstLine="0"/>
              <w:jc w:val="left"/>
            </w:pPr>
            <w:r>
              <w:rPr>
                <w:rFonts w:ascii="Times New Roman" w:hAnsi="Times New Roman"/>
                <w:sz w:val="17"/>
              </w:rPr>
              <w:t xml:space="preserve">+0.001 [-0.012, +0.015]</w:t>
            </w:r>
          </w:p>
        </w:tc>
        <w:tc>
          <w:tcPr/>
          <w:p>
            <w:pPr>
              <w:pStyle w:val="Compact"/>
              <w:spacing w:before="20" w:after="20" w:line="240" w:lineRule="auto"/>
              <w:ind w:firstLine="0"/>
              <w:jc w:val="left"/>
            </w:pPr>
            <w:r>
              <w:rPr>
                <w:rFonts w:ascii="Times New Roman" w:hAnsi="Times New Roman"/>
                <w:sz w:val="17"/>
              </w:rPr>
              <w:t xml:space="preserve">1.82*</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+0.078 [+0.074, +0.082]*</w:t>
            </w:r>
          </w:p>
        </w:tc>
        <w:tc>
          <w:tcPr/>
          <w:p>
            <w:pPr>
              <w:pStyle w:val="Compact"/>
              <w:spacing w:before="20" w:after="20" w:line="240" w:lineRule="auto"/>
              <w:ind w:firstLine="0"/>
              <w:jc w:val="left"/>
            </w:pPr>
            <w:r>
              <w:rPr>
                <w:rFonts w:ascii="Times New Roman" w:hAnsi="Times New Roman"/>
                <w:sz w:val="17"/>
              </w:rPr>
              <w:t xml:space="preserve">+0.077 [+0.072, +0.081]*</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10.12*</w:t>
            </w:r>
          </w:p>
        </w:tc>
        <w:tc>
          <w:tcPr/>
          <w:p>
            <w:pPr>
              <w:pStyle w:val="Compact"/>
              <w:spacing w:before="20" w:after="20" w:line="240" w:lineRule="auto"/>
              <w:ind w:firstLine="0"/>
              <w:jc w:val="left"/>
            </w:pPr>
            <w:r>
              <w:rPr>
                <w:rFonts w:ascii="Times New Roman" w:hAnsi="Times New Roman"/>
                <w:sz w:val="17"/>
              </w:rPr>
              <w:t xml:space="preserve">10.01*</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pooled over three seeds, 900 customers per model). Lift = probability with the email minus probability without it; gap = lift of the men’s email minus lift of the women’s email; intervals are 95% paired bootstrap intervals over customers (real values: normal approximation). RR = risk ratio, the mean of the three per-seed ratios; its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 individual seeds its interval touches one in a few cells (for example, Sonnet 5 with the anchor for purchases, 1.02 [0.91, 1.15] in the second seed). Llama with the anchor gave a risk ratio below one in the yes/no format for visits (0.60 to 0.69 in all three seeds). Second, the size of the visit effect depends on the model and the prompt. In 4 of 16 configurations the lift for the men’s email is statistically consistent with the real +0.077 (Llama-3.3-70B, Haiku 5.5, and Mistral Large 4 without the anchor, and GPT-5.6-terra with it); eight are significantly smaller (three of them less than half as large, for example Sonnet 5 with the anchor, +0.027),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9 and by up to 25 (for example +0.169 for GPT-4o-mini without the anchor). The one exception is Sonnet 5 with the anchor, whose purchase lift (+0.002) is only 0.4 times the real one, because it attributes almost no effect to the email (its visit lift is also 0.4 times the real one, and its no-email purchase probability is eight times the real one).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the point estimate of the gap is positive in only 9, and the largest simulated visit gap is +0.015. Seven gap intervals exclude zero. In six of them the women’s email is rated significantly higher (Haiku 5.5 without the anchor and GPT-5.6-terra with it for visits, and GPT-4o-mini and Sonnet 5 in both prompt variants for purchases), and in one (DeepSeek-V4-Pro with the anchor for visits) the men’s email is rated higher, by +0.015, which is half the real gap.</w:t>
      </w:r>
    </w:p>
    <w:p>
      <w:pPr>
        <w:pStyle w:val="BodyText"/>
      </w:pPr>
      <w:r>
        <w:t xml:space="preserve">Direct yes/no answers are not usable for rare events. In 15 of 32 yes/no cells of the first seed (and in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+0.008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own customer file, and to keep the external gamma multiplier of Proposition 2. We tested this offline on the stored expected counts of design D, in every model-and-prompt cell, with a fresh simulation of the counts (so the figures differ slightly from those in Sections 5.2 to 5.5). We added a baseline that uses no information from the model: every customer receives the reference mean, and the same gamma multiplier supplies the entire dispersion. This baseline is the reference distribution itself, up to sampling, and it shows what the model adds.</w:t>
      </w:r>
    </w:p>
    <w:p>
      <w:pPr>
        <w:pStyle w:val="BodyText"/>
      </w:pPr>
      <w:r>
        <w:t xml:space="preserve">Calibration does what it is meant to do for the mean. The mean matches the reference in 44 of 48 cells after calibration, against 19 of 48 before (13 of 16 against 9 in the low-mean setting, 15 against 6 in the high-mean setting, and 16 against 4 for the demographic households). It does not, however, make the design match the reference on all four statistics at once. The number of cells that match on mean, variance-to-mean ratio, zero share, and</w:t>
      </w:r>
      <w:r>
        <w:t xml:space="preserve"> </w:t>
      </w:r>
      <m:oMath>
        <m:r>
          <m:t>α</m:t>
        </m:r>
      </m:oMath>
      <w:r>
        <w:t xml:space="preserve"> </w:t>
      </w:r>
      <w:r>
        <w:t xml:space="preserve">together is 14 of 48 after calibration and 10 of 48 before, and 19 of 48 for the baseline with no model information (low-mean setting: 12, 7, and 15 of 16; high-mean setting: 2, 3, and 4 of 16; demographic households: 0 in all three). The remaining mismatches are mostly in the zero share, and they do not come from the model. A Poisson–gamma distribution with the reference mean and dispersion implies a zero share of 0.23 in the high-mean setting (real 0.19) and of 0.07 for the demographic households (real 0.03), so the parametric family itself misses the zeros of these empirical distributions, and the baseline shows the same misses.</w:t>
      </w:r>
    </w:p>
    <w:p>
      <w:pPr>
        <w:pStyle w:val="BodyText"/>
      </w:pPr>
      <w:r>
        <w:t xml:space="preserve">The squared coefficient of variation of the model’s expected counts, which is the heterogeneity that the model contributes, ranged from 0.00 to 0.75 in the low-mean setting (against</w:t>
      </w:r>
      <w:r>
        <w:t xml:space="preserve"> </w:t>
      </w:r>
      <m:oMath>
        <m:r>
          <m:t>α</m:t>
        </m:r>
        <m:r>
          <m:rPr>
            <m:sty m:val="p"/>
          </m:rPr>
          <m:t>=</m:t>
        </m:r>
        <m:r>
          <m:t>3.05</m:t>
        </m:r>
      </m:oMath>
      <w:r>
        <w:t xml:space="preserve">), from 0.00 to 1.00 in the high-mean setting (against 1.42; the largest value is Llama with the anchor), and from 0.00 to 0.07 for the demographic households (against 0.71). With rank correlations to real counts near zero (Section 5.5), this heterogeneity is not informative about which customers buy more. The evidence therefore supports a narrow reading of the model’s role. In this task it supplies a level, and a model-free level taken from the organization’s data does as well or better. Whether a model contributes more when the personas carry informative history, such as past purchases,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7 of 32 cells; in six the sign is the opposite of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the number of cells matching on all four statistics rises only from 10 to 14 of 48, and a baseline that uses no model information matches in 19 of 48.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5"/>
    <w:bookmarkEnd w:id="56"/>
    <w:bookmarkStart w:id="63" w:name="discussion"/>
    <w:p>
      <w:pPr>
        <w:pStyle w:val="Heading1"/>
      </w:pPr>
      <w:r>
        <w:t xml:space="preserve">6. Discussion</w:t>
      </w:r>
    </w:p>
    <w:p>
      <w:pPr>
        <w:pStyle w:val="FirstParagraph"/>
      </w:pPr>
      <w:r>
        <w:t xml:space="preserve">We lead with the contributions to information systems research (Section 6.1) and the design principles that follow from them (Section 6.2), then turn to the validation protocol and the decision consequences (Section 6.3), the cost of uncritical trust (Section 6.4), and the organizational arrangements that follow (Section 6.5). The marketing results of Section 5 serve as evidence for these contributions. Limitations are in Section 6.6.</w:t>
      </w:r>
    </w:p>
    <w:bookmarkStart w:id="57"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in which the model supplies a level and an external layer supplies the spread, restores the concentration of purchases among heavy buyers in 39 of 48 cells where direct and daily designs lose it entirely (Section 5.7). Larger and more recent models (Sonnet 5, GPT-5.6-terra, DeepSeek-V4-Pro, Gemini 3.1 Flash-Lite, Mistral Large 4) do not escape the constraint.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demonstrated against the firm’s own data, which is the data the system was meant to economize (the validation paradox), and the failure is silent and exposed to changes in components that the firm does not control.</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concentration among heavy buyers, and the absolute size of an effect. Evaluation should be stated in terms of the decision-relevant properties of the artifact’s output, because fluency and aggregate plausibility, which are what users see, do not indicate them.</w:t>
      </w:r>
    </w:p>
    <w:p>
      <w:pPr>
        <w:pStyle w:val="BodyText"/>
      </w:pPr>
      <w:r>
        <w:rPr>
          <w:iCs/>
          <w:i/>
        </w:rPr>
        <w:t xml:space="preserve">Supporting evidence for marketing analytics.</w:t>
      </w:r>
      <w:r>
        <w:t xml:space="preserve"> </w:t>
      </w:r>
      <w:r>
        <w:t xml:space="preserve">Two further results extend what is known about LLM-based simulation. Describing a distribution (Jang et al. 2026, Zhang et al. 2025a) helps more at a high mean than at a low mean, and in the settings where zeros are common it under-produces them, which matters because the zero share decides how many customers a campaign does not reach. And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7"/>
    <w:bookmarkStart w:id="58"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Rescaling the model’s rates to the historical mean repaired the mean in 44 of 48 cells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8"/>
    <w:bookmarkStart w:id="59" w:name="X8611a2c0935e4d980399ee647409232e58aa6f3"/>
    <w:p>
      <w:pPr>
        <w:pStyle w:val="Heading2"/>
      </w:pPr>
      <w:r>
        <w:t xml:space="preserve">6.3 Validation protocol and decision consequences</w:t>
      </w:r>
    </w:p>
    <w:p>
      <w:pPr>
        <w:pStyle w:val="FirstParagraph"/>
      </w:pPr>
      <w:r>
        <w:t xml:space="preserve">The artifact view implies an acceptance test that a synthetic-customer system should pass before it enters a planning process. We state it in terms of the decision-relevant properties established above.</w:t>
      </w:r>
    </w:p>
    <w:p>
      <w:pPr>
        <w:numPr>
          <w:ilvl w:val="0"/>
          <w:numId w:val="1003"/>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the zero share, and the share of purchases made by the top decile of customers against a historical customer file, and check them with an interval, as we do here. A ratio near or below one signals collapse.</w:t>
      </w:r>
    </w:p>
    <w:p>
      <w:pPr>
        <w:numPr>
          <w:ilvl w:val="0"/>
          <w:numId w:val="1003"/>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3"/>
        </w:numPr>
        <w:pStyle w:val="Compact"/>
      </w:pPr>
      <w:r>
        <w:rPr>
          <w:iCs/>
          <w:i/>
        </w:rPr>
        <w:t xml:space="preserve">If the model is used, use it for the level only, calibrate the level, and test the model against a baseline without it.</w:t>
      </w:r>
      <w:r>
        <w:t xml:space="preserve"> </w:t>
      </w:r>
      <w:r>
        <w:t xml:space="preserve">Inject the remaining heterogeneity externally, calibrated according to Proposition 2 on a historical or pilot sample, and rescale the model’s rates to the historical mean. In our data the uncalibrated mean matched the reference in only 13 of 48 hybrid cells, calibration raised this to 44, and a baseline that used the historical mean alone fitted as well or better, so the value of the model has to be shown, not assumed.</w:t>
      </w:r>
    </w:p>
    <w:p>
      <w:pPr>
        <w:numPr>
          <w:ilvl w:val="0"/>
          <w:numId w:val="1003"/>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3"/>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0.063,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9"/>
    <w:bookmarkStart w:id="60"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four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nine times the randomized value. In the stylized example of Section 6.3,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while the median simulated lift of 0.063 predicts about</w:t>
      </w:r>
      <w:r>
        <w:t xml:space="preserve"> </w:t>
      </w:r>
      <m:oMath>
        <m:r>
          <m:rPr>
            <m:sty m:val="p"/>
          </m:rPr>
          <m:t>+</m:t>
        </m:r>
        <m:r>
          <m:t>2.1</m:t>
        </m:r>
      </m:oMath>
      <w:r>
        <w:t xml:space="preserve"> </w:t>
      </w:r>
      <w:r>
        <w:t xml:space="preserve">per customer, a profit of about 213,000. The gap of about 280,000 for a single campaign has a sign that favors launching, and the error is systematic, so it does not average out over campaigns.</w:t>
      </w:r>
    </w:p>
    <w:p>
      <w:pPr>
        <w:pStyle w:val="BodyText"/>
      </w:pPr>
      <w:r>
        <w:rPr>
          <w:iCs/>
          <w:i/>
        </w:rPr>
        <w:t xml:space="preserve">False precision.</w:t>
      </w:r>
      <w:r>
        <w:t xml:space="preserve"> </w:t>
      </w:r>
      <w:r>
        <w:t xml:space="preserve">The simulated lifts often came with narrow intervals that excluded the real value in most configurations.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 We did not observe this process; it follows from the validation paradox.</w:t>
      </w:r>
    </w:p>
    <w:p>
      <w:pPr>
        <w:pStyle w:val="BodyText"/>
      </w:pPr>
      <w:r>
        <w:rPr>
          <w:iCs/>
          <w:i/>
        </w:rPr>
        <w:t xml:space="preserve">Propagation.</w:t>
      </w:r>
      <w:r>
        <w:t xml:space="preserve"> </w:t>
      </w:r>
      <w:r>
        <w:t xml:space="preserve">Synthetic customers used as inputs to forecasts, budget models, or other learned systems carry their compressed spread with them. Concentration is lost (Proposition 3) and the share of non-buyers is distorted, and the result enters downstream decisions as if it were observed data. The cost is then a bias built into the planning system, whose source is hard to trace afterward.</w:t>
      </w:r>
    </w:p>
    <w:p>
      <w:pPr>
        <w:pStyle w:val="BodyText"/>
      </w:pPr>
      <w:r>
        <w:t xml:space="preserve">These risks do not argue against the technology. They argue against using it as a replacement for evidence rather than as a complement to it, and against purchasing decisions based on demonstrations of fluency and plausible averages, which our experiments show to be the properties least informative about decision quality.</w:t>
      </w:r>
    </w:p>
    <w:bookmarkEnd w:id="60"/>
    <w:bookmarkStart w:id="61" w:name="X09d14e7ca6d203994f1ab3b488c22ba41949633"/>
    <w:p>
      <w:pPr>
        <w:pStyle w:val="Heading2"/>
      </w:pPr>
      <w:r>
        <w:t xml:space="preserve">6.5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6.3 against the organization’s own history. The reference values come from the customer file and the experiment archive that the marketing analytics team already holds, so the test puts a concrete interface between two functions: the marketing team owns the reference data and the decision requirements, and the information systems team owns the pipeline, the model versions, and the calibration step. A decision that rests on a vendor’s model, a prompt written by an analyst, and a calibration step maintained by another team has no owner for its errors unless accountability is assigned before the system is used. A digital twin that no one is accountable for validating is a liability presented as an asset.</w:t>
      </w:r>
    </w:p>
    <w:p>
      <w:pPr>
        <w:pStyle w:val="BodyText"/>
      </w:pPr>
      <w:r>
        <w:rPr>
          <w:iCs/>
          <w:i/>
        </w:rPr>
        <w:t xml:space="preserve">Re-validate when a component changes.</w:t>
      </w:r>
      <w:r>
        <w:t xml:space="preserve"> </w:t>
      </w:r>
      <w:r>
        <w:t xml:space="preserve">The eight models we tested differed widely in the same design, and the same model reacted differently to different prompt context. A vendor update, a switch of model or provider, or a change in the prompt template should therefore trigger the acceptance test again, in the same way that a schema change triggers regression tests in other systems.</w:t>
      </w:r>
    </w:p>
    <w:p>
      <w:pPr>
        <w:pStyle w:val="BodyText"/>
      </w:pPr>
      <w:r>
        <w:rPr>
          <w:iCs/>
          <w:i/>
        </w:rPr>
        <w:t xml:space="preserve">Use synthetic data where its errors do the least harm.</w:t>
      </w:r>
      <w:r>
        <w:t xml:space="preserve"> </w:t>
      </w:r>
      <w:r>
        <w:t xml:space="preserve">The designs reproduced the sign of a promotion effect in nearly all cases, but not its size. Synthetic customers are therefore better suited to screening and ranking options, or to generating hypotheses, than to sizing a campaign or computing revenue, for which a randomized holdout test remains the standard.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w:t>
      </w:r>
    </w:p>
    <w:p>
      <w:pPr>
        <w:pStyle w:val="BodyText"/>
      </w:pPr>
      <w:r>
        <w:rPr>
          <w:iCs/>
          <w:i/>
        </w:rPr>
        <w:t xml:space="preserve">Weigh the savings against the cost of a wrong decision, and build the correcting loop.</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 decision made on the output, so governance effort should be proportional to its value. Each randomized test that the organization runs is also a calibration data point for its simulator; a system that stores the simulated and the realized lift of each past campaign can track its own bias and adjust the calibration step, which turns an occasional validation into a continuing feedback process.</w:t>
      </w:r>
    </w:p>
    <w:bookmarkEnd w:id="61"/>
    <w:bookmarkStart w:id="62"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The transaction settings and the email experiment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2"/>
    <w:bookmarkEnd w:id="63"/>
    <w:bookmarkStart w:id="64"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has to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The evidence from eight language models, three transaction settings, and a randomized email experiment is consistent with this account. Direct and day-by-day designs collapse toward a single value and lose the concentration of purchases among heavy buyers; a design that takes the level from the model and the spread from an external calibrated source restores concentration; calibrating the level repairs the mean, but a baseline that uses the historical mean alone does about as well, so the model supplied little that the firm’s data did not; and purchase lifts are overstated in 15 of 16 configurations, enough to turn a no-go decision into a go. For organizations the implication is a short list of duties: validate against the firm’s own data before use, with an acceptance test on shape, concentration, and absolute effects; revalidate when the model, provider, or prompt changes; keep synthetic data apart from real data; keep running randomized tests as the evidence base that calibration needs; and assign accountability for the artifact before it is used, not after the first costly outcome. Future research should study these arrangements in organizations and test whether personas that carry informative purchase histories give the generative component more to contribute.</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p>
      <w:pPr>
        <w:pStyle w:val="BodyText"/>
      </w:pPr>
      <w:r>
        <w:rPr>
          <w:iCs/>
          <w:i/>
        </w:rPr>
        <w:t xml:space="preserve">An Online Appendix (Appendix A, prompt templates; Appendix B, full results by model and prompt; Appendix C, reproducibility; Appendix D, proof of Proposition 3) is provided as a separate file.</w:t>
      </w:r>
    </w:p>
    <w:bookmarkEnd w:id="65"/>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2026-10-17T12:08:49Z</dcterms:created>
  <dcterms:modified xsi:type="dcterms:W3CDTF">2026-10-17T12:08:49Z</dcterms:modified>
</cp:coreProperties>
</file>

<file path=docProps/custom.xml><?xml version="1.0" encoding="utf-8"?>
<Properties xmlns="http://schemas.openxmlformats.org/officeDocument/2006/custom-properties" xmlns:vt="http://schemas.openxmlformats.org/officeDocument/2006/docPropsVTypes"/>
</file>