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4"/>
          <w:szCs w:val="24"/>
        </w:rPr>
        <w:t xml:space="preserve">TITLE PAGE</w:t>
      </w:r>
    </w:p>
    <w:p>
      <w:pPr>
        <w:spacing w:after="360" w:line="360"/>
        <w:jc w:val="center"/>
      </w:pPr>
      <w:r>
        <w:rPr>
          <w:rFonts w:ascii="Times New Roman" w:cs="Times New Roman" w:eastAsia="Times New Roman" w:hAnsi="Times New Roman"/>
          <w:b/>
          <w:bCs/>
          <w:sz w:val="28"/>
          <w:szCs w:val="28"/>
        </w:rPr>
        <w:t xml:space="preserve">Cheap Code, Costly Choices: A Behavioral Economics Theory of Technical Debt Accumulation in LLM-Assisted Software Development</w:t>
      </w:r>
    </w:p>
    <w:p>
      <w:pPr>
        <w:spacing w:after="120" w:line="360"/>
        <w:jc w:val="center"/>
      </w:pPr>
      <w:r>
        <w:rPr>
          <w:rFonts w:ascii="Times New Roman" w:cs="Times New Roman" w:eastAsia="Times New Roman" w:hAnsi="Times New Roman"/>
          <w:sz w:val="24"/>
          <w:szCs w:val="24"/>
        </w:rPr>
        <w:t xml:space="preserve">[Author 1 name]¹, [Author 2 name]²</w:t>
      </w:r>
    </w:p>
    <w:p>
      <w:pPr>
        <w:spacing w:after="60" w:line="360"/>
        <w:jc w:val="center"/>
      </w:pPr>
      <w:r>
        <w:rPr>
          <w:rFonts w:ascii="Times New Roman" w:cs="Times New Roman" w:eastAsia="Times New Roman" w:hAnsi="Times New Roman"/>
          <w:sz w:val="22"/>
          <w:szCs w:val="22"/>
        </w:rPr>
        <w:t xml:space="preserve">¹ [Department, University, City, Country]</w:t>
      </w:r>
    </w:p>
    <w:p>
      <w:pPr>
        <w:spacing w:after="240" w:line="360"/>
        <w:jc w:val="center"/>
      </w:pPr>
      <w:r>
        <w:rPr>
          <w:rFonts w:ascii="Times New Roman" w:cs="Times New Roman" w:eastAsia="Times New Roman" w:hAnsi="Times New Roman"/>
          <w:sz w:val="22"/>
          <w:szCs w:val="22"/>
        </w:rPr>
        <w:t xml:space="preserve">² [Department, University, City, Country]</w:t>
      </w:r>
    </w:p>
    <w:p>
      <w:pPr>
        <w:spacing w:after="360" w:line="360"/>
        <w:jc w:val="center"/>
      </w:pPr>
      <w:r>
        <w:rPr>
          <w:rFonts w:ascii="Times New Roman" w:cs="Times New Roman" w:eastAsia="Times New Roman" w:hAnsi="Times New Roman"/>
          <w:sz w:val="22"/>
          <w:szCs w:val="22"/>
        </w:rPr>
        <w:t xml:space="preserve">Corresponding author: [Name], [e-mail address], [postal address]</w:t>
      </w:r>
    </w:p>
    <w:p>
      <w:pPr>
        <w:spacing w:after="60" w:line="360"/>
        <w:jc w:val="center"/>
      </w:pPr>
      <w:r>
        <w:rPr>
          <w:rFonts w:ascii="Times New Roman" w:cs="Times New Roman" w:eastAsia="Times New Roman" w:hAnsi="Times New Roman"/>
          <w:b/>
          <w:bCs/>
          <w:sz w:val="22"/>
          <w:szCs w:val="22"/>
        </w:rPr>
        <w:t xml:space="preserve">Declaration of generative AI and AI-assisted technologies in the writing process</w:t>
      </w:r>
    </w:p>
    <w:p>
      <w:pPr>
        <w:spacing w:after="240" w:line="360"/>
        <w:jc w:val="center"/>
      </w:pPr>
      <w:r>
        <w:rPr>
          <w:rFonts w:ascii="Times New Roman" w:cs="Times New Roman" w:eastAsia="Times New Roman" w:hAnsi="Times New Roman"/>
          <w:i/>
          <w:iCs/>
          <w:sz w:val="22"/>
          <w:szCs w:val="22"/>
        </w:rPr>
        <w:t xml:space="preserve">[Authors to complete. Elsevier requires a statement of any generative-AI use in manuscript preparation.]</w:t>
      </w:r>
    </w:p>
    <w:p>
      <w:pPr>
        <w:spacing w:after="60" w:line="360"/>
        <w:jc w:val="center"/>
      </w:pPr>
      <w:r>
        <w:rPr>
          <w:rFonts w:ascii="Times New Roman" w:cs="Times New Roman" w:eastAsia="Times New Roman" w:hAnsi="Times New Roman"/>
          <w:sz w:val="22"/>
          <w:szCs w:val="22"/>
        </w:rPr>
        <w:t xml:space="preserve">Declaration of competing interest: [Authors to complete]</w:t>
      </w:r>
    </w:p>
    <w:p>
      <w:pPr>
        <w:spacing w:after="60" w:line="360"/>
        <w:jc w:val="center"/>
      </w:pPr>
      <w:r>
        <w:rPr>
          <w:rFonts w:ascii="Times New Roman" w:cs="Times New Roman" w:eastAsia="Times New Roman" w:hAnsi="Times New Roman"/>
          <w:sz w:val="22"/>
          <w:szCs w:val="22"/>
        </w:rPr>
        <w:t xml:space="preserve">Funding: [Authors to complete]</w:t>
      </w:r>
    </w:p>
    <w:p>
      <w:r>
        <w:br w:type="page"/>
      </w:r>
    </w:p>
    <w:p>
      <w:pPr>
        <w:spacing w:after="240" w:line="360"/>
        <w:jc w:val="center"/>
      </w:pPr>
      <w:r>
        <w:rPr>
          <w:rFonts w:ascii="Times New Roman" w:cs="Times New Roman" w:eastAsia="Times New Roman" w:hAnsi="Times New Roman"/>
          <w:b/>
          <w:bCs/>
          <w:sz w:val="24"/>
          <w:szCs w:val="24"/>
        </w:rPr>
        <w:t xml:space="preserve">Highlights</w:t>
      </w:r>
    </w:p>
    <w:p>
      <w:pPr>
        <w:pStyle w:val="ListParagraph"/>
        <w:numPr>
          <w:ilvl w:val="0"/>
          <w:numId w:val="2"/>
        </w:numPr>
        <w:spacing w:after="120" w:line="360"/>
      </w:pPr>
      <w:r>
        <w:rPr>
          <w:rFonts w:ascii="Times New Roman" w:cs="Times New Roman" w:eastAsia="Times New Roman" w:hAnsi="Times New Roman"/>
          <w:sz w:val="24"/>
          <w:szCs w:val="24"/>
        </w:rPr>
        <w:t xml:space="preserve">LLM assistants turn choosing quality into accepting a finished-looking artifact</w:t>
      </w:r>
    </w:p>
    <w:p>
      <w:pPr>
        <w:pStyle w:val="ListParagraph"/>
        <w:numPr>
          <w:ilvl w:val="0"/>
          <w:numId w:val="2"/>
        </w:numPr>
        <w:spacing w:after="120" w:line="360"/>
      </w:pPr>
      <w:r>
        <w:rPr>
          <w:rFonts w:ascii="Times New Roman" w:cs="Times New Roman" w:eastAsia="Times New Roman" w:hAnsi="Times New Roman"/>
          <w:sz w:val="24"/>
          <w:szCs w:val="24"/>
        </w:rPr>
        <w:t xml:space="preserve">Aggregate debt cannot separate behavioral theory from rational acceleration</w:t>
      </w:r>
    </w:p>
    <w:p>
      <w:pPr>
        <w:pStyle w:val="ListParagraph"/>
        <w:numPr>
          <w:ilvl w:val="0"/>
          <w:numId w:val="2"/>
        </w:numPr>
        <w:spacing w:after="120" w:line="360"/>
      </w:pPr>
      <w:r>
        <w:rPr>
          <w:rFonts w:ascii="Times New Roman" w:cs="Times New Roman" w:eastAsia="Times New Roman" w:hAnsi="Times New Roman"/>
          <w:sz w:val="24"/>
          <w:szCs w:val="24"/>
        </w:rPr>
        <w:t xml:space="preserve">More reliable models can raise debt; present bias creates debt traps</w:t>
      </w:r>
    </w:p>
    <w:p>
      <w:pPr>
        <w:pStyle w:val="ListParagraph"/>
        <w:numPr>
          <w:ilvl w:val="0"/>
          <w:numId w:val="2"/>
        </w:numPr>
        <w:spacing w:after="120" w:line="360"/>
      </w:pPr>
      <w:r>
        <w:rPr>
          <w:rFonts w:ascii="Times New Roman" w:cs="Times New Roman" w:eastAsia="Times New Roman" w:hAnsi="Times New Roman"/>
          <w:sz w:val="24"/>
          <w:szCs w:val="24"/>
        </w:rPr>
        <w:t xml:space="preserve">Central control of assistant settings lowers debt, bounded by shadow AI</w:t>
      </w:r>
    </w:p>
    <w:p>
      <w:pPr>
        <w:pStyle w:val="ListParagraph"/>
        <w:numPr>
          <w:ilvl w:val="0"/>
          <w:numId w:val="2"/>
        </w:numPr>
        <w:spacing w:after="120" w:line="360"/>
      </w:pPr>
      <w:r>
        <w:rPr>
          <w:rFonts w:ascii="Times New Roman" w:cs="Times New Roman" w:eastAsia="Times New Roman" w:hAnsi="Times New Roman"/>
          <w:sz w:val="24"/>
          <w:szCs w:val="24"/>
        </w:rPr>
        <w:t xml:space="preserve">Eleven propositions and three studies set out testable predictions</w:t>
      </w:r>
    </w:p>
    <w:p>
      <w:r>
        <w:br w:type="page"/>
      </w:r>
    </w:p>
    <w:p>
      <w:pPr>
        <w:sectPr>
          <w:footerReference w:type="default" r:id="rId7"/>
          <w:pgSz w:w="12240" w:h="15840" w:orient="portrait"/>
          <w:pgMar w:top="1440" w:right="1440" w:bottom="1440" w:left="1440" w:header="708" w:footer="708" w:gutter="0"/>
          <w:pgNumType/>
          <w:docGrid w:linePitch="360"/>
        </w:sectPr>
      </w:pPr>
    </w:p>
    <w:p>
      <w:pPr>
        <w:spacing w:after="240" w:line="360"/>
        <w:jc w:val="center"/>
      </w:pPr>
      <w:r>
        <w:rPr>
          <w:rFonts w:ascii="Times New Roman" w:cs="Times New Roman" w:eastAsia="Times New Roman" w:hAnsi="Times New Roman"/>
          <w:b/>
          <w:bCs/>
          <w:sz w:val="28"/>
          <w:szCs w:val="28"/>
        </w:rPr>
        <w:t xml:space="preserve">Cheap Code, Costly Choices: A Behavioral Economics Theory of Technical Debt Accumulation in LLM-Assisted Software Development</w:t>
      </w:r>
    </w:p>
    <w:p>
      <w:pPr>
        <w:spacing w:line="480" w:lineRule="auto"/>
      </w:pPr>
      <w:r>
        <w:rPr>
          <w:rFonts w:ascii="Times New Roman" w:cs="Times New Roman" w:eastAsia="Times New Roman" w:hAnsi="Times New Roman"/>
          <w:b/>
          <w:bCs/>
          <w:sz w:val="24"/>
          <w:szCs w:val="24"/>
        </w:rPr>
        <w:t xml:space="preserve">Abstract</w:t>
      </w:r>
    </w:p>
    <w:p>
      <w:pPr>
        <w:spacing w:after="0" w:before="0" w:line="480" w:lineRule="auto"/>
        <w:jc w:val="left"/>
      </w:pPr>
      <w:r>
        <w:rPr>
          <w:rFonts w:ascii="Times New Roman" w:cs="Times New Roman" w:eastAsia="Times New Roman" w:hAnsi="Times New Roman"/>
          <w:b w:val="false"/>
          <w:bCs w:val="false"/>
          <w:i w:val="false"/>
          <w:iCs w:val="false"/>
        </w:rPr>
        <w:t xml:space="preserve">Large language model (LLM) coding assistants have sharply lowered the cost of producing working code, yet maintainability appears to be deteriorating. A rational trade-off view of technical debt predicts less debt as clean code gets cheaper, although a rational account can produce rising debt if faster delivery raises the value of speed. We propose a behavioral theory built on a frame shift: assistance converts an ex ante choice between an expedient and a quality implementation into an ex post decision about accepting an artifact that already exists, works, and looks finished. A formal model with present-bias, perception, default, and loss-aversion wedges shows that debt can rise as quality gets cheaper, that more reliable models can generate more debt, and that present bias creates debt traps with hysteresis. Rational acceleration can match aggregate debt but not three other statistics. We derive testable propositions and recast technical debt as a choice-architecture problem.</w:t>
      </w:r>
    </w:p>
    <w:p>
      <w:pPr>
        <w:spacing w:before="120" w:line="480" w:lineRule="auto"/>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technical debt; large language models; AI-assisted software development; behavioral economics; present bias; automation bias; choice architecture</w:t>
      </w:r>
    </w:p>
    <w:p>
      <w:pPr>
        <w:pStyle w:val="Heading1"/>
        <w:keepNext/>
        <w:spacing w:after="0" w:before="240" w:line="480" w:lineRule="auto"/>
      </w:pPr>
      <w:r>
        <w:rPr>
          <w:rFonts w:ascii="Times New Roman" w:cs="Times New Roman" w:eastAsia="Times New Roman" w:hAnsi="Times New Roman"/>
          <w:b/>
          <w:bCs/>
          <w:sz w:val="24"/>
          <w:szCs w:val="24"/>
        </w:rPr>
        <w:t xml:space="preserve">1. Introduction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Software organizations are adopting LLM-based coding assistants faster than almost any earlier development tool. In the largest annual developer survey, 51 percent of professional developers said they used AI tools every day in 2025, even though more respondents distrusted the accuracy of those tools than trusted it (Stack Overflow, 2025). What happens to the code afterward is less reassuring. In a difference-in-differences study of open-source projects, adopting an agentic coding assistant produced a large but short-lived gain in development velocity, together with a lasting increase in static-analysis warnings and code complexity (He et al., 2026). Controlled comparisons of human- and LLM-authored implementations show that models tend to favor highly coupled solutions, with long methods in small tasks and unstable inter-module dependencies in larger ones, and that neither functional correctness nor more detailed prompting removes the tendency (Zhu et al., 2026). Industry-wide trends point in the same direction, although they cannot say which code was machine-generated. Across several hundred million changed lines in commercial and open-source repositories, 2024 was the first year in which copy-pasted code outweighed moved code, the main trace of refactoring, and over two years the share of commits containing duplicated blocks grew several-fold (GitClear, 2025, 2026). Put simply, the tools that make code cheaper to write seem to be making systems more expensive to maintain.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This pattern is a puzzle for the dominant theory of technical debt (TD). Since Cunningham’s (1992) original metaphor and its later formalization (Avgeriou et al., 2016; Kruchten et al., 2012), TD has been modeled as a </w:t>
      </w:r>
      <w:r>
        <w:rPr>
          <w:rFonts w:ascii="Times New Roman" w:cs="Times New Roman" w:eastAsia="Times New Roman" w:hAnsi="Times New Roman"/>
          <w:b w:val="false"/>
          <w:bCs w:val="false"/>
          <w:i/>
          <w:iCs/>
        </w:rPr>
        <w:t xml:space="preserve">rational intertemporal trade-off</w:t>
      </w:r>
      <w:r>
        <w:rPr>
          <w:rFonts w:ascii="Times New Roman" w:cs="Times New Roman" w:eastAsia="Times New Roman" w:hAnsi="Times New Roman"/>
          <w:b w:val="false"/>
          <w:bCs w:val="false"/>
          <w:i w:val="false"/>
          <w:iCs w:val="false"/>
        </w:rPr>
        <w:t xml:space="preserve">: an actor knowingly accepts a shortcut today in return for delivery speed and so incurs “interest” that must be paid off through future rework. On this account, debt accumulates when doing things properly is expensive relative to the value of speed. LLM assistance lowers the price of doing things properly, because a well-structured, documented, and tested module costs little more to generate than a sloppy one. The rational-trade-off theory therefore predicts that TD should fall, or at least not rise, as LLM adoption spreads. The evidence points the other way.</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puzzle is not decisive by itself. A rational account can accommodate rising debt if cheaper code changes more than the price of quality alone. When features can be built faster, shipping them sooner becomes more valuable, so a rational developer may accept more expedient implementations. And when new code is cheaper to generate than existing code is to find and reuse, total volume and duplication grow even if every unit is written with care (Jevons, 1865; Sorrell, 2009). We call this the rational-acceleration account and treat it as the main rival to our theory. Both accounts predict more debt; they differ in the form that the debt takes. Under rational acceleration, debt is taken on knowingly, recorded, scrutinized in review, and repaid when repayment pays. Under the behavioral account, debt is less often recognized, recorded, or reviewed, and repayment that was planned does not happen.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We argue that the distinctive change brought by LLM assistance lies in the decision itself. Without an assistant, a developer chooses between an expedient and a quality implementation before either exists. With one, a working implementation arrives first and the developer decides whether to accept it. We call this conversion of ex ante choice into ex post acceptance the </w:t>
      </w:r>
      <w:r>
        <w:rPr>
          <w:rFonts w:ascii="Times New Roman" w:cs="Times New Roman" w:eastAsia="Times New Roman" w:hAnsi="Times New Roman"/>
          <w:b w:val="false"/>
          <w:bCs w:val="false"/>
          <w:i/>
          <w:iCs/>
        </w:rPr>
        <w:t xml:space="preserve">frame shift</w:t>
      </w:r>
      <w:r>
        <w:rPr>
          <w:rFonts w:ascii="Times New Roman" w:cs="Times New Roman" w:eastAsia="Times New Roman" w:hAnsi="Times New Roman"/>
          <w:b w:val="false"/>
          <w:bCs w:val="false"/>
          <w:i w:val="false"/>
          <w:iCs w:val="false"/>
        </w:rPr>
        <w:t xml:space="preserve">. The artifact exists before the quality decision is made, looks finished, and is already possessed and pre-selected. These three features activate, respectively, present bias, the fluency heuristic and automation bias, and default effects, loss aversion, and weak psychological ownership. Incentive conditions that need no bias at all, such as moral hazard, common-pool dynamics, and metric targeting, then determine how far the frame effects spread through a team.</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We therefore ask through which mechanisms LLM-assisted development accelerates the accumulation of technical debt, how those mechanisms can be told apart from a rational response to cheaper code, and what they imply for the evolution and governance of debt.</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paper makes three contributions. First, it offers a theory of technical debt accumulation organized around a single construct, the frame shift from choosing to accepting. Second, it formalizes the frame shift and derives results that a verbal argument cannot establish: when debt rises as quality becomes cheaper; that aggregate debt cannot separate the behavioral theory from rational acceleration whereas three other statistics can; that better models can increase debt; that present bias creates debt traps with hysteresis; and that the governance of tool adoption, together with the ease of bypassing it, limits how much of this debt an organization can prevent. Third, it turns these results into testable propositions and prescriptions grounded in choice architecture. We write for IS researchers who study the value, risks, and governance of AI tools in organizations, and for the managers who decide how such tools are configured and overseen.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remainder of the paper is organized as follows. Section 2 reviews the background. Section 3 develops the theory and its rational rival, Section 4 formalizes it, and Section 5 states its empirical implications. Section 6 discusses contributions and limitations, and Section 7 concludes.</w:t>
      </w:r>
    </w:p>
    <w:p>
      <w:pPr>
        <w:pStyle w:val="Heading1"/>
        <w:keepNext/>
        <w:spacing w:after="0" w:before="240" w:line="480" w:lineRule="auto"/>
      </w:pPr>
      <w:r>
        <w:rPr>
          <w:rFonts w:ascii="Times New Roman" w:cs="Times New Roman" w:eastAsia="Times New Roman" w:hAnsi="Times New Roman"/>
          <w:b/>
          <w:bCs/>
          <w:sz w:val="24"/>
          <w:szCs w:val="24"/>
        </w:rPr>
        <w:t xml:space="preserve">2. Theoretical Background</w:t>
      </w:r>
    </w:p>
    <w:p>
      <w:pPr>
        <w:pStyle w:val="Heading2"/>
        <w:keepNext/>
        <w:spacing w:after="0" w:before="120" w:line="480" w:lineRule="auto"/>
      </w:pPr>
      <w:r>
        <w:rPr>
          <w:rFonts w:ascii="Times New Roman" w:cs="Times New Roman" w:eastAsia="Times New Roman" w:hAnsi="Times New Roman"/>
          <w:b/>
          <w:bCs/>
          <w:i/>
          <w:iCs/>
          <w:sz w:val="24"/>
          <w:szCs w:val="24"/>
        </w:rPr>
        <w:t xml:space="preserve">2.1 Technical Debt as a Rational Trade-off</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Cunningham (1992) introduced technical debt to explain to non-technical stakeholders why shipping imperfect code can be sensible: like financial debt, it buys time now at the price of interest later. Subsequent work made the construct more precise. Avgeriou et al. (2016) define TD as design or implementation constructs that are expedient in the short term but create a technical context in which future change is more costly. Kruchten et al. (2012) separate visible debt (known shortcuts) from invisible debt, and deliberate from inadvertent debt. Tom et al. (2013) catalog its dimensions (code, design, architecture, test, and documentation) and trace its causes to schedule pressure, insufficient knowledge, and inattention.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economic framing became explicit in models that treat TD as an investment decision with a principal, an interest rate, and a repayment schedule (Buschmann, 2011; Seaman &amp; Guo, 2011). In these models the actor is a rational planner. She incurs debt when the net present value of speed exceeds the discounted cost of rework and repays it when the reverse holds. Research on self-admitted technical debt (SATD) is consistent with this view (Bavota &amp; Russo, 2016; Potdar &amp; Shihab, 2014): developers leave comments such as TODO and HACK precisely because they know a shortcut has been taken and intend to come back to it.</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Two features of the rational model matter for our purposes. It locates the cause of debt in the </w:t>
      </w:r>
      <w:r>
        <w:rPr>
          <w:rFonts w:ascii="Times New Roman" w:cs="Times New Roman" w:eastAsia="Times New Roman" w:hAnsi="Times New Roman"/>
          <w:b w:val="false"/>
          <w:bCs w:val="false"/>
          <w:i/>
          <w:iCs/>
        </w:rPr>
        <w:t xml:space="preserve">price</w:t>
      </w:r>
      <w:r>
        <w:rPr>
          <w:rFonts w:ascii="Times New Roman" w:cs="Times New Roman" w:eastAsia="Times New Roman" w:hAnsi="Times New Roman"/>
          <w:b w:val="false"/>
          <w:bCs w:val="false"/>
          <w:i w:val="false"/>
          <w:iCs w:val="false"/>
        </w:rPr>
        <w:t xml:space="preserve"> of quality relative to speed, and it assumes that the actor </w:t>
      </w:r>
      <w:r>
        <w:rPr>
          <w:rFonts w:ascii="Times New Roman" w:cs="Times New Roman" w:eastAsia="Times New Roman" w:hAnsi="Times New Roman"/>
          <w:b w:val="false"/>
          <w:bCs w:val="false"/>
          <w:i/>
          <w:iCs/>
        </w:rPr>
        <w:t xml:space="preserve">perceives</w:t>
      </w:r>
      <w:r>
        <w:rPr>
          <w:rFonts w:ascii="Times New Roman" w:cs="Times New Roman" w:eastAsia="Times New Roman" w:hAnsi="Times New Roman"/>
          <w:b w:val="false"/>
          <w:bCs w:val="false"/>
          <w:i w:val="false"/>
          <w:iCs w:val="false"/>
        </w:rPr>
        <w:t xml:space="preserve"> a shortcut as a shortcut. LLM assistance strains both assumptions. The price of quality falls, yet debt rises, and much LLM-introduced debt is not perceived when it enters the codebase because the code that carries it looks finished.</w:t>
      </w:r>
    </w:p>
    <w:p>
      <w:pPr>
        <w:pStyle w:val="Heading2"/>
        <w:keepNext/>
        <w:spacing w:after="0" w:before="120" w:line="480" w:lineRule="auto"/>
      </w:pPr>
      <w:r>
        <w:rPr>
          <w:rFonts w:ascii="Times New Roman" w:cs="Times New Roman" w:eastAsia="Times New Roman" w:hAnsi="Times New Roman"/>
          <w:b/>
          <w:bCs/>
          <w:i/>
          <w:iCs/>
          <w:sz w:val="24"/>
          <w:szCs w:val="24"/>
        </w:rPr>
        <w:t xml:space="preserve">2.2 LLM-Assisted Development and Its Observed Consequences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A growing empirical literature documents the quality profile of LLM-generated code. Early security studies found that a substantial share of assistant-generated snippets contained exploitable weaknesses (Fu et al., 2025; Pearce et al., 2022). Comparative evaluations of Copilot, CodeWhisperer, and ChatGPT reported acceptable validity and correctness but recurring maintainability problems (Yetiştiren et al., 2023). More recent work has moved from snippets to whole systems. A pilot study of microservices generated under hexagonal-architecture constraints found that one open-weights model violated the prescribed dependency boundaries in most runs, although the proprietary models it tested conformed (Slater, 2025). An audit of code and architectures produced by LLMs and coding agents reports that code volume is a near-perfect predictor of structural degradation, which the authors call a “volume–quality inverse law,” and that more capable models yield more bloated and more tightly coupled code (Zhu et al., 2026). The quasi-experimental estimates of He et al. (2026), described in Section 1, are the strongest causal evidence available so far, and public corpora of agent-authored pull requests now make the review of such code directly observable (Li et al., 2026). A multivocal review of 104 academic and practitioner sources concludes that LLM assistance amplifies code, design, and documentation debt and adds new forms, notably fast-integration debt, in which rapidly generated code is integrated ahead of quality, as well as prompt and provenance debt (Ehsani et al., 2026). In industry workshops, practitioners ranked the maintainability and readability of generated code as priorities and warned that it may accelerate the accumulation of technical debt (Sun et al., 2026).</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This literature is descriptive rather than explanatory. It establishes that debt is rising and characterizes its form, but it offers no account of why developers, who are hardly naïve about maintainability, accept such code. Nor does it ask whether the increase could be a rational response to cheaper code, a possibility we take up in Section 3.3. That gap is what the present paper addresses.</w:t>
      </w:r>
    </w:p>
    <w:p>
      <w:pPr>
        <w:pStyle w:val="Heading2"/>
        <w:keepNext/>
        <w:spacing w:after="0" w:before="120" w:line="480" w:lineRule="auto"/>
      </w:pPr>
      <w:r>
        <w:rPr>
          <w:rFonts w:ascii="Times New Roman" w:cs="Times New Roman" w:eastAsia="Times New Roman" w:hAnsi="Times New Roman"/>
          <w:b/>
          <w:bCs/>
          <w:i/>
          <w:iCs/>
          <w:sz w:val="24"/>
          <w:szCs w:val="24"/>
        </w:rPr>
        <w:t xml:space="preserve">2.3 Behavioral Economics: Relevant Constructs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Behavioral economics studies systematic departures from the rational-actor model, and four groups of constructs bear on how developers treat generated code. The first is present bias, the tendency to overweight immediate payoffs relative to delayed ones beyond what any constant discount rate implies. It produces preference reversals in which planned investments are repeatedly put off (Laibson, 1997; O’Donoghue &amp; Rabin, 1999), and the planning fallacy compounds the problem (Buehler et al., 1994). The second group comprises the fluency heuristic and automation bias, which describe how readily easily processed output is judged to be of higher quality and how automated aids go under-verified when they are usually right (Alter &amp; Oppenheimer, 2009; Goddard et al., 2012; Parasuraman &amp; Manzey, 2010). The third, reference dependence, covers loss aversion, status quo bias, and default effects, under which what is already possessed or pre-selected is retained far more often than preference alone would predict (Johnson &amp; Goldstein, 2003; Kahneman &amp; Tversky, 1979; Samuelson &amp; Zeckhauser, 1988; Thaler &amp; Sunstein, 2008). The fourth is effort-based valuation, the IKEA effect, which implies that artifacts acquired without effort attract less care and weaker psychological ownership (Norton et al., 2012; Pierce et al., 2001).</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A fifth group is not behavioral at all. Moral hazard (Arrow, 1963), common-pool dynamics (Hardin, 1968; Ostrom, 1990), Goodhart’s law, and the rebound effect (Jevons, 1865; Sorrell, 2009) all follow from rational responses to incentives. We build the theory on the first four groups and treat the fifth as incentive conditions that amplify it. Taken alone, those conditions form the core of the rational account that we develop as a rival in Section 3.3. Section 3.2 applies each construct to LLM-assisted development.</w:t>
      </w:r>
    </w:p>
    <w:p>
      <w:pPr>
        <w:pStyle w:val="Heading1"/>
        <w:keepNext/>
        <w:spacing w:after="0" w:before="240" w:line="480" w:lineRule="auto"/>
      </w:pPr>
      <w:r>
        <w:rPr>
          <w:rFonts w:ascii="Times New Roman" w:cs="Times New Roman" w:eastAsia="Times New Roman" w:hAnsi="Times New Roman"/>
          <w:b/>
          <w:bCs/>
          <w:sz w:val="24"/>
          <w:szCs w:val="24"/>
        </w:rPr>
        <w:t xml:space="preserve">3. Theory Development</w:t>
      </w:r>
    </w:p>
    <w:p>
      <w:pPr>
        <w:pStyle w:val="Heading2"/>
        <w:keepNext/>
        <w:spacing w:after="0" w:before="120" w:line="480" w:lineRule="auto"/>
      </w:pPr>
      <w:r>
        <w:rPr>
          <w:rFonts w:ascii="Times New Roman" w:cs="Times New Roman" w:eastAsia="Times New Roman" w:hAnsi="Times New Roman"/>
          <w:b/>
          <w:bCs/>
          <w:i/>
          <w:iCs/>
          <w:sz w:val="24"/>
          <w:szCs w:val="24"/>
        </w:rPr>
        <w:t xml:space="preserve">3.1 The Core Argument: From Choosing to Accepting</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We model the introduction of technical debt as the outcome of a repeated micro-decision. A developer facing a unit of work chooses between an expedient implementation (E) and a quality implementation (Q). Under the rational model she chooses E when the value of the time saved, V(E), exceeds the discounted cost of future rework, δ·C(E). LLM assistance reduces the time cost of Q relative to E, so V(E) shrinks and the rational model predicts more Q.</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Our theory holds that LLM assistance does something else that outweighs this effect: it turns the decision from a choice into an acceptance. Before LLM assistance, E and Q are compared before either exists, and both lie in the future. With assistance, an implementation, often an instance of E, exists as soon as the prompt returns, and the developer’s decision becomes whether to accept it or to do more work. This is the frame shift, and it has three components, each of which activates a distinct set of mechanisms. The first is timing. The artifact precedes the quality decision, so Q becomes a deferred investment set against a present reward, which activates present bias and the planning fallacy. The second is appearance. The artifact is syntactically polished and confidently explained, so E looks like Q to its author and to its reviewers, which activates the fluency heuristic and automation bias. The third is possession. The artifact is already in the working tree and pre-selected by the interface, so accepting it is the default, removing it is experienced as a loss, and, because it was acquired without effort, it commands little ownership. Jointly, these components lead developers to choose E more often even though Q has become cheaper, and to fail more often to recognize E as E, which converts deliberate debt into inadvertent debt. Incentive conditions (moral hazard, common-pool dynamics, the rebound effect, and metric targeting) do not depend on the frame shift, but they determine how far its consequences spread beyond the individual decision.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incentive amplifiers are rational responses to incentives rather than biases. We include them because they govern how the frame effects propagate through a team and because, on their own, they generate the rival account developed in Section 3.3, so the theory has to say where its predictions differ from theirs. Table 1 in Section 3.2 lists the mechanisms by component, together with the propositions they imply.</w:t>
      </w:r>
    </w:p>
    <w:p>
      <w:pPr>
        <w:pStyle w:val="Heading2"/>
        <w:keepNext/>
        <w:spacing w:after="0" w:before="120" w:line="480" w:lineRule="auto"/>
      </w:pPr>
      <w:r>
        <w:rPr>
          <w:rFonts w:ascii="Times New Roman" w:cs="Times New Roman" w:eastAsia="Times New Roman" w:hAnsi="Times New Roman"/>
          <w:b/>
          <w:bCs/>
          <w:i/>
          <w:iCs/>
          <w:sz w:val="24"/>
          <w:szCs w:val="24"/>
        </w:rPr>
        <w:t xml:space="preserve">3.2 Mechanisms and Propositions</w:t>
      </w:r>
    </w:p>
    <w:p>
      <w:pPr>
        <w:spacing w:after="0" w:line="480" w:lineRule="auto"/>
        <w:ind w:firstLine="720"/>
      </w:pPr>
      <w:r>
        <w:rPr>
          <w:rFonts w:ascii="Times New Roman" w:cs="Times New Roman" w:eastAsia="Times New Roman" w:hAnsi="Times New Roman"/>
          <w:b/>
          <w:bCs/>
        </w:rPr>
        <w:t xml:space="preserve">Timing. </w:t>
      </w:r>
      <w:r>
        <w:rPr>
          <w:rFonts w:ascii="Times New Roman" w:cs="Times New Roman" w:eastAsia="Times New Roman" w:hAnsi="Times New Roman"/>
          <w:b w:val="false"/>
          <w:bCs w:val="false"/>
          <w:i w:val="false"/>
          <w:iCs w:val="false"/>
        </w:rPr>
        <w:t xml:space="preserve">Before LLM assistance, E and Q were compared before any code existed. With assistance, E exists as soon as the prompt returns, and Q requires further effort when a working artifact is already in hand. Present bias is strongest in precisely this configuration (Laibson, 1997; O’Donoghue &amp; Rabin, 1999), and the planning fallacy leads developers to underestimate the rework they defer (Buehler et al., 1994). Developers therefore plan to refactor and then defer (P1, P2).</w:t>
      </w:r>
    </w:p>
    <w:p>
      <w:pPr>
        <w:spacing w:after="0" w:line="480" w:lineRule="auto"/>
        <w:ind w:firstLine="720"/>
      </w:pPr>
      <w:r>
        <w:rPr>
          <w:rFonts w:ascii="Times New Roman" w:cs="Times New Roman" w:eastAsia="Times New Roman" w:hAnsi="Times New Roman"/>
          <w:b/>
          <w:bCs/>
        </w:rPr>
        <w:t xml:space="preserve">Appearance. </w:t>
      </w:r>
      <w:r>
        <w:rPr>
          <w:rFonts w:ascii="Times New Roman" w:cs="Times New Roman" w:eastAsia="Times New Roman" w:hAnsi="Times New Roman"/>
          <w:b w:val="false"/>
          <w:bCs w:val="false"/>
          <w:i w:val="false"/>
          <w:iCs w:val="false"/>
        </w:rPr>
        <w:t xml:space="preserve">LLM output is syntactically regular, idiomatically named, and accompanied by fluent explanation. These are the surface features that trigger fluency-based judgments of quality (Alter &amp; Oppenheimer, 2009). A human shortcut usually looks like a shortcut and is often self-admitted, whereas a generated one looks finished, which converts deliberate debt into inadvertent debt (P3, P4). Code review is the institutional check on individual judgment. Automation bias weakens it when reviewers calibrate their scrutiny to the perceived reliability of the tool rather than to the artifact (Parasuraman &amp; Manzey, 2010), and more so as generated changes grow larger (P7).</w:t>
      </w:r>
    </w:p>
    <w:p>
      <w:pPr>
        <w:spacing w:after="0" w:line="480" w:lineRule="auto"/>
        <w:ind w:firstLine="720"/>
      </w:pPr>
      <w:r>
        <w:rPr>
          <w:rFonts w:ascii="Times New Roman" w:cs="Times New Roman" w:eastAsia="Times New Roman" w:hAnsi="Times New Roman"/>
          <w:b/>
          <w:bCs/>
        </w:rPr>
        <w:t xml:space="preserve">Possession. </w:t>
      </w:r>
      <w:r>
        <w:rPr>
          <w:rFonts w:ascii="Times New Roman" w:cs="Times New Roman" w:eastAsia="Times New Roman" w:hAnsi="Times New Roman"/>
          <w:b w:val="false"/>
          <w:bCs w:val="false"/>
          <w:i w:val="false"/>
          <w:iCs w:val="false"/>
        </w:rPr>
        <w:t xml:space="preserve">A generated artifact is already in the working tree and pre-selected by the interface. Accepting it is the default (Johnson &amp; Goldstein, 2003), so acceptance is insensitive to the quality of the suggestion (P8). Deleting it is experienced as a loss (Kahneman &amp; Tversky, 1979), so LLM-assisted changes add more and delete less (P5). And because it cost little effort, it commands little ownership (Norton et al., 2012), so its defects are fixed more slowly (P6).</w:t>
      </w:r>
    </w:p>
    <w:p>
      <w:pPr>
        <w:spacing w:after="0" w:line="480" w:lineRule="auto"/>
        <w:ind w:firstLine="720"/>
      </w:pPr>
      <w:r>
        <w:rPr>
          <w:rFonts w:ascii="Times New Roman" w:cs="Times New Roman" w:eastAsia="Times New Roman" w:hAnsi="Times New Roman"/>
          <w:b/>
          <w:bCs/>
        </w:rPr>
        <w:t xml:space="preserve">Incentive amplifiers. </w:t>
      </w:r>
      <w:r>
        <w:rPr>
          <w:rFonts w:ascii="Times New Roman" w:cs="Times New Roman" w:eastAsia="Times New Roman" w:hAnsi="Times New Roman"/>
          <w:b w:val="false"/>
          <w:bCs w:val="false"/>
          <w:i w:val="false"/>
          <w:iCs w:val="false"/>
        </w:rPr>
        <w:t xml:space="preserve">Three further mechanisms require no departure from rationality. First, LLM assistance makes it cheap to change modules one does not own while their maintenance falls on others, which is moral hazard (Arrow, 1963; P9). Second, it makes generating new code cheaper than finding and reusing existing code, so a shared codebase is over-extracted, and more so with more contributors (Ostrom, 1990; Sorrell, 2009; P10). Third, where individual throughput is rewarded and maintainability is not measured, cheap throughput becomes a target (P11). These mechanisms decide whether the frame effects stay local or spread through a team. Taken by themselves, they constitute the rival account of Section 3.3.</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Table 1 lists the mechanisms and the eleven propositions they imply. The propositions are the empirical hypotheses of the verbal theory. Section 4 formalizes the timing, appearance, and possession mechanisms at the level of a single decision. The ownership and incentive mechanisms (P6 and P9 to P11) enter the paper as propositions to be tested and are not formalized here.</w:t>
      </w:r>
    </w:p>
    <w:p>
      <w:pPr>
        <w:keepNext/>
        <w:spacing w:after="120" w:before="240" w:line="276"/>
      </w:pPr>
      <w:r>
        <w:rPr>
          <w:rFonts w:ascii="Times New Roman" w:cs="Times New Roman" w:eastAsia="Times New Roman" w:hAnsi="Times New Roman"/>
          <w:b/>
          <w:bCs/>
          <w:i w:val="false"/>
          <w:iCs w:val="false"/>
        </w:rPr>
        <w:t xml:space="preserve">Table 1. Mechanisms and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2000"/>
        <w:gridCol w:w="1600"/>
      </w:tblGrid>
      <w:tr>
        <w:trPr>
          <w:cantSplit/>
          <w:tblHeader/>
        </w:trPr>
        <w:tc>
          <w:tcPr>
            <w:tcW w:type="dxa" w:w="56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P</w:t>
            </w:r>
          </w:p>
        </w:tc>
        <w:tc>
          <w:tcPr>
            <w:tcW w:type="dxa" w:w="5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Statement</w:t>
            </w:r>
          </w:p>
        </w:tc>
        <w:tc>
          <w:tcPr>
            <w:tcW w:type="dxa" w:w="20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Mechanism</w:t>
            </w:r>
          </w:p>
        </w:tc>
        <w:tc>
          <w:tcPr>
            <w:tcW w:type="dxa" w:w="1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Component</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 Refactoring per active contributor declines as the share of LLM-authored code rises. (b) Holding the cost of refactoring fixed, possessing a working generated artifact increases deferral and the lapse of planned refactoring.</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Present bias; planning fallacy</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Comments deferring quality work on LLM-authored code are resolved less often and later than comparable comments on human-authored code.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Present bias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At equal measured structural quality, reviewers rate LLM-authored code higher.</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Fluency heuristic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Appearance</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For a given amount of statically detected debt introduced by a change, LLM-assisted changes carry fewer self-admitted debt markers.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Fluency heuristic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Appearance</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P5</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LLM-assisted commits add more relative to what they delete, and the surplus is concentrated in duplicated and unreachable code.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Loss aversion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Possession</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P6</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At equal severity and complexity, defects in code a developer generated are fixed more slowly than defects in code she wrote.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Effort-based valuation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Possession</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P7</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LLM-authored pull requests receive less review time per changed line and fewer substantive comments, with a gap that widens with size.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Automation bias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Appearance</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P8</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Acceptance of inline suggestions varies less with suggestion quality than with the interface cost of rejection.</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Default effect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Possession</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P9</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Debt introduced by LLM-assisted changes concentrates in modules the author does not maintain.</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Moral hazard</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Incentive amplifier</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P10</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Duplication rises with LLM adoption, more so in repositories with more contributors and weaker ownership.</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Common pool; rebound</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Incentive amplifier</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P11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The association between LLM adoption and debt growth is stronger where individual throughput is rewarded and maintainability is not measured.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Metric targeting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Incentive amplifier</w:t>
            </w:r>
          </w:p>
        </w:tc>
      </w:tr>
    </w:tbl>
    <w:p>
      <w:pPr>
        <w:spacing w:after="120"/>
      </w:pPr>
    </w:p>
    <w:p>
      <w:pPr>
        <w:pStyle w:val="Heading2"/>
        <w:keepNext/>
        <w:spacing w:after="0" w:before="120" w:line="480" w:lineRule="auto"/>
      </w:pPr>
      <w:r>
        <w:rPr>
          <w:rFonts w:ascii="Times New Roman" w:cs="Times New Roman" w:eastAsia="Times New Roman" w:hAnsi="Times New Roman"/>
          <w:b/>
          <w:bCs/>
          <w:i/>
          <w:iCs/>
          <w:sz w:val="24"/>
          <w:szCs w:val="24"/>
        </w:rPr>
        <w:t xml:space="preserve">3.3 A Rival Account: Rational Acceleration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rational trade-off view is not exhausted by the prediction that cheaper quality means less debt. Suppose LLM assistance lowers the time cost of both E and Q but also raises the value of time saved, because a team that can build faster has more features it can profitably ship. A rational developer will then choose E more often, not less, whenever the rise in the value of speed outweighs the fall in the price of quality. Add the rebound effect, under which cheaper code means more code and more duplication, and moral hazard, under which cross-boundary edits become cheaper to make while their maintenance cost falls on others, and the rational account predicts rising debt without any bias. We call this the rational-acceleration account. It is consistent with the aggregate evidence reviewed in Section 2.2, including a transient rise in velocity accompanied by a persistent rise in static-analysis warnings (He et al., 2026).</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Rational acceleration and the behavioral theory thus agree on the direction of aggregate debt. They disagree about its form, because the rational account keeps the two features of the rational model identified in Section 2.1: debt is taken on knowingly, and it is repaid when repayment pays. Four implications follow. First, a knowingly incurred shortcut is recorded at the same rate whoever wrote it, so self-admission per unit of detected debt should not differ between LLM-assisted and hand-written changes (contrast P4). Second, reviewers who calibrate scrutiny to risk rather than to authorship should give LLM-assisted changes of a given size at least as much substantive review as other changes (contrast P7). Third, retention should follow usefulness rather than provenance, so a net-addition bias in LLM-assisted commits should appear only where rebound operates, in larger teams, and not in single-contributor code (contrast P5). Fourth, refactoring should follow its net present value, so, with its cost held fixed, possession of a working artifact should not change the decision to refactor, and refactoring that was planned should be carried out (contrast P1b and P2). Table 2 summarizes the contrast.</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comparison also marks the limits of discrimination. Rebound, moral hazard, and metric targeting operate under both accounts, so Propositions 9 to 11 cannot distinguish between them. Their role in the design is to measure how far debt spreads, not to adjudicate between the accounts. The adjudicating evidence comes from P1b, P2, P4, and P5 in single-contributor code, from P7, and from the governance comparison of Result 6 in Section 4.6.</w:t>
      </w:r>
    </w:p>
    <w:p>
      <w:pPr>
        <w:keepNext/>
        <w:spacing w:after="120" w:before="240" w:line="276"/>
      </w:pPr>
      <w:r>
        <w:rPr>
          <w:rFonts w:ascii="Times New Roman" w:cs="Times New Roman" w:eastAsia="Times New Roman" w:hAnsi="Times New Roman"/>
          <w:b/>
          <w:bCs/>
          <w:i w:val="false"/>
          <w:iCs w:val="false"/>
        </w:rPr>
        <w:t xml:space="preserve">Table 2. Competing Predictions of Rational Acceleration and the Behavioral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2460"/>
      </w:tblGrid>
      <w:tr>
        <w:trPr>
          <w:cantSplit/>
          <w:tblHeader/>
        </w:trPr>
        <w:tc>
          <w:tcPr>
            <w:tcW w:type="dxa" w:w="2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Prediction</w:t>
            </w:r>
          </w:p>
        </w:tc>
        <w:tc>
          <w:tcPr>
            <w:tcW w:type="dxa" w:w="19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Rational acceleration</w:t>
            </w:r>
          </w:p>
        </w:tc>
        <w:tc>
          <w:tcPr>
            <w:tcW w:type="dxa" w:w="23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Behavioral theory</w:t>
            </w:r>
          </w:p>
        </w:tc>
        <w:tc>
          <w:tcPr>
            <w:tcW w:type="dxa" w:w="246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pPr>
              <w:spacing w:after="0" w:line="240"/>
            </w:pPr>
            <w:r>
              <w:rPr>
                <w:rFonts w:ascii="Times New Roman" w:cs="Times New Roman" w:eastAsia="Times New Roman" w:hAnsi="Times New Roman"/>
                <w:b/>
                <w:bCs/>
                <w:i w:val="false"/>
                <w:iCs w:val="false"/>
                <w:sz w:val="20"/>
                <w:szCs w:val="20"/>
              </w:rPr>
              <w:t xml:space="preserve">Evidence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Aggregate debt after LLM adoption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Rises</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Rises</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1; does not discriminate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Self-admitted debt per unit of detected debt introduced (P4)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No difference by authorship</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Lower for LLM-assisted changes</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1, change level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Substantive review per changed line (P7)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No lower for LLM-assisted changes</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Lower for LLM-assisted changes</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1 with reviewer fixed effects; Study 2</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Net-addition bias in single-contributor code (P5)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Absent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Present</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1, low-contributor stratum</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Deferral with artifact in hand at equal cost; completion of planned refactoring (P1b, P2)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No possession effect; plans carried out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Possession raises deferral; plans lapse</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2; SATD resolution in Study 1</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Debt under developer-controlled versus organization-controlled configuration of the assistant (Result 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No difference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Lower under organization control</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Study 3; procurement and configuration records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Duplication rising with team size; debt in non-owned modules; stronger effects under throughput metrics (P9 to P11)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Yes</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Yes</w:t>
            </w:r>
          </w:p>
        </w:tc>
        <w:tc>
          <w:tcPr>
            <w:tcW w:type="dxa" w:w="2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i w:val="false"/>
                <w:iCs w:val="false"/>
                <w:sz w:val="20"/>
                <w:szCs w:val="20"/>
              </w:rPr>
              <w:t xml:space="preserve">Studies 1 and 3; does not discriminate</w:t>
            </w:r>
          </w:p>
        </w:tc>
      </w:tr>
    </w:tbl>
    <w:p>
      <w:pPr>
        <w:spacing w:after="120"/>
      </w:pPr>
    </w:p>
    <w:p>
      <w:pPr>
        <w:pStyle w:val="Heading2"/>
        <w:keepNext/>
        <w:spacing w:after="0" w:before="120" w:line="480" w:lineRule="auto"/>
      </w:pPr>
      <w:r>
        <w:rPr>
          <w:rFonts w:ascii="Times New Roman" w:cs="Times New Roman" w:eastAsia="Times New Roman" w:hAnsi="Times New Roman"/>
          <w:b/>
          <w:bCs/>
          <w:i/>
          <w:iCs/>
          <w:sz w:val="24"/>
          <w:szCs w:val="24"/>
        </w:rPr>
        <w:t xml:space="preserve">3.4 Boundary Conditions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theory does not claim that LLM output is intrinsically worse than human output. Several conditions attenuate the mechanisms. Strong module ownership limits moral hazard (P9). Mandatory, quality-blind review protocols limit automation bias (P7). Interfaces that require active selection rather than passive acceptance limit default effects (P8). Deletion-friendly workflows and explicit reporting of “net lines” counteract loss aversion (P5). Maintainability metrics, when they are measured and rewarded, reverse the Goodhart dynamic (P11). These conditions are also the theory’s prescriptions, and they differ from those of the rational model, which would recommend better cost accounting and debt registers. Such interventions assume that the actor already perceives the debt.</w:t>
      </w:r>
    </w:p>
    <w:p>
      <w:pPr>
        <w:pStyle w:val="Heading1"/>
        <w:keepNext/>
        <w:spacing w:after="0" w:before="240" w:line="480" w:lineRule="auto"/>
      </w:pPr>
      <w:r>
        <w:rPr>
          <w:rFonts w:ascii="Times New Roman" w:cs="Times New Roman" w:eastAsia="Times New Roman" w:hAnsi="Times New Roman"/>
          <w:b/>
          <w:bCs/>
          <w:sz w:val="24"/>
          <w:szCs w:val="24"/>
        </w:rPr>
        <w:t xml:space="preserve">4. A Formal Model of Choosing and Accepting</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This section formalizes the frame shift. The model is deliberately minimal, with one developer, one task at a time, and four behavioral wedges, each corresponding to a component of the frame shift in Section 3. Present bias expresses timing, a perception wedge expresses appearance, and a default share and loss aversion express possession. The purpose of the model is to establish results that the verbal theory suggests but cannot prove: when debt rises as quality becomes cheaper, what can and cannot separate the behavioral theory from rational acceleration, how debt responds to better models, and how it evolves over time. Section 4.6 then places the developer in a game with a tool vendor and her organization. Every result was also verified numerically, and the illustrative values below come from those computations.</w:t>
      </w:r>
    </w:p>
    <w:p>
      <w:pPr>
        <w:pStyle w:val="Heading2"/>
        <w:keepNext/>
        <w:spacing w:after="0" w:before="120" w:line="480" w:lineRule="auto"/>
      </w:pPr>
      <w:r>
        <w:rPr>
          <w:rFonts w:ascii="Times New Roman" w:cs="Times New Roman" w:eastAsia="Times New Roman" w:hAnsi="Times New Roman"/>
          <w:b/>
          <w:bCs/>
          <w:i/>
          <w:iCs/>
          <w:sz w:val="24"/>
          <w:szCs w:val="24"/>
        </w:rPr>
        <w:t xml:space="preserve">4.1 Primitives and Timing</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A task can be implemented expediently (E) or with quality (Q). If E remains in the code, it imposes a rework cost R one period later, where R is drawn from a continuous distribution F with positive density on the positive reals. Developer time is valued at v per unit, so an increase in v represents the rational-acceleration channel of Section 3.3: time saved is worth more when more features can be shipped. The developer discounts with quasi-hyperbolic weights 1, βδ, βδ², and so on (Laibson, 1997; O’Donoghue &amp; Rabin, 1999), where β ≤ 1 measures present bias and δ ≤ 1 is the long-run discount factor. Welfare is evaluated at β = 1.</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In the choice regime, which describes development without an assistant, the developer decides at date 0 how the task will be built at date 1, and Q requires a units of time more than E. Both the extra effort and the rework lie in the future at the moment of decision, so the developer chooses E if and only if</w:t>
      </w:r>
    </w:p>
    <w:p>
      <w:pPr>
        <w:tabs>
          <w:tab w:val="center" w:pos="4680"/>
          <w:tab w:val="right" w:pos="9360"/>
        </w:tabs>
        <w:spacing w:after="0" w:line="480" w:lineRule="auto"/>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v · a  &gt;  δ · R.</w:t>
      </w:r>
      <w:r>
        <w:rPr>
          <w:rFonts w:ascii="Times New Roman" w:cs="Times New Roman" w:eastAsia="Times New Roman" w:hAnsi="Times New Roman"/>
        </w:rPr>
        <w:t xml:space="preserve">	(1)</w:t>
      </w:r>
    </w:p>
    <w:p>
      <w:pPr>
        <w:spacing w:after="0" w:before="0" w:line="480" w:lineRule="auto"/>
        <w:jc w:val="left"/>
      </w:pPr>
      <w:r>
        <w:rPr>
          <w:rFonts w:ascii="Times New Roman" w:cs="Times New Roman" w:eastAsia="Times New Roman" w:hAnsi="Times New Roman"/>
          <w:b w:val="false"/>
          <w:bCs w:val="false"/>
          <w:i w:val="false"/>
          <w:iCs w:val="false"/>
        </w:rPr>
        <w:t xml:space="preserve">Present bias cancels from (1) because it scales both sides equally. A shortcut chosen in this way is recognized as a shortcut and is self-admitted with probability σ.</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In the acceptance regime, which describes development with an assistant, an artifact arrives at date 1 and is an instance of E with probability q, the model’s maintainability-defect rate. Three features distinguish this regime. First, the artifact exists before the quality decision, so the time needed to inspect it, k, drawn from a distribution G, and the time needed to refactor it into Q, r, are spent now while the rework comes later (timing). Second, the developer perceives the defect rate as φq with φ ≤ 1, and an instance of E is noticed without inspection with probability ηφ, so polished output is both trusted and overlooked (appearance). Third, a share α of artifacts is accepted by default without deliberation, and changing a possessed artifact is felt as a loss, which scales the perceived cost of refactoring by λ ≥ 1 (possession). A detected instance of E is refactored now if and only if</w:t>
      </w:r>
    </w:p>
    <w:p>
      <w:pPr>
        <w:tabs>
          <w:tab w:val="center" w:pos="4680"/>
          <w:tab w:val="right" w:pos="9360"/>
        </w:tabs>
        <w:spacing w:after="0" w:line="480" w:lineRule="auto"/>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λ · v · r  &lt;  β · δ · R,</w:t>
      </w:r>
      <w:r>
        <w:rPr>
          <w:rFonts w:ascii="Times New Roman" w:cs="Times New Roman" w:eastAsia="Times New Roman" w:hAnsi="Times New Roman"/>
        </w:rPr>
        <w:t xml:space="preserve">	(2)</w:t>
      </w:r>
    </w:p>
    <w:p>
      <w:pPr>
        <w:spacing w:after="0" w:before="0" w:line="480" w:lineRule="auto"/>
        <w:jc w:val="left"/>
      </w:pPr>
      <w:r>
        <w:rPr>
          <w:rFonts w:ascii="Times New Roman" w:cs="Times New Roman" w:eastAsia="Times New Roman" w:hAnsi="Times New Roman"/>
          <w:b w:val="false"/>
          <w:bCs w:val="false"/>
          <w:i w:val="false"/>
          <w:iCs w:val="false"/>
        </w:rPr>
        <w:t xml:space="preserve">and an artifact that is not accepted by default is inspected if and only if</w:t>
      </w:r>
    </w:p>
    <w:p>
      <w:pPr>
        <w:tabs>
          <w:tab w:val="center" w:pos="4680"/>
          <w:tab w:val="right" w:pos="9360"/>
        </w:tabs>
        <w:spacing w:after="0" w:line="480" w:lineRule="auto"/>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v · k  &lt;  φ · q · (1 − ηφ) · max{0, β · δ · R − λ · v · r}.</w:t>
      </w:r>
      <w:r>
        <w:rPr>
          <w:rFonts w:ascii="Times New Roman" w:cs="Times New Roman" w:eastAsia="Times New Roman" w:hAnsi="Times New Roman"/>
        </w:rPr>
        <w:t xml:space="preserve">	(3)</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Debt remains when the artifact is E and is not both detected and refactored. A developer who detects E but does not refactor it self-admits it with probability σ, while an undetected instance is self-admitted with probability σφ, in proportion to the risk the developer perceives. We call β &lt; 1, φ &lt; 1, α &gt; 0, and λ &gt; 1 the behavioral wedges; the rational benchmark sets β = φ = λ = 1 and α = 0. We assume η ≤ 1/2, so that noticing a defect without inspection is less likely than missing it, which ensures that a stronger perception wedge never makes inspection more attractive.</w:t>
      </w:r>
    </w:p>
    <w:p>
      <w:pPr>
        <w:pStyle w:val="Heading2"/>
        <w:keepNext/>
        <w:spacing w:after="0" w:before="120" w:line="480" w:lineRule="auto"/>
      </w:pPr>
      <w:r>
        <w:rPr>
          <w:rFonts w:ascii="Times New Roman" w:cs="Times New Roman" w:eastAsia="Times New Roman" w:hAnsi="Times New Roman"/>
          <w:b/>
          <w:bCs/>
          <w:i/>
          <w:iCs/>
          <w:sz w:val="24"/>
          <w:szCs w:val="24"/>
        </w:rPr>
        <w:t xml:space="preserve">4.2 Why Debt Can Rise When Quality Gets Cheaper</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Let D</w:t>
      </w:r>
      <w:r>
        <w:rPr>
          <w:rFonts w:ascii="Times New Roman" w:cs="Times New Roman" w:eastAsia="Times New Roman" w:hAnsi="Times New Roman"/>
          <w:b w:val="false"/>
          <w:bCs w:val="false"/>
          <w:i w:val="false"/>
          <w:iCs w:val="false"/>
          <w:vertAlign w:val="subscript"/>
        </w:rPr>
        <w:t xml:space="preserve">C</w:t>
      </w:r>
      <w:r>
        <w:rPr>
          <w:rFonts w:ascii="Times New Roman" w:cs="Times New Roman" w:eastAsia="Times New Roman" w:hAnsi="Times New Roman"/>
          <w:b w:val="false"/>
          <w:bCs w:val="false"/>
          <w:i w:val="false"/>
          <w:iCs w:val="false"/>
        </w:rPr>
        <w:t xml:space="preserve">(v) and D</w:t>
      </w:r>
      <w:r>
        <w:rPr>
          <w:rFonts w:ascii="Times New Roman" w:cs="Times New Roman" w:eastAsia="Times New Roman" w:hAnsi="Times New Roman"/>
          <w:b w:val="false"/>
          <w:bCs w:val="false"/>
          <w:i w:val="false"/>
          <w:iCs w:val="false"/>
          <w:vertAlign w:val="subscript"/>
        </w:rPr>
        <w:t xml:space="preserve">A</w:t>
      </w:r>
      <w:r>
        <w:rPr>
          <w:rFonts w:ascii="Times New Roman" w:cs="Times New Roman" w:eastAsia="Times New Roman" w:hAnsi="Times New Roman"/>
          <w:b w:val="false"/>
          <w:bCs w:val="false"/>
          <w:i w:val="false"/>
          <w:iCs w:val="false"/>
        </w:rPr>
        <w:t xml:space="preserve">(v) denote the probabilities that a task ends with debt in the choice and acceptance regimes, and let D</w:t>
      </w:r>
      <w:r>
        <w:rPr>
          <w:rFonts w:ascii="Times New Roman" w:cs="Times New Roman" w:eastAsia="Times New Roman" w:hAnsi="Times New Roman"/>
          <w:b w:val="false"/>
          <w:bCs w:val="false"/>
          <w:i w:val="false"/>
          <w:iCs w:val="false"/>
          <w:vertAlign w:val="subscript"/>
        </w:rPr>
        <w:t xml:space="preserve">A</w:t>
      </w:r>
      <w:r>
        <w:rPr>
          <w:rFonts w:ascii="Times New Roman" w:cs="Times New Roman" w:eastAsia="Times New Roman" w:hAnsi="Times New Roman"/>
          <w:b w:val="false"/>
          <w:bCs w:val="false"/>
          <w:i w:val="false"/>
          <w:iCs w:val="false"/>
          <w:vertAlign w:val="superscript"/>
        </w:rPr>
        <w:t xml:space="preserve">*</w:t>
      </w:r>
      <w:r>
        <w:rPr>
          <w:rFonts w:ascii="Times New Roman" w:cs="Times New Roman" w:eastAsia="Times New Roman" w:hAnsi="Times New Roman"/>
          <w:b w:val="false"/>
          <w:bCs w:val="false"/>
          <w:i w:val="false"/>
          <w:iCs w:val="false"/>
        </w:rPr>
        <w:t xml:space="preserve">(v) denote D</w:t>
      </w:r>
      <w:r>
        <w:rPr>
          <w:rFonts w:ascii="Times New Roman" w:cs="Times New Roman" w:eastAsia="Times New Roman" w:hAnsi="Times New Roman"/>
          <w:b w:val="false"/>
          <w:bCs w:val="false"/>
          <w:i w:val="false"/>
          <w:iCs w:val="false"/>
          <w:vertAlign w:val="subscript"/>
        </w:rPr>
        <w:t xml:space="preserve">A</w:t>
      </w:r>
      <w:r>
        <w:rPr>
          <w:rFonts w:ascii="Times New Roman" w:cs="Times New Roman" w:eastAsia="Times New Roman" w:hAnsi="Times New Roman"/>
          <w:b w:val="false"/>
          <w:bCs w:val="false"/>
          <w:i w:val="false"/>
          <w:iCs w:val="false"/>
        </w:rPr>
        <w:t xml:space="preserve">(v) in the rational benchmark.</w:t>
      </w:r>
    </w:p>
    <w:p>
      <w:pPr>
        <w:spacing w:after="0" w:line="480" w:lineRule="auto"/>
        <w:ind w:left="720" w:right="360"/>
      </w:pPr>
      <w:r>
        <w:rPr>
          <w:rFonts w:ascii="Times New Roman" w:cs="Times New Roman" w:eastAsia="Times New Roman" w:hAnsi="Times New Roman"/>
          <w:b/>
          <w:bCs/>
          <w:i/>
          <w:iCs/>
        </w:rPr>
        <w:t xml:space="preserve">Result 1 (Decomposition).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C</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vertAlign w:val="superscript"/>
        </w:rPr>
        <w:t xml:space="preserve">*</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C</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vertAlign w:val="superscript"/>
        </w:rPr>
        <w:t xml:space="preserve">*</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vertAlign w:val="superscript"/>
        </w:rPr>
        <w:t xml:space="preserve">*</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vertAlign w:val="superscript"/>
        </w:rPr>
        <w:t xml:space="preserve">*</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The first term, the price effect, is non-positive when refactoring is no more costly than building quality (r ≤ a) and inspection is free (k = 0). The second term, the acceleration effect, is non-negative when 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The third term, the behavioral wedge, is non-negative, and strictly positive when any wedge binds on a set of tasks with positive probability.</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rational trade-off view of Section 2.1 corresponds to the first term alone, and it predicts that debt falls when quality becomes cheaper. Debt can nonetheless rise through either of the other two terms, which is why the anomaly described in Section 1 does not by itself favor either account. Take illustrative values of q = 0.8, β = 0.5, φ = 0.6, α = 0.3, r = 0.4a, inspection time uniform on [0, 0.6a], and lognormal rework costs whose median equals va. The price effect lowers the probability of debt by 0.24 and the wedge raises it by 0.32 at a constant value of time, so debt rises from 0.50 to 0.59 per task even though quality has become cheaper.</w:t>
      </w:r>
    </w:p>
    <w:p>
      <w:pPr>
        <w:pStyle w:val="Heading2"/>
        <w:keepNext/>
        <w:spacing w:after="0" w:before="120" w:line="480" w:lineRule="auto"/>
      </w:pPr>
      <w:r>
        <w:rPr>
          <w:rFonts w:ascii="Times New Roman" w:cs="Times New Roman" w:eastAsia="Times New Roman" w:hAnsi="Times New Roman"/>
          <w:b/>
          <w:bCs/>
          <w:i/>
          <w:iCs/>
          <w:sz w:val="24"/>
          <w:szCs w:val="24"/>
        </w:rPr>
        <w:t xml:space="preserve">4.3 What Aggregate Debt Cannot Reveal</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We define three statistics. The self-admitted share is the probability that a unit of debt is self-admitted. The possession effect is the probability of deferring refactoring with an artifact in hand minus the probability of choosing E ex ante, at equal cost (r = a). The lapse rate is the probability that a detected instance of E is left unrefactored although the developer planned, from the vantage point of the current period, to refactor it in the next.</w:t>
      </w:r>
    </w:p>
    <w:p>
      <w:pPr>
        <w:spacing w:after="0" w:line="480" w:lineRule="auto"/>
        <w:ind w:left="720" w:right="360"/>
      </w:pPr>
      <w:r>
        <w:rPr>
          <w:rFonts w:ascii="Times New Roman" w:cs="Times New Roman" w:eastAsia="Times New Roman" w:hAnsi="Times New Roman"/>
          <w:b/>
          <w:bCs/>
          <w:i/>
          <w:iCs/>
        </w:rPr>
        <w:t xml:space="preserve">Result 2 (Observational equivalence and separation). </w:t>
      </w:r>
      <w:r>
        <w:rPr>
          <w:rFonts w:ascii="Times New Roman" w:cs="Times New Roman" w:eastAsia="Times New Roman" w:hAnsi="Times New Roman"/>
          <w:b w:val="false"/>
          <w:bCs w:val="false"/>
          <w:i/>
          <w:iCs/>
        </w:rPr>
        <w:t xml:space="preserve">(a) For any configuration of wedges with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&lt; q, there is a value of time 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at which the rational benchmark produces the same aggregate debt,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vertAlign w:val="superscript"/>
        </w:rPr>
        <w:t xml:space="preserve">*</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 = D</w:t>
      </w:r>
      <w:r>
        <w:rPr>
          <w:rFonts w:ascii="Times New Roman" w:cs="Times New Roman" w:eastAsia="Times New Roman" w:hAnsi="Times New Roman"/>
          <w:b w:val="false"/>
          <w:bCs w:val="false"/>
          <w:i/>
          <w:iCs/>
          <w:vertAlign w:val="subscript"/>
        </w:rPr>
        <w:t xml:space="preserve">A</w:t>
      </w:r>
      <w:r>
        <w:rPr>
          <w:rFonts w:ascii="Times New Roman" w:cs="Times New Roman" w:eastAsia="Times New Roman" w:hAnsi="Times New Roman"/>
          <w:b w:val="false"/>
          <w:bCs w:val="false"/>
          <w:i/>
          <w:iCs/>
        </w:rPr>
        <w:t xml:space="preserve">(v</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(b) In the rational benchmark, for every v, q, and G, the self-admitted share equals σ, the possession effect is zero, and the lapse rate is zero. (c) Under the wedges, the self-admitted share falls below σ if and only if φ &lt; 1 and some debt is undetected; the possession effect is positive if β &lt; 1 or λ &gt; 1; and the lapse rate is positive if and only if β &lt; 1.</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Part (a) formalizes why aggregate debt, including the difference-in-differences estimates that dominate the current evidence, cannot adjudicate between the accounts: whatever the wedges do to the level of debt, a faster pace of work can do as well. Parts (b) and (c) identify what can. The self-admitted share isolates the appearance wedge (P4). The possession effect and the lapse rate isolate the timing and possession wedges (P1b and P2), and the lapse rate separates present bias from loss aversion. A developer who feels refactoring a generated artifact as a loss feels it today and tomorrow alike, so she does not plan what she will not do. A present-biased developer plans to refactor tomorrow and, when tomorrow comes, defers again. In the illustration of Section 4.2, rational acceleration matches the behavioral level of debt at v</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 2.9v</w:t>
      </w:r>
      <w:r>
        <w:rPr>
          <w:rFonts w:ascii="Times New Roman" w:cs="Times New Roman" w:eastAsia="Times New Roman" w:hAnsi="Times New Roman"/>
          <w:b w:val="false"/>
          <w:bCs w:val="false"/>
          <w:i w:val="false"/>
          <w:iCs w:val="false"/>
          <w:vertAlign w:val="subscript"/>
        </w:rPr>
        <w:t xml:space="preserve">0</w:t>
      </w:r>
      <w:r>
        <w:rPr>
          <w:rFonts w:ascii="Times New Roman" w:cs="Times New Roman" w:eastAsia="Times New Roman" w:hAnsi="Times New Roman"/>
          <w:b w:val="false"/>
          <w:bCs w:val="false"/>
          <w:i w:val="false"/>
          <w:iCs w:val="false"/>
        </w:rPr>
        <w:t xml:space="preserve">, while its self-admitted share stays at σ = 0.50 and its possession effect and lapse rate stay at zero. The behavioral configuration yields a self-admitted share of 0.33, a possession effect of 0.31, and a lapse rate of 0.21. With loss aversion alone (λ = 1.8), the possession effect is 0.27 and the lapse rate is zero. Table 2 in Section 3.3 is the empirical counterpart of this result.</w:t>
      </w:r>
    </w:p>
    <w:p>
      <w:pPr>
        <w:pStyle w:val="Heading2"/>
        <w:keepNext/>
        <w:spacing w:after="0" w:before="120" w:line="480" w:lineRule="auto"/>
      </w:pPr>
      <w:r>
        <w:rPr>
          <w:rFonts w:ascii="Times New Roman" w:cs="Times New Roman" w:eastAsia="Times New Roman" w:hAnsi="Times New Roman"/>
          <w:b/>
          <w:bCs/>
          <w:i/>
          <w:iCs/>
          <w:sz w:val="24"/>
          <w:szCs w:val="24"/>
        </w:rPr>
        <w:t xml:space="preserve">4.4 The Reliability Paradox</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One might expect debt to fall as models become more reliable. The model shows that it need not. Suppose inspection time is uniform on [0, K], and consider tasks on which refactoring a detected instance of E is worthwhile, B ≡ βδR − λvr &gt; 0.</w:t>
      </w:r>
    </w:p>
    <w:p>
      <w:pPr>
        <w:spacing w:after="0" w:line="480" w:lineRule="auto"/>
        <w:ind w:left="720" w:right="360"/>
      </w:pPr>
      <w:r>
        <w:rPr>
          <w:rFonts w:ascii="Times New Roman" w:cs="Times New Roman" w:eastAsia="Times New Roman" w:hAnsi="Times New Roman"/>
          <w:b/>
          <w:bCs/>
          <w:i/>
          <w:iCs/>
        </w:rPr>
        <w:t xml:space="preserve">Result 3 (Reliability paradox). </w:t>
      </w:r>
      <w:r>
        <w:rPr>
          <w:rFonts w:ascii="Times New Roman" w:cs="Times New Roman" w:eastAsia="Times New Roman" w:hAnsi="Times New Roman"/>
          <w:b w:val="false"/>
          <w:bCs w:val="false"/>
          <w:i/>
          <w:iCs/>
        </w:rPr>
        <w:t xml:space="preserve">Debt per task is D(q) = q(1 − ηφ)[1 − (1 − α)·min{1, q̂/q}], where q̂ = vK / [φ(1 − ηφ)B]. If α &lt; 1/2, D is decreasing in q on the interval (q*, q̂), so that a more reliable model produces more debt there, where q* = q̂ / [2(1 − α)]. If α ≥ 1/2, D is increasing in q.</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mechanism is reliance. When models are unreliable, developers inspect everything and debt is low. As reliability improves, perceived risk falls and inspection stops before the defect rate has fallen far enough to compensate, so the share of defects reaching the codebase rises faster than the defect rate declines. The paradox is not in itself behavioral: a rational developer also relaxes inspection as models improve, and her debt also rises, efficiently, over an interval. What the wedges do is move and widen that interval and turn an efficient response into an inefficient one. Anything that lowers the perceived value of inspection, whether an appearance wedge, a present-biased view of rework, or a higher value of time, raises q̂ and extends the paradox to less reliable models. Default acceptance removes the paradox only by raising debt at every level of reliability. Figure 1 illustrates. The result implies that improvements in model quality should not be expected to reduce debt monotonically, and that the debt consequences of a model upgrade depend on how much inspection it displaces.</w:t>
      </w:r>
    </w:p>
    <w:p>
      <w:pPr>
        <w:keepNext/>
        <w:spacing w:after="0" w:before="120"/>
        <w:jc w:val="center"/>
      </w:pPr>
      <w:r>
        <w:drawing>
          <wp:inline distT="0" distB="0" distL="0" distR="0">
            <wp:extent cx="5124450" cy="3000375"/>
            <wp:effectExtent t="0" r="0" b="0" l="0"/>
            <wp:docPr id="1" name="fig_19.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000375"/>
                    </a:xfrm>
                    <a:prstGeom prst="rect">
                      <a:avLst/>
                    </a:prstGeom>
                  </pic:spPr>
                </pic:pic>
              </a:graphicData>
            </a:graphic>
          </wp:inline>
        </w:drawing>
      </w:r>
    </w:p>
    <w:p>
      <w:pPr>
        <w:spacing w:after="240" w:before="120" w:line="276"/>
      </w:pPr>
      <w:r>
        <w:rPr>
          <w:rFonts w:ascii="Times New Roman" w:cs="Times New Roman" w:eastAsia="Times New Roman" w:hAnsi="Times New Roman"/>
          <w:b/>
          <w:bCs/>
          <w:i w:val="false"/>
          <w:iCs w:val="false"/>
        </w:rPr>
        <w:t xml:space="preserve">Figure 1. Debt per Task as Model Reliability Improves (K = 0.3, B = 1, η = 0.5, v = 1)</w:t>
      </w:r>
    </w:p>
    <w:p>
      <w:pPr>
        <w:pStyle w:val="Heading2"/>
        <w:keepNext/>
        <w:spacing w:after="0" w:before="120" w:line="480" w:lineRule="auto"/>
      </w:pPr>
      <w:r>
        <w:rPr>
          <w:rFonts w:ascii="Times New Roman" w:cs="Times New Roman" w:eastAsia="Times New Roman" w:hAnsi="Times New Roman"/>
          <w:b/>
          <w:bCs/>
          <w:i/>
          <w:iCs/>
          <w:sz w:val="24"/>
          <w:szCs w:val="24"/>
        </w:rPr>
        <w:t xml:space="preserve">4.5 Debt Traps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Debt also accumulates over time. Let H be the stock of unresolved debt in a codebase, and suppose that refactoring becomes harder as the stock grows, r(H) = r</w:t>
      </w:r>
      <w:r>
        <w:rPr>
          <w:rFonts w:ascii="Times New Roman" w:cs="Times New Roman" w:eastAsia="Times New Roman" w:hAnsi="Times New Roman"/>
          <w:b w:val="false"/>
          <w:bCs w:val="false"/>
          <w:i w:val="false"/>
          <w:iCs w:val="false"/>
          <w:vertAlign w:val="subscript"/>
        </w:rPr>
        <w:t xml:space="preserve">0</w:t>
      </w:r>
      <w:r>
        <w:rPr>
          <w:rFonts w:ascii="Times New Roman" w:cs="Times New Roman" w:eastAsia="Times New Roman" w:hAnsi="Times New Roman"/>
          <w:b w:val="false"/>
          <w:bCs w:val="false"/>
          <w:i w:val="false"/>
          <w:iCs w:val="false"/>
        </w:rPr>
        <w:t xml:space="preserve">(1 + γH), which plays the role of interest in the debt metaphor. In each period n artifacts arrive; a share p of those not accepted by default is inspected, and a detected instance of E is refactored when (2) holds at r(H). The inflow of debt is I(H; β) = A + C·F(λvr</w:t>
      </w:r>
      <w:r>
        <w:rPr>
          <w:rFonts w:ascii="Times New Roman" w:cs="Times New Roman" w:eastAsia="Times New Roman" w:hAnsi="Times New Roman"/>
          <w:b w:val="false"/>
          <w:bCs w:val="false"/>
          <w:i w:val="false"/>
          <w:iCs w:val="false"/>
          <w:vertAlign w:val="subscript"/>
        </w:rPr>
        <w:t xml:space="preserve">0</w:t>
      </w:r>
      <w:r>
        <w:rPr>
          <w:rFonts w:ascii="Times New Roman" w:cs="Times New Roman" w:eastAsia="Times New Roman" w:hAnsi="Times New Roman"/>
          <w:b w:val="false"/>
          <w:bCs w:val="false"/>
          <w:i w:val="false"/>
          <w:iCs w:val="false"/>
        </w:rPr>
        <w:t xml:space="preserve">(1 + γH)/(βδ)), where A = nq[1 − (1 − α)p] is the inflow when every detected defect is refactored and A + C, with C = nq(1 − α)p, is the inflow when none is. A fraction μ of the stock is repaid each period, and steady states solve I(H; β) = μH. Let rework costs be lognormal with median R</w:t>
      </w:r>
      <w:r>
        <w:rPr>
          <w:rFonts w:ascii="Times New Roman" w:cs="Times New Roman" w:eastAsia="Times New Roman" w:hAnsi="Times New Roman"/>
          <w:b w:val="false"/>
          <w:bCs w:val="false"/>
          <w:i w:val="false"/>
          <w:iCs w:val="false"/>
          <w:vertAlign w:val="subscript"/>
        </w:rPr>
        <w:t xml:space="preserve">m</w:t>
      </w:r>
      <w:r>
        <w:rPr>
          <w:rFonts w:ascii="Times New Roman" w:cs="Times New Roman" w:eastAsia="Times New Roman" w:hAnsi="Times New Roman"/>
          <w:b w:val="false"/>
          <w:bCs w:val="false"/>
          <w:i w:val="false"/>
          <w:iCs w:val="false"/>
        </w:rPr>
        <w:t xml:space="preserve"> and log-dispersion s, and for ε ∈ (0, 1/2) let z = Φ</w:t>
      </w:r>
      <w:r>
        <w:rPr>
          <w:rFonts w:ascii="Times New Roman" w:cs="Times New Roman" w:eastAsia="Times New Roman" w:hAnsi="Times New Roman"/>
          <w:b w:val="false"/>
          <w:bCs w:val="false"/>
          <w:i w:val="false"/>
          <w:iCs w:val="false"/>
          <w:vertAlign w:val="superscript"/>
        </w:rPr>
        <w:t xml:space="preserve">−1</w:t>
      </w:r>
      <w:r>
        <w:rPr>
          <w:rFonts w:ascii="Times New Roman" w:cs="Times New Roman" w:eastAsia="Times New Roman" w:hAnsi="Times New Roman"/>
          <w:b w:val="false"/>
          <w:bCs w:val="false"/>
          <w:i w:val="false"/>
          <w:iCs w:val="false"/>
        </w:rPr>
        <w:t xml:space="preserve">(1 − ε), where Φ is the standard normal distribution function.</w:t>
      </w:r>
    </w:p>
    <w:p>
      <w:pPr>
        <w:spacing w:after="0" w:line="480" w:lineRule="auto"/>
        <w:ind w:left="720" w:right="360"/>
      </w:pPr>
      <w:r>
        <w:rPr>
          <w:rFonts w:ascii="Times New Roman" w:cs="Times New Roman" w:eastAsia="Times New Roman" w:hAnsi="Times New Roman"/>
          <w:b/>
          <w:bCs/>
          <w:i/>
          <w:iCs/>
        </w:rPr>
        <w:t xml:space="preserve">Result 4 (Debt traps and hysteresis). </w:t>
      </w:r>
      <w:r>
        <w:rPr>
          <w:rFonts w:ascii="Times New Roman" w:cs="Times New Roman" w:eastAsia="Times New Roman" w:hAnsi="Times New Roman"/>
          <w:b w:val="false"/>
          <w:bCs w:val="false"/>
          <w:i/>
          <w:iCs/>
        </w:rPr>
        <w:t xml:space="preserve">A low-debt state and a debt trap, both stable and separated by an unstable steady state, coexist whenever β lies in (β</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(ε), β</w:t>
      </w:r>
      <w:r>
        <w:rPr>
          <w:rFonts w:ascii="Times New Roman" w:cs="Times New Roman" w:eastAsia="Times New Roman" w:hAnsi="Times New Roman"/>
          <w:b w:val="false"/>
          <w:bCs w:val="false"/>
          <w:i/>
          <w:iCs/>
          <w:vertAlign w:val="subscript"/>
        </w:rPr>
        <w:t xml:space="preserve">2</w:t>
      </w:r>
      <w:r>
        <w:rPr>
          <w:rFonts w:ascii="Times New Roman" w:cs="Times New Roman" w:eastAsia="Times New Roman" w:hAnsi="Times New Roman"/>
          <w:b w:val="false"/>
          <w:bCs w:val="false"/>
          <w:i/>
          <w:iCs/>
        </w:rPr>
        <w:t xml:space="preserve">(ε)) for some ε, where β</w:t>
      </w:r>
      <w:r>
        <w:rPr>
          <w:rFonts w:ascii="Times New Roman" w:cs="Times New Roman" w:eastAsia="Times New Roman" w:hAnsi="Times New Roman"/>
          <w:b w:val="false"/>
          <w:bCs w:val="false"/>
          <w:i/>
          <w:iCs/>
          <w:vertAlign w:val="subscript"/>
        </w:rPr>
        <w:t xml:space="preserve">1</w:t>
      </w:r>
      <w:r>
        <w:rPr>
          <w:rFonts w:ascii="Times New Roman" w:cs="Times New Roman" w:eastAsia="Times New Roman" w:hAnsi="Times New Roman"/>
          <w:b w:val="false"/>
          <w:bCs w:val="false"/>
          <w:i/>
          <w:iCs/>
        </w:rPr>
        <w:t xml:space="preserve">(ε) = λvr</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[1 + γ(A + Cε)/μ] / (δR</w:t>
      </w:r>
      <w:r>
        <w:rPr>
          <w:rFonts w:ascii="Times New Roman" w:cs="Times New Roman" w:eastAsia="Times New Roman" w:hAnsi="Times New Roman"/>
          <w:b w:val="false"/>
          <w:bCs w:val="false"/>
          <w:i/>
          <w:iCs/>
          <w:vertAlign w:val="subscript"/>
        </w:rPr>
        <w:t xml:space="preserve">m</w:t>
      </w:r>
      <w:r>
        <w:rPr>
          <w:rFonts w:ascii="Times New Roman" w:cs="Times New Roman" w:eastAsia="Times New Roman" w:hAnsi="Times New Roman"/>
          <w:b w:val="false"/>
          <w:bCs w:val="false"/>
          <w:i/>
          <w:iCs/>
        </w:rPr>
        <w:t xml:space="preserve">e</w:t>
      </w:r>
      <w:r>
        <w:rPr>
          <w:rFonts w:ascii="Times New Roman" w:cs="Times New Roman" w:eastAsia="Times New Roman" w:hAnsi="Times New Roman"/>
          <w:b w:val="false"/>
          <w:bCs w:val="false"/>
          <w:i/>
          <w:iCs/>
          <w:vertAlign w:val="superscript"/>
        </w:rPr>
        <w:t xml:space="preserve">−sz</w:t>
      </w:r>
      <w:r>
        <w:rPr>
          <w:rFonts w:ascii="Times New Roman" w:cs="Times New Roman" w:eastAsia="Times New Roman" w:hAnsi="Times New Roman"/>
          <w:b w:val="false"/>
          <w:bCs w:val="false"/>
          <w:i/>
          <w:iCs/>
        </w:rPr>
        <w:t xml:space="preserve">) and β</w:t>
      </w:r>
      <w:r>
        <w:rPr>
          <w:rFonts w:ascii="Times New Roman" w:cs="Times New Roman" w:eastAsia="Times New Roman" w:hAnsi="Times New Roman"/>
          <w:b w:val="false"/>
          <w:bCs w:val="false"/>
          <w:i/>
          <w:iCs/>
          <w:vertAlign w:val="subscript"/>
        </w:rPr>
        <w:t xml:space="preserve">2</w:t>
      </w:r>
      <w:r>
        <w:rPr>
          <w:rFonts w:ascii="Times New Roman" w:cs="Times New Roman" w:eastAsia="Times New Roman" w:hAnsi="Times New Roman"/>
          <w:b w:val="false"/>
          <w:bCs w:val="false"/>
          <w:i/>
          <w:iCs/>
        </w:rPr>
        <w:t xml:space="preserve">(ε) = λvr</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[1 + γ(A + C(1 − ε))/μ] / (δR</w:t>
      </w:r>
      <w:r>
        <w:rPr>
          <w:rFonts w:ascii="Times New Roman" w:cs="Times New Roman" w:eastAsia="Times New Roman" w:hAnsi="Times New Roman"/>
          <w:b w:val="false"/>
          <w:bCs w:val="false"/>
          <w:i/>
          <w:iCs/>
          <w:vertAlign w:val="subscript"/>
        </w:rPr>
        <w:t xml:space="preserve">m</w:t>
      </w:r>
      <w:r>
        <w:rPr>
          <w:rFonts w:ascii="Times New Roman" w:cs="Times New Roman" w:eastAsia="Times New Roman" w:hAnsi="Times New Roman"/>
          <w:b w:val="false"/>
          <w:bCs w:val="false"/>
          <w:i/>
          <w:iCs/>
        </w:rPr>
        <w:t xml:space="preserve">e</w:t>
      </w:r>
      <w:r>
        <w:rPr>
          <w:rFonts w:ascii="Times New Roman" w:cs="Times New Roman" w:eastAsia="Times New Roman" w:hAnsi="Times New Roman"/>
          <w:b w:val="false"/>
          <w:bCs w:val="false"/>
          <w:i/>
          <w:iCs/>
          <w:vertAlign w:val="superscript"/>
        </w:rPr>
        <w:t xml:space="preserve">sz</w:t>
      </w:r>
      <w:r>
        <w:rPr>
          <w:rFonts w:ascii="Times New Roman" w:cs="Times New Roman" w:eastAsia="Times New Roman" w:hAnsi="Times New Roman"/>
          <w:b w:val="false"/>
          <w:bCs w:val="false"/>
          <w:i/>
          <w:iCs/>
        </w:rPr>
        <w:t xml:space="preserve">). The interval is non-empty when rework costs are concentrated relative to the interest on debt, e</w:t>
      </w:r>
      <w:r>
        <w:rPr>
          <w:rFonts w:ascii="Times New Roman" w:cs="Times New Roman" w:eastAsia="Times New Roman" w:hAnsi="Times New Roman"/>
          <w:b w:val="false"/>
          <w:bCs w:val="false"/>
          <w:i/>
          <w:iCs/>
          <w:vertAlign w:val="superscript"/>
        </w:rPr>
        <w:t xml:space="preserve">2sz</w:t>
      </w:r>
      <w:r>
        <w:rPr>
          <w:rFonts w:ascii="Times New Roman" w:cs="Times New Roman" w:eastAsia="Times New Roman" w:hAnsi="Times New Roman"/>
          <w:b w:val="false"/>
          <w:bCs w:val="false"/>
          <w:i/>
          <w:iCs/>
        </w:rPr>
        <w:t xml:space="preserve"> &lt; [1 + γ(A + C(1 − ε))/μ] / [1 + γ(A + Cε)/μ]. Only the trap exists if β ≤ λvr</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/(δR</w:t>
      </w:r>
      <w:r>
        <w:rPr>
          <w:rFonts w:ascii="Times New Roman" w:cs="Times New Roman" w:eastAsia="Times New Roman" w:hAnsi="Times New Roman"/>
          <w:b w:val="false"/>
          <w:bCs w:val="false"/>
          <w:i/>
          <w:iCs/>
          <w:vertAlign w:val="subscript"/>
        </w:rPr>
        <w:t xml:space="preserve">m</w:t>
      </w:r>
      <w:r>
        <w:rPr>
          <w:rFonts w:ascii="Times New Roman" w:cs="Times New Roman" w:eastAsia="Times New Roman" w:hAnsi="Times New Roman"/>
          <w:b w:val="false"/>
          <w:bCs w:val="false"/>
          <w:i/>
          <w:iCs/>
        </w:rPr>
        <w:t xml:space="preserve">e</w:t>
      </w:r>
      <w:r>
        <w:rPr>
          <w:rFonts w:ascii="Times New Roman" w:cs="Times New Roman" w:eastAsia="Times New Roman" w:hAnsi="Times New Roman"/>
          <w:b w:val="false"/>
          <w:bCs w:val="false"/>
          <w:i/>
          <w:iCs/>
          <w:vertAlign w:val="superscript"/>
        </w:rPr>
        <w:t xml:space="preserve">sz</w:t>
      </w:r>
      <w:r>
        <w:rPr>
          <w:rFonts w:ascii="Times New Roman" w:cs="Times New Roman" w:eastAsia="Times New Roman" w:hAnsi="Times New Roman"/>
          <w:b w:val="false"/>
          <w:bCs w:val="false"/>
          <w:i/>
          <w:iCs/>
        </w:rPr>
        <w:t xml:space="preserve">), and only the low-debt state exists if β ≥ λvr</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[1 + γ(A + C)/μ]/(δR</w:t>
      </w:r>
      <w:r>
        <w:rPr>
          <w:rFonts w:ascii="Times New Roman" w:cs="Times New Roman" w:eastAsia="Times New Roman" w:hAnsi="Times New Roman"/>
          <w:b w:val="false"/>
          <w:bCs w:val="false"/>
          <w:i/>
          <w:iCs/>
          <w:vertAlign w:val="subscript"/>
        </w:rPr>
        <w:t xml:space="preserve">m</w:t>
      </w:r>
      <w:r>
        <w:rPr>
          <w:rFonts w:ascii="Times New Roman" w:cs="Times New Roman" w:eastAsia="Times New Roman" w:hAnsi="Times New Roman"/>
          <w:b w:val="false"/>
          <w:bCs w:val="false"/>
          <w:i/>
          <w:iCs/>
        </w:rPr>
        <w:t xml:space="preserve">e</w:t>
      </w:r>
      <w:r>
        <w:rPr>
          <w:rFonts w:ascii="Times New Roman" w:cs="Times New Roman" w:eastAsia="Times New Roman" w:hAnsi="Times New Roman"/>
          <w:b w:val="false"/>
          <w:bCs w:val="false"/>
          <w:i/>
          <w:iCs/>
          <w:vertAlign w:val="superscript"/>
        </w:rPr>
        <w:t xml:space="preserve">−sz</w:t>
      </w:r>
      <w:r>
        <w:rPr>
          <w:rFonts w:ascii="Times New Roman" w:cs="Times New Roman" w:eastAsia="Times New Roman" w:hAnsi="Times New Roman"/>
          <w:b w:val="false"/>
          <w:bCs w:val="false"/>
          <w:i/>
          <w:iCs/>
        </w:rPr>
        <w:t xml:space="preserve">). A codebase that enters the trap as β falls does not leave it when β returns to the level at which it tipped, but only when β rises past the upper edge of the bistable region or when a one-time repayment lowers H below the unstable steady state. Here the low-debt state lies below (A + Cε)/μ and the trap above (A + C(1 − ε))/μ.</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Because present bias cancels in the choice regime, a team without an assistant behaves as if β = 1 in its refactoring decisions, and adoption replaces 1 with the team’s β. Adoption can therefore tip a codebase from the low-debt state into the trap even though the assistant also lowers r</w:t>
      </w:r>
      <w:r>
        <w:rPr>
          <w:rFonts w:ascii="Times New Roman" w:cs="Times New Roman" w:eastAsia="Times New Roman" w:hAnsi="Times New Roman"/>
          <w:b w:val="false"/>
          <w:bCs w:val="false"/>
          <w:i w:val="false"/>
          <w:iCs w:val="false"/>
          <w:vertAlign w:val="subscript"/>
        </w:rPr>
        <w:t xml:space="preserve">0</w:t>
      </w:r>
      <w:r>
        <w:rPr>
          <w:rFonts w:ascii="Times New Roman" w:cs="Times New Roman" w:eastAsia="Times New Roman" w:hAnsi="Times New Roman"/>
          <w:b w:val="false"/>
          <w:bCs w:val="false"/>
          <w:i w:val="false"/>
          <w:iCs w:val="false"/>
        </w:rPr>
        <w:t xml:space="preserve">. Three implications follow. The distribution of debt across codebases should become bimodal after adoption. Codebases that enter adoption with more debt should be more likely to tip, because a shock to H can carry a codebase in the bistable region across the unstable steady state. And interventions that would have prevented the trap, such as nudges that raise effective β slightly, cannot reverse it; escape requires a large change in the decision environment or a one-time refactoring program. In the illustration in Figure 2, the bistable region is β ∈ (0.646, 0.843): codebases tip into the trap when β falls below 0.646 and escape only when it rises above 0.843. The closed-form conditions are sufficient, but here they are also sharp. Taking the union of (β</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(ε), β</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(ε)) over ε recovers the region to three decimal places, and the widest single interval, at ε = 0.14, is (0.659, 0.829).</w:t>
      </w:r>
    </w:p>
    <w:p>
      <w:pPr>
        <w:keepNext/>
        <w:spacing w:after="0" w:before="120"/>
        <w:jc w:val="center"/>
      </w:pPr>
      <w:r>
        <w:drawing>
          <wp:inline distT="0" distB="0" distL="0" distR="0">
            <wp:extent cx="5124450" cy="2933700"/>
            <wp:effectExtent t="0" r="0" b="0" l="0"/>
            <wp:docPr id="1" name="fig_2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933700"/>
                    </a:xfrm>
                    <a:prstGeom prst="rect">
                      <a:avLst/>
                    </a:prstGeom>
                  </pic:spPr>
                </pic:pic>
              </a:graphicData>
            </a:graphic>
          </wp:inline>
        </w:drawing>
      </w:r>
    </w:p>
    <w:p>
      <w:pPr>
        <w:spacing w:after="240" w:before="120" w:line="276"/>
      </w:pPr>
      <w:r>
        <w:rPr>
          <w:rFonts w:ascii="Times New Roman" w:cs="Times New Roman" w:eastAsia="Times New Roman" w:hAnsi="Times New Roman"/>
          <w:b/>
          <w:bCs/>
          <w:i w:val="false"/>
          <w:iCs w:val="false"/>
        </w:rPr>
        <w:t xml:space="preserve">Figure 2. Steady-State Debt and Hysteresis in Present Bias (n = 1, q = 0.5, p = 0.9, α = 0, r</w:t>
      </w:r>
      <w:r>
        <w:rPr>
          <w:rFonts w:ascii="Times New Roman" w:cs="Times New Roman" w:eastAsia="Times New Roman" w:hAnsi="Times New Roman"/>
          <w:b/>
          <w:bCs/>
          <w:i w:val="false"/>
          <w:iCs w:val="false"/>
          <w:vertAlign w:val="subscript"/>
        </w:rPr>
        <w:t xml:space="preserve">0</w:t>
      </w:r>
      <w:r>
        <w:rPr>
          <w:rFonts w:ascii="Times New Roman" w:cs="Times New Roman" w:eastAsia="Times New Roman" w:hAnsi="Times New Roman"/>
          <w:b/>
          <w:bCs/>
          <w:i w:val="false"/>
          <w:iCs w:val="false"/>
        </w:rPr>
        <w:t xml:space="preserve"> = 0.3, γ = 3, μ = 0.5, lognormal rework costs with median 1 and log-dispersion 0.25). Horizontal axis: β (present bias; lower = stronger). Vertical axis: steady-state debt stock H*.</w:t>
      </w:r>
    </w:p>
    <w:p>
      <w:pPr>
        <w:pStyle w:val="Heading2"/>
        <w:keepNext/>
        <w:spacing w:after="0" w:before="120" w:line="480" w:lineRule="auto"/>
      </w:pPr>
      <w:r>
        <w:rPr>
          <w:rFonts w:ascii="Times New Roman" w:cs="Times New Roman" w:eastAsia="Times New Roman" w:hAnsi="Times New Roman"/>
          <w:b/>
          <w:bCs/>
          <w:i/>
          <w:iCs/>
          <w:sz w:val="24"/>
          <w:szCs w:val="24"/>
        </w:rPr>
        <w:t xml:space="preserve">4.6 Strategic Extension: Tool Design, Adoption Governance, and Shadow AI</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single-decision model treats the interface as given. In practice, a tool vendor designs the interface, and whether its settings are chosen by developers or by their organization is a governance decision. We therefore embed the developer in a sequential game. A vendor designs the interface friction f ∈ [0, 1], the effort required to accept a suggestion without deliberation, as when large suggestions are presented as diffs to be reviewed rather than as text to be accepted. Friction lowers the default share to α(f) = α</w:t>
      </w:r>
      <w:r>
        <w:rPr>
          <w:rFonts w:ascii="Times New Roman" w:cs="Times New Roman" w:eastAsia="Times New Roman" w:hAnsi="Times New Roman"/>
          <w:b w:val="false"/>
          <w:bCs w:val="false"/>
          <w:i w:val="false"/>
          <w:iCs w:val="false"/>
          <w:vertAlign w:val="subscript"/>
        </w:rPr>
        <w:t xml:space="preserve">0</w:t>
      </w:r>
      <w:r>
        <w:rPr>
          <w:rFonts w:ascii="Times New Roman" w:cs="Times New Roman" w:eastAsia="Times New Roman" w:hAnsi="Times New Roman"/>
          <w:b w:val="false"/>
          <w:bCs w:val="false"/>
          <w:i w:val="false"/>
          <w:iCs w:val="false"/>
        </w:rPr>
        <w:t xml:space="preserve">(1 − f) but costs developer time vcf²/2 per artifact, incurred now. The party that controls the setting then chooses the tool, and developers use it as in Section 4.1. When adoption is developer-led, developers choose by perceived cost. When it is organization-led, the organization chooses by long-run cost, but developers can bypass a sanctioned tool for an unsanctioned one at a personal cost ε, which captures the shadow IT that IS research has documented for earlier technologies (Haag &amp; Eckhardt, 2017). For tractability, rework cost is a constant R̄ with B &gt; 0, and inspection time is uniform on [0, K].</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Two quantities summarize the developer’s inspection problem: the perceived value of inspecting an artifact, Δ</w:t>
      </w:r>
      <w:r>
        <w:rPr>
          <w:rFonts w:ascii="Times New Roman" w:cs="Times New Roman" w:eastAsia="Times New Roman" w:hAnsi="Times New Roman"/>
          <w:b w:val="false"/>
          <w:bCs w:val="false"/>
          <w:i w:val="false"/>
          <w:iCs w:val="false"/>
          <w:vertAlign w:val="subscript"/>
        </w:rPr>
        <w:t xml:space="preserve">p</w:t>
      </w:r>
      <w:r>
        <w:rPr>
          <w:rFonts w:ascii="Times New Roman" w:cs="Times New Roman" w:eastAsia="Times New Roman" w:hAnsi="Times New Roman"/>
          <w:b w:val="false"/>
          <w:bCs w:val="false"/>
          <w:i w:val="false"/>
          <w:iCs w:val="false"/>
        </w:rPr>
        <w:t xml:space="preserve"> = φq(1 − ηφ)(βδR̄ − λvr), and its long-run value, Δ = q(1 − ηφ)(δR̄ − vr). The wedges push Δ</w:t>
      </w:r>
      <w:r>
        <w:rPr>
          <w:rFonts w:ascii="Times New Roman" w:cs="Times New Roman" w:eastAsia="Times New Roman" w:hAnsi="Times New Roman"/>
          <w:b w:val="false"/>
          <w:bCs w:val="false"/>
          <w:i w:val="false"/>
          <w:iCs w:val="false"/>
          <w:vertAlign w:val="subscript"/>
        </w:rPr>
        <w:t xml:space="preserve">p</w:t>
      </w:r>
      <w:r>
        <w:rPr>
          <w:rFonts w:ascii="Times New Roman" w:cs="Times New Roman" w:eastAsia="Times New Roman" w:hAnsi="Times New Roman"/>
          <w:b w:val="false"/>
          <w:bCs w:val="false"/>
          <w:i w:val="false"/>
          <w:iCs w:val="false"/>
        </w:rPr>
        <w:t xml:space="preserve"> below Δ.</w:t>
      </w:r>
    </w:p>
    <w:p>
      <w:pPr>
        <w:spacing w:after="0" w:line="480" w:lineRule="auto"/>
        <w:ind w:left="720" w:right="360"/>
      </w:pPr>
      <w:r>
        <w:rPr>
          <w:rFonts w:ascii="Times New Roman" w:cs="Times New Roman" w:eastAsia="Times New Roman" w:hAnsi="Times New Roman"/>
          <w:b/>
          <w:bCs/>
          <w:i/>
          <w:iCs/>
        </w:rPr>
        <w:t xml:space="preserve">Result 5 (Friction wedge). </w:t>
      </w:r>
      <w:r>
        <w:rPr>
          <w:rFonts w:ascii="Times New Roman" w:cs="Times New Roman" w:eastAsia="Times New Roman" w:hAnsi="Times New Roman"/>
          <w:b w:val="false"/>
          <w:bCs w:val="false"/>
          <w:i/>
          <w:iCs/>
        </w:rPr>
        <w:t xml:space="preserve">The friction that minimizes developers’ perceived cost is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 α</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² / (2v²cK), and the friction that minimizes the organization’s long-run cost, given how developers inspect, is f</w:t>
      </w:r>
      <w:r>
        <w:rPr>
          <w:rFonts w:ascii="Times New Roman" w:cs="Times New Roman" w:eastAsia="Times New Roman" w:hAnsi="Times New Roman"/>
          <w:b w:val="false"/>
          <w:bCs w:val="false"/>
          <w:i/>
          <w:iCs/>
          <w:vertAlign w:val="subscript"/>
        </w:rPr>
        <w:t xml:space="preserve">O</w:t>
      </w:r>
      <w:r>
        <w:rPr>
          <w:rFonts w:ascii="Times New Roman" w:cs="Times New Roman" w:eastAsia="Times New Roman" w:hAnsi="Times New Roman"/>
          <w:b w:val="false"/>
          <w:bCs w:val="false"/>
          <w:i/>
          <w:iCs/>
        </w:rPr>
        <w:t xml:space="preserve"> = α</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(2Δ − 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 / (2v²cK), both capped at 1. At interior values, f</w:t>
      </w:r>
      <w:r>
        <w:rPr>
          <w:rFonts w:ascii="Times New Roman" w:cs="Times New Roman" w:eastAsia="Times New Roman" w:hAnsi="Times New Roman"/>
          <w:b w:val="false"/>
          <w:bCs w:val="false"/>
          <w:i/>
          <w:iCs/>
          <w:vertAlign w:val="subscript"/>
        </w:rPr>
        <w:t xml:space="preserve">O</w:t>
      </w:r>
      <w:r>
        <w:rPr>
          <w:rFonts w:ascii="Times New Roman" w:cs="Times New Roman" w:eastAsia="Times New Roman" w:hAnsi="Times New Roman"/>
          <w:b w:val="false"/>
          <w:bCs w:val="false"/>
          <w:i/>
          <w:iCs/>
        </w:rPr>
        <w:t xml:space="preserve"> −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 α</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(Δ − 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 / (v²cK) ≥ 0, with equality if and only if Δ</w:t>
      </w:r>
      <w:r>
        <w:rPr>
          <w:rFonts w:ascii="Times New Roman" w:cs="Times New Roman" w:eastAsia="Times New Roman" w:hAnsi="Times New Roman"/>
          <w:b w:val="false"/>
          <w:bCs w:val="false"/>
          <w:i/>
          <w:iCs/>
          <w:vertAlign w:val="subscript"/>
        </w:rPr>
        <w:t xml:space="preserve">p</w:t>
      </w:r>
      <w:r>
        <w:rPr>
          <w:rFonts w:ascii="Times New Roman" w:cs="Times New Roman" w:eastAsia="Times New Roman" w:hAnsi="Times New Roman"/>
          <w:b w:val="false"/>
          <w:bCs w:val="false"/>
          <w:i/>
          <w:iCs/>
        </w:rPr>
        <w:t xml:space="preserve"> = Δ, which holds in the rational benchmark for every value of time v.</w:t>
      </w:r>
    </w:p>
    <w:p>
      <w:pPr>
        <w:spacing w:after="0" w:line="480" w:lineRule="auto"/>
        <w:ind w:left="720" w:right="360"/>
      </w:pPr>
      <w:r>
        <w:rPr>
          <w:rFonts w:ascii="Times New Roman" w:cs="Times New Roman" w:eastAsia="Times New Roman" w:hAnsi="Times New Roman"/>
          <w:b/>
          <w:bCs/>
          <w:i/>
          <w:iCs/>
        </w:rPr>
        <w:t xml:space="preserve">Result 6 (Governance, not competition). </w:t>
      </w:r>
      <w:r>
        <w:rPr>
          <w:rFonts w:ascii="Times New Roman" w:cs="Times New Roman" w:eastAsia="Times New Roman" w:hAnsi="Times New Roman"/>
          <w:b w:val="false"/>
          <w:bCs w:val="false"/>
          <w:i/>
          <w:iCs/>
        </w:rPr>
        <w:t xml:space="preserve">Under developer-led adoption, the equilibrium interface has friction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whether the vendor is a monopolist or faces Bertrand competition; market structure affects the price, not the design. Under organization-led adoption with control of the setting, the equilibrium friction is f</w:t>
      </w:r>
      <w:r>
        <w:rPr>
          <w:rFonts w:ascii="Times New Roman" w:cs="Times New Roman" w:eastAsia="Times New Roman" w:hAnsi="Times New Roman"/>
          <w:b w:val="false"/>
          <w:bCs w:val="false"/>
          <w:i/>
          <w:iCs/>
          <w:vertAlign w:val="subscript"/>
        </w:rPr>
        <w:t xml:space="preserve">O</w:t>
      </w:r>
      <w:r>
        <w:rPr>
          <w:rFonts w:ascii="Times New Roman" w:cs="Times New Roman" w:eastAsia="Times New Roman" w:hAnsi="Times New Roman"/>
          <w:b w:val="false"/>
          <w:bCs w:val="false"/>
          <w:i/>
          <w:iCs/>
        </w:rPr>
        <w:t xml:space="preserve">. Adoption governance therefore affects debt if and only if a wedge binds.</w:t>
      </w:r>
    </w:p>
    <w:p>
      <w:pPr>
        <w:spacing w:after="0" w:line="480" w:lineRule="auto"/>
        <w:ind w:left="720" w:right="360"/>
      </w:pPr>
      <w:r>
        <w:rPr>
          <w:rFonts w:ascii="Times New Roman" w:cs="Times New Roman" w:eastAsia="Times New Roman" w:hAnsi="Times New Roman"/>
          <w:b/>
          <w:bCs/>
          <w:i/>
          <w:iCs/>
        </w:rPr>
        <w:t xml:space="preserve">Result 7 (Shadow AI constraint). </w:t>
      </w:r>
      <w:r>
        <w:rPr>
          <w:rFonts w:ascii="Times New Roman" w:cs="Times New Roman" w:eastAsia="Times New Roman" w:hAnsi="Times New Roman"/>
          <w:b w:val="false"/>
          <w:bCs w:val="false"/>
          <w:i/>
          <w:iCs/>
        </w:rPr>
        <w:t xml:space="preserve">If developers can bypass a sanctioned tool at cost ε, the organization implements f =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 min{f</w:t>
      </w:r>
      <w:r>
        <w:rPr>
          <w:rFonts w:ascii="Times New Roman" w:cs="Times New Roman" w:eastAsia="Times New Roman" w:hAnsi="Times New Roman"/>
          <w:b w:val="false"/>
          <w:bCs w:val="false"/>
          <w:i/>
          <w:iCs/>
          <w:vertAlign w:val="subscript"/>
        </w:rPr>
        <w:t xml:space="preserve">O</w:t>
      </w:r>
      <w:r>
        <w:rPr>
          <w:rFonts w:ascii="Times New Roman" w:cs="Times New Roman" w:eastAsia="Times New Roman" w:hAnsi="Times New Roman"/>
          <w:b w:val="false"/>
          <w:bCs w:val="false"/>
          <w:i/>
          <w:iCs/>
        </w:rPr>
        <w:t xml:space="preserve"> −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(2ε/(vc))</w:t>
      </w:r>
      <w:r>
        <w:rPr>
          <w:rFonts w:ascii="Times New Roman" w:cs="Times New Roman" w:eastAsia="Times New Roman" w:hAnsi="Times New Roman"/>
          <w:b w:val="false"/>
          <w:bCs w:val="false"/>
          <w:i/>
          <w:iCs/>
          <w:vertAlign w:val="superscript"/>
        </w:rPr>
        <w:t xml:space="preserve">1/2</w:t>
      </w:r>
      <w:r>
        <w:rPr>
          <w:rFonts w:ascii="Times New Roman" w:cs="Times New Roman" w:eastAsia="Times New Roman" w:hAnsi="Times New Roman"/>
          <w:b w:val="false"/>
          <w:bCs w:val="false"/>
          <w:i/>
          <w:iCs/>
        </w:rPr>
        <w:t xml:space="preserve">}. The constraint binds, and the organization closes only part of the gap, when f</w:t>
      </w:r>
      <w:r>
        <w:rPr>
          <w:rFonts w:ascii="Times New Roman" w:cs="Times New Roman" w:eastAsia="Times New Roman" w:hAnsi="Times New Roman"/>
          <w:b w:val="false"/>
          <w:bCs w:val="false"/>
          <w:i/>
          <w:iCs/>
          <w:vertAlign w:val="subscript"/>
        </w:rPr>
        <w:t xml:space="preserve">O</w:t>
      </w:r>
      <w:r>
        <w:rPr>
          <w:rFonts w:ascii="Times New Roman" w:cs="Times New Roman" w:eastAsia="Times New Roman" w:hAnsi="Times New Roman"/>
          <w:b w:val="false"/>
          <w:bCs w:val="false"/>
          <w:i/>
          <w:iCs/>
        </w:rPr>
        <w:t xml:space="preserve"> − f</w:t>
      </w:r>
      <w:r>
        <w:rPr>
          <w:rFonts w:ascii="Times New Roman" w:cs="Times New Roman" w:eastAsia="Times New Roman" w:hAnsi="Times New Roman"/>
          <w:b w:val="false"/>
          <w:bCs w:val="false"/>
          <w:i/>
          <w:iCs/>
          <w:vertAlign w:val="subscript"/>
        </w:rPr>
        <w:t xml:space="preserve">D</w:t>
      </w:r>
      <w:r>
        <w:rPr>
          <w:rFonts w:ascii="Times New Roman" w:cs="Times New Roman" w:eastAsia="Times New Roman" w:hAnsi="Times New Roman"/>
          <w:b w:val="false"/>
          <w:bCs w:val="false"/>
          <w:i/>
          <w:iCs/>
        </w:rPr>
        <w:t xml:space="preserve"> exceeds (2ε/(vc))</w:t>
      </w:r>
      <w:r>
        <w:rPr>
          <w:rFonts w:ascii="Times New Roman" w:cs="Times New Roman" w:eastAsia="Times New Roman" w:hAnsi="Times New Roman"/>
          <w:b w:val="false"/>
          <w:bCs w:val="false"/>
          <w:i/>
          <w:iCs/>
          <w:vertAlign w:val="superscript"/>
        </w:rPr>
        <w:t xml:space="preserve">1/2</w:t>
      </w:r>
      <w:r>
        <w:rPr>
          <w:rFonts w:ascii="Times New Roman" w:cs="Times New Roman" w:eastAsia="Times New Roman" w:hAnsi="Times New Roman"/>
          <w:b w:val="false"/>
          <w:bCs w:val="false"/>
          <w:i/>
          <w:iCs/>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vendor’s side of the game follows a familiar logic. When a cost is borne later and perceived dimly, sellers compete on what buyers perceive, as in the shrouded-attribute and self-control results of behavioral industrial organization (DellaVigna &amp; Malmendier, 2004; Gabaix &amp; Laibson, 2006). Developers will not pay for friction, and a vendor that offered more of it would lose them. The extension adds three points on the buyer’s side. First, the remedy is a matter of IT governance rather than market structure. What matters is not who pays for the tool but who controls its configuration, and the prediction that debt is lower where configuration is centrally controlled holds only under the behavioral theory, which adds a row to Table 2. Second, the remedy is bounded by shadow IT: an organization can move friction toward f</w:t>
      </w:r>
      <w:r>
        <w:rPr>
          <w:rFonts w:ascii="Times New Roman" w:cs="Times New Roman" w:eastAsia="Times New Roman" w:hAnsi="Times New Roman"/>
          <w:b w:val="false"/>
          <w:bCs w:val="false"/>
          <w:i w:val="false"/>
          <w:iCs w:val="false"/>
          <w:vertAlign w:val="subscript"/>
        </w:rPr>
        <w:t xml:space="preserve">O</w:t>
      </w:r>
      <w:r>
        <w:rPr>
          <w:rFonts w:ascii="Times New Roman" w:cs="Times New Roman" w:eastAsia="Times New Roman" w:hAnsi="Times New Roman"/>
          <w:b w:val="false"/>
          <w:bCs w:val="false"/>
          <w:i w:val="false"/>
          <w:iCs w:val="false"/>
        </w:rPr>
        <w:t xml:space="preserve"> only as far as developers are willing to comply, so enforcement against unsanctioned tools and choice architecture are complements. Third, as Figure 3 shows, the organization’s optimal friction is not monotone in the wedges. The closed forms rely on a quadratic friction cost and a constant rework cost. The sign result, f</w:t>
      </w:r>
      <w:r>
        <w:rPr>
          <w:rFonts w:ascii="Times New Roman" w:cs="Times New Roman" w:eastAsia="Times New Roman" w:hAnsi="Times New Roman"/>
          <w:b w:val="false"/>
          <w:bCs w:val="false"/>
          <w:i w:val="false"/>
          <w:iCs w:val="false"/>
          <w:vertAlign w:val="subscript"/>
        </w:rPr>
        <w:t xml:space="preserve">O</w:t>
      </w:r>
      <w:r>
        <w:rPr>
          <w:rFonts w:ascii="Times New Roman" w:cs="Times New Roman" w:eastAsia="Times New Roman" w:hAnsi="Times New Roman"/>
          <w:b w:val="false"/>
          <w:bCs w:val="false"/>
          <w:i w:val="false"/>
          <w:iCs w:val="false"/>
        </w:rPr>
        <w:t xml:space="preserve"> ≥ f</w:t>
      </w:r>
      <w:r>
        <w:rPr>
          <w:rFonts w:ascii="Times New Roman" w:cs="Times New Roman" w:eastAsia="Times New Roman" w:hAnsi="Times New Roman"/>
          <w:b w:val="false"/>
          <w:bCs w:val="false"/>
          <w:i w:val="false"/>
          <w:iCs w:val="false"/>
          <w:vertAlign w:val="subscript"/>
        </w:rPr>
        <w:t xml:space="preserve">D</w:t>
      </w:r>
      <w:r>
        <w:rPr>
          <w:rFonts w:ascii="Times New Roman" w:cs="Times New Roman" w:eastAsia="Times New Roman" w:hAnsi="Times New Roman"/>
          <w:b w:val="false"/>
          <w:bCs w:val="false"/>
          <w:i w:val="false"/>
          <w:iCs w:val="false"/>
        </w:rPr>
        <w:t xml:space="preserve"> with equality if and only if no wedge binds, depends on the gap between Δ and Δ</w:t>
      </w:r>
      <w:r>
        <w:rPr>
          <w:rFonts w:ascii="Times New Roman" w:cs="Times New Roman" w:eastAsia="Times New Roman" w:hAnsi="Times New Roman"/>
          <w:b w:val="false"/>
          <w:bCs w:val="false"/>
          <w:i w:val="false"/>
          <w:iCs w:val="false"/>
          <w:vertAlign w:val="subscript"/>
        </w:rPr>
        <w:t xml:space="preserve">p</w:t>
      </w:r>
      <w:r>
        <w:rPr>
          <w:rFonts w:ascii="Times New Roman" w:cs="Times New Roman" w:eastAsia="Times New Roman" w:hAnsi="Times New Roman"/>
          <w:b w:val="false"/>
          <w:bCs w:val="false"/>
          <w:i w:val="false"/>
          <w:iCs w:val="false"/>
        </w:rPr>
        <w:t xml:space="preserve"> rather than on those functional forms, and we conjecture that it survives other convex friction costs, other default-share functions, other distributions of inspection time, and heterogeneous rework costs; we have not established the general case here.</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Friction pays by moving artifacts from default acceptance into deliberation, but deliberation yields inspection only in proportion to perceived risk. When the wedges are strong, developers who deliberate still inspect little, and friction buys little. Friction is therefore a complement to debiasing rather than a substitute for it, and the conflict between developers and their organization is sharpest at intermediate wedges. With β = 0.5, φ = 0.6, and λ = 1.2, developers prefer friction of 0.05 and the organization 0.49; with a bypass cost of ε = 0.005, the organization can implement 0.31. Under rational acceleration the two preferences coincide at every value of time: doubling v lowers the friction both parties prefer from 0.71 to 0.10 but opens no gap.</w:t>
      </w:r>
    </w:p>
    <w:p>
      <w:pPr>
        <w:keepNext/>
        <w:spacing w:after="0" w:before="120"/>
        <w:jc w:val="center"/>
      </w:pPr>
      <w:r>
        <w:drawing>
          <wp:inline distT="0" distB="0" distL="0" distR="0">
            <wp:extent cx="5124450" cy="3000375"/>
            <wp:effectExtent t="0" r="0" b="0" l="0"/>
            <wp:docPr id="1" name="fig_2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000375"/>
                    </a:xfrm>
                    <a:prstGeom prst="rect">
                      <a:avLst/>
                    </a:prstGeom>
                  </pic:spPr>
                </pic:pic>
              </a:graphicData>
            </a:graphic>
          </wp:inline>
        </w:drawing>
      </w:r>
    </w:p>
    <w:p>
      <w:pPr>
        <w:spacing w:after="240" w:before="120" w:line="276"/>
      </w:pPr>
      <w:r>
        <w:rPr>
          <w:rFonts w:ascii="Times New Roman" w:cs="Times New Roman" w:eastAsia="Times New Roman" w:hAnsi="Times New Roman"/>
          <w:b/>
          <w:bCs/>
          <w:i w:val="false"/>
          <w:iCs w:val="false"/>
        </w:rPr>
        <w:t xml:space="preserve">Figure 3. Developer-Preferred, Organization-Optimal, and Implementable Friction as the Wedges Weaken (q = 0.5, R̄ = 2, r = 0.4, K = 0.6, α</w:t>
      </w:r>
      <w:r>
        <w:rPr>
          <w:rFonts w:ascii="Times New Roman" w:cs="Times New Roman" w:eastAsia="Times New Roman" w:hAnsi="Times New Roman"/>
          <w:b/>
          <w:bCs/>
          <w:i w:val="false"/>
          <w:iCs w:val="false"/>
          <w:vertAlign w:val="subscript"/>
        </w:rPr>
        <w:t xml:space="preserve">0</w:t>
      </w:r>
      <w:r>
        <w:rPr>
          <w:rFonts w:ascii="Times New Roman" w:cs="Times New Roman" w:eastAsia="Times New Roman" w:hAnsi="Times New Roman"/>
          <w:b/>
          <w:bCs/>
          <w:i w:val="false"/>
          <w:iCs w:val="false"/>
        </w:rPr>
        <w:t xml:space="preserve"> = 0.8, c = 0.15, ε = 0.005; φ and λ move linearly with β from 0.6 and 1.2 at β = 0.3 to 1 and 1 at β = 1). Horizontal axis: wedge strength (β; φ and λ move with β, from strong at left to none at right). Vertical axis: interface friction f.</w:t>
      </w:r>
    </w:p>
    <w:p>
      <w:pPr>
        <w:pStyle w:val="Heading2"/>
        <w:keepNext/>
        <w:spacing w:after="0" w:before="120" w:line="480" w:lineRule="auto"/>
      </w:pPr>
      <w:r>
        <w:rPr>
          <w:rFonts w:ascii="Times New Roman" w:cs="Times New Roman" w:eastAsia="Times New Roman" w:hAnsi="Times New Roman"/>
          <w:b/>
          <w:bCs/>
          <w:i/>
          <w:iCs/>
          <w:sz w:val="24"/>
          <w:szCs w:val="24"/>
        </w:rPr>
        <w:t xml:space="preserve">4.7 Learning and Self-Confirming Complacency</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perception wedge need not be permanent, because developers can learn the defect rate. Let the perceived defect rate q̂ = φq evolve while the noticing probability stays fixed, and suppose that developers learn from inspected artifacts, which are an unbiased sample, and from rework they attribute to generated code, which happens with probability θ per instance of undetected debt. With learning speed κ, q̂′ = q̂ + κ[s(q̂) + θ(1 − s(q̂))](q − q̂). Suppose inspection takes at least k</w:t>
      </w:r>
      <w:r>
        <w:rPr>
          <w:rFonts w:ascii="Times New Roman" w:cs="Times New Roman" w:eastAsia="Times New Roman" w:hAnsi="Times New Roman"/>
          <w:b w:val="false"/>
          <w:bCs w:val="false"/>
          <w:i w:val="false"/>
          <w:iCs w:val="false"/>
          <w:vertAlign w:val="subscript"/>
        </w:rPr>
        <w:t xml:space="preserve">min</w:t>
      </w:r>
      <w:r>
        <w:rPr>
          <w:rFonts w:ascii="Times New Roman" w:cs="Times New Roman" w:eastAsia="Times New Roman" w:hAnsi="Times New Roman"/>
          <w:b w:val="false"/>
          <w:bCs w:val="false"/>
          <w:i w:val="false"/>
          <w:iCs w:val="false"/>
        </w:rPr>
        <w:t xml:space="preserve"> &gt; 0 units of time, so that s(q̂) = 0 whenever Δ</w:t>
      </w:r>
      <w:r>
        <w:rPr>
          <w:rFonts w:ascii="Times New Roman" w:cs="Times New Roman" w:eastAsia="Times New Roman" w:hAnsi="Times New Roman"/>
          <w:b w:val="false"/>
          <w:bCs w:val="false"/>
          <w:i w:val="false"/>
          <w:iCs w:val="false"/>
          <w:vertAlign w:val="subscript"/>
        </w:rPr>
        <w:t xml:space="preserve">p</w:t>
      </w:r>
      <w:r>
        <w:rPr>
          <w:rFonts w:ascii="Times New Roman" w:cs="Times New Roman" w:eastAsia="Times New Roman" w:hAnsi="Times New Roman"/>
          <w:b w:val="false"/>
          <w:bCs w:val="false"/>
          <w:i w:val="false"/>
          <w:iCs w:val="false"/>
        </w:rPr>
        <w:t xml:space="preserve">(q̂) ≤ vk</w:t>
      </w:r>
      <w:r>
        <w:rPr>
          <w:rFonts w:ascii="Times New Roman" w:cs="Times New Roman" w:eastAsia="Times New Roman" w:hAnsi="Times New Roman"/>
          <w:b w:val="false"/>
          <w:bCs w:val="false"/>
          <w:i w:val="false"/>
          <w:iCs w:val="false"/>
          <w:vertAlign w:val="subscript"/>
        </w:rPr>
        <w:t xml:space="preserve">min</w:t>
      </w:r>
      <w:r>
        <w:rPr>
          <w:rFonts w:ascii="Times New Roman" w:cs="Times New Roman" w:eastAsia="Times New Roman" w:hAnsi="Times New Roman"/>
          <w:b w:val="false"/>
          <w:bCs w:val="false"/>
          <w:i w:val="false"/>
          <w:iCs w:val="false"/>
        </w:rPr>
        <w:t xml:space="preserve">, which defines a threshold belief q̂</w:t>
      </w:r>
      <w:r>
        <w:rPr>
          <w:rFonts w:ascii="Times New Roman" w:cs="Times New Roman" w:eastAsia="Times New Roman" w:hAnsi="Times New Roman"/>
          <w:b w:val="false"/>
          <w:bCs w:val="false"/>
          <w:i w:val="false"/>
          <w:iCs w:val="false"/>
          <w:vertAlign w:val="subscript"/>
        </w:rPr>
        <w:t xml:space="preserve">c</w:t>
      </w:r>
      <w:r>
        <w:rPr>
          <w:rFonts w:ascii="Times New Roman" w:cs="Times New Roman" w:eastAsia="Times New Roman" w:hAnsi="Times New Roman"/>
          <w:b w:val="false"/>
          <w:bCs w:val="false"/>
          <w:i w:val="false"/>
          <w:iCs w:val="false"/>
        </w:rPr>
        <w:t xml:space="preserve"> &lt; q.</w:t>
      </w:r>
    </w:p>
    <w:p>
      <w:pPr>
        <w:spacing w:after="0" w:line="480" w:lineRule="auto"/>
        <w:ind w:left="720" w:right="360"/>
      </w:pPr>
      <w:r>
        <w:rPr>
          <w:rFonts w:ascii="Times New Roman" w:cs="Times New Roman" w:eastAsia="Times New Roman" w:hAnsi="Times New Roman"/>
          <w:b/>
          <w:bCs/>
          <w:i/>
          <w:iCs/>
        </w:rPr>
        <w:t xml:space="preserve">Result 8 (Self-confirming complacency). </w:t>
      </w:r>
      <w:r>
        <w:rPr>
          <w:rFonts w:ascii="Times New Roman" w:cs="Times New Roman" w:eastAsia="Times New Roman" w:hAnsi="Times New Roman"/>
          <w:b w:val="false"/>
          <w:bCs w:val="false"/>
          <w:i/>
          <w:iCs/>
        </w:rPr>
        <w:t xml:space="preserve">(a) If θ &gt; 0 or q̂</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&gt; q̂</w:t>
      </w:r>
      <w:r>
        <w:rPr>
          <w:rFonts w:ascii="Times New Roman" w:cs="Times New Roman" w:eastAsia="Times New Roman" w:hAnsi="Times New Roman"/>
          <w:b w:val="false"/>
          <w:bCs w:val="false"/>
          <w:i/>
          <w:iCs/>
          <w:vertAlign w:val="subscript"/>
        </w:rPr>
        <w:t xml:space="preserve">c</w:t>
      </w:r>
      <w:r>
        <w:rPr>
          <w:rFonts w:ascii="Times New Roman" w:cs="Times New Roman" w:eastAsia="Times New Roman" w:hAnsi="Times New Roman"/>
          <w:b w:val="false"/>
          <w:bCs w:val="false"/>
          <w:i/>
          <w:iCs/>
        </w:rPr>
        <w:t xml:space="preserve">, the perceived defect rate converges to q and the perception wedge vanishes. (b) If θ = 0 and q̂</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 q̂</w:t>
      </w:r>
      <w:r>
        <w:rPr>
          <w:rFonts w:ascii="Times New Roman" w:cs="Times New Roman" w:eastAsia="Times New Roman" w:hAnsi="Times New Roman"/>
          <w:b w:val="false"/>
          <w:bCs w:val="false"/>
          <w:i/>
          <w:iCs/>
          <w:vertAlign w:val="subscript"/>
        </w:rPr>
        <w:t xml:space="preserve">c</w:t>
      </w:r>
      <w:r>
        <w:rPr>
          <w:rFonts w:ascii="Times New Roman" w:cs="Times New Roman" w:eastAsia="Times New Roman" w:hAnsi="Times New Roman"/>
          <w:b w:val="false"/>
          <w:bCs w:val="false"/>
          <w:i/>
          <w:iCs/>
        </w:rPr>
        <w:t xml:space="preserve">, the belief is self-confirming: developers do not inspect, observe no evidence, and never revise. (c) In case (b), a mandate that requires inspection for T periods removes the wedge permanently if and only if (1 − κ)</w:t>
      </w:r>
      <w:r>
        <w:rPr>
          <w:rFonts w:ascii="Times New Roman" w:cs="Times New Roman" w:eastAsia="Times New Roman" w:hAnsi="Times New Roman"/>
          <w:b w:val="false"/>
          <w:bCs w:val="false"/>
          <w:i/>
          <w:iCs/>
          <w:vertAlign w:val="superscript"/>
        </w:rPr>
        <w:t xml:space="preserve">T</w:t>
      </w:r>
      <w:r>
        <w:rPr>
          <w:rFonts w:ascii="Times New Roman" w:cs="Times New Roman" w:eastAsia="Times New Roman" w:hAnsi="Times New Roman"/>
          <w:b w:val="false"/>
          <w:bCs w:val="false"/>
          <w:i/>
          <w:iCs/>
        </w:rPr>
        <w:t xml:space="preserve">(q − q̂</w:t>
      </w:r>
      <w:r>
        <w:rPr>
          <w:rFonts w:ascii="Times New Roman" w:cs="Times New Roman" w:eastAsia="Times New Roman" w:hAnsi="Times New Roman"/>
          <w:b w:val="false"/>
          <w:bCs w:val="false"/>
          <w:i/>
          <w:iCs/>
          <w:vertAlign w:val="subscript"/>
        </w:rPr>
        <w:t xml:space="preserve">0</w:t>
      </w:r>
      <w:r>
        <w:rPr>
          <w:rFonts w:ascii="Times New Roman" w:cs="Times New Roman" w:eastAsia="Times New Roman" w:hAnsi="Times New Roman"/>
          <w:b w:val="false"/>
          <w:bCs w:val="false"/>
          <w:i/>
          <w:iCs/>
        </w:rPr>
        <w:t xml:space="preserve">) &lt; q − q̂</w:t>
      </w:r>
      <w:r>
        <w:rPr>
          <w:rFonts w:ascii="Times New Roman" w:cs="Times New Roman" w:eastAsia="Times New Roman" w:hAnsi="Times New Roman"/>
          <w:b w:val="false"/>
          <w:bCs w:val="false"/>
          <w:i/>
          <w:iCs/>
          <w:vertAlign w:val="subscript"/>
        </w:rPr>
        <w:t xml:space="preserve">c</w:t>
      </w:r>
      <w:r>
        <w:rPr>
          <w:rFonts w:ascii="Times New Roman" w:cs="Times New Roman" w:eastAsia="Times New Roman" w:hAnsi="Times New Roman"/>
          <w:b w:val="false"/>
          <w:bCs w:val="false"/>
          <w:i/>
          <w:iCs/>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Learning dissolves the perception wedge only if evidence reaches the developer, and evidence arrives mainly through the inspection that the wedge suppresses. Attribution of rework to generated code, which weak ownership makes less likely, is the other channel. Result 8 gives friction and mandates a dynamic value that Result 5 omits: by inducing inspection, they produce the evidence that corrects perception, so a temporary intervention can have permanent effects. In Figure 4, a single period of mandatory inspection moves a developer from a self-confirming belief of 0.05 onto a path toward the true defect rate of 0.5, and attributed rework does the same more slowly. The result also yields a test. Under a perception wedge, the effects of a temporary inspection mandate should persist after it is lifted; under rational acceleration, they should end with it.</w:t>
      </w:r>
    </w:p>
    <w:p>
      <w:pPr>
        <w:keepNext/>
        <w:spacing w:after="0" w:before="120"/>
        <w:jc w:val="center"/>
      </w:pPr>
      <w:r>
        <w:drawing>
          <wp:inline distT="0" distB="0" distL="0" distR="0">
            <wp:extent cx="5124450" cy="2905125"/>
            <wp:effectExtent t="0" r="0" b="0" l="0"/>
            <wp:docPr id="1" name="fig_26.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905125"/>
                    </a:xfrm>
                    <a:prstGeom prst="rect">
                      <a:avLst/>
                    </a:prstGeom>
                  </pic:spPr>
                </pic:pic>
              </a:graphicData>
            </a:graphic>
          </wp:inline>
        </w:drawing>
      </w:r>
    </w:p>
    <w:p>
      <w:pPr>
        <w:spacing w:after="240" w:before="120" w:line="276"/>
      </w:pPr>
      <w:r>
        <w:rPr>
          <w:rFonts w:ascii="Times New Roman" w:cs="Times New Roman" w:eastAsia="Times New Roman" w:hAnsi="Times New Roman"/>
          <w:b/>
          <w:bCs/>
          <w:i w:val="false"/>
          <w:iCs w:val="false"/>
        </w:rPr>
        <w:t xml:space="preserve">Figure 4. Learning About the Defect Rate: Self-Confirming Complacency and a Temporary Mandate (q = 0.5, κ = 0.1, k</w:t>
      </w:r>
      <w:r>
        <w:rPr>
          <w:rFonts w:ascii="Times New Roman" w:cs="Times New Roman" w:eastAsia="Times New Roman" w:hAnsi="Times New Roman"/>
          <w:b/>
          <w:bCs/>
          <w:i w:val="false"/>
          <w:iCs w:val="false"/>
          <w:vertAlign w:val="subscript"/>
        </w:rPr>
        <w:t xml:space="preserve">min</w:t>
      </w:r>
      <w:r>
        <w:rPr>
          <w:rFonts w:ascii="Times New Roman" w:cs="Times New Roman" w:eastAsia="Times New Roman" w:hAnsi="Times New Roman"/>
          <w:b/>
          <w:bCs/>
          <w:i w:val="false"/>
          <w:iCs w:val="false"/>
        </w:rPr>
        <w:t xml:space="preserve"> = 0.05, K = 0.6, B = 1, η = 0.5, noticing wedge 0.6). Vertical axis: perceived defect rate q̂; horizontal axis: period.</w:t>
      </w:r>
    </w:p>
    <w:p>
      <w:pPr>
        <w:pStyle w:val="Heading2"/>
        <w:keepNext/>
        <w:spacing w:after="0" w:before="120" w:line="480" w:lineRule="auto"/>
      </w:pPr>
      <w:r>
        <w:rPr>
          <w:rFonts w:ascii="Times New Roman" w:cs="Times New Roman" w:eastAsia="Times New Roman" w:hAnsi="Times New Roman"/>
          <w:b/>
          <w:bCs/>
          <w:i/>
          <w:iCs/>
          <w:sz w:val="24"/>
          <w:szCs w:val="24"/>
        </w:rPr>
        <w:t xml:space="preserve">4.8 From the Model to the Propositions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model formalizes the frame shift at the level of a single decision. Present bias generates P1 and P2, the perception wedge generates P3, P4, and P7, the default share generates P8, and loss aversion generates the retention component of P5. Results 1 and 2 ground the contrast with rational acceleration in Table 2, and Results 3 to 8 add predictions that the verbal theory does not make. The ownership and incentive mechanisms (P6 and P9 to P11) are not formalized; extending the model to teams, where ownership, moral hazard, rebound, and metric targeting operate, is left for future work.</w:t>
      </w:r>
    </w:p>
    <w:p>
      <w:pPr>
        <w:pStyle w:val="Heading1"/>
        <w:keepNext/>
        <w:spacing w:after="0" w:before="240" w:line="480" w:lineRule="auto"/>
      </w:pPr>
      <w:r>
        <w:rPr>
          <w:rFonts w:ascii="Times New Roman" w:cs="Times New Roman" w:eastAsia="Times New Roman" w:hAnsi="Times New Roman"/>
          <w:b/>
          <w:bCs/>
          <w:sz w:val="24"/>
          <w:szCs w:val="24"/>
        </w:rPr>
        <w:t xml:space="preserve">5. Empirical Implications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contribution of this paper is theoretical, but the theory and the model are built to be tested. This section states what evidence would bear on them and what would count against them.</w:t>
      </w:r>
    </w:p>
    <w:p>
      <w:pPr>
        <w:pStyle w:val="Heading2"/>
        <w:keepNext/>
        <w:spacing w:after="0" w:before="120" w:line="480" w:lineRule="auto"/>
      </w:pPr>
      <w:r>
        <w:rPr>
          <w:rFonts w:ascii="Times New Roman" w:cs="Times New Roman" w:eastAsia="Times New Roman" w:hAnsi="Times New Roman"/>
          <w:b/>
          <w:bCs/>
          <w:i/>
          <w:iCs/>
          <w:sz w:val="24"/>
          <w:szCs w:val="24"/>
        </w:rPr>
        <w:t xml:space="preserve">5.1 Archival Evidence (Study 1)</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Public repositories in which LLM authorship can be identified, whether through co-author trailers, agent-opened pull requests, or assistant configuration files, support a staggered difference-in-differences comparison of adopting and non-adopting repositories, as well as change-level comparisons within repositories and reviewers. The model dictates the measures. Aggregate debt is reported but cannot adjudicate between the accounts (Result 2a). The adjudicating statistics are the self-admission rate of a change conditional on the static-analysis warnings it introduces (P4), the substantive review a change receives with reviewer fixed effects (P7), and the net-addition bias in single-contributor modules (P5). Refactoring is measured as commits per active contributor and not as a share of changed lines, which rebound would contaminate (P1a), and duplication that grows with contributor count identifies rebound rather than loss aversion (P10). The same data test the dynamic results: after adoption, the cross-repository distribution of debt should become bimodal, and repositories that enter adoption with more debt should be more likely to tip (Result 4). Within repositories that switch model generations, debt per LLM-assisted change should not fall monotonically with model reliability (Result 3).</w:t>
      </w:r>
    </w:p>
    <w:p>
      <w:pPr>
        <w:pStyle w:val="Heading2"/>
        <w:keepNext/>
        <w:spacing w:after="0" w:before="120" w:line="480" w:lineRule="auto"/>
      </w:pPr>
      <w:r>
        <w:rPr>
          <w:rFonts w:ascii="Times New Roman" w:cs="Times New Roman" w:eastAsia="Times New Roman" w:hAnsi="Times New Roman"/>
          <w:b/>
          <w:bCs/>
          <w:i/>
          <w:iCs/>
          <w:sz w:val="24"/>
          <w:szCs w:val="24"/>
        </w:rPr>
        <w:t xml:space="preserve">5.2 Experimental Evidence (Study 2)</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Two statistics of Result 2 cannot be observed in archives because the cost of refactoring is not recorded there. A preregistered within-subjects experiment with professional developers can measure them. In a refactoring module, each participant makes eight decisions in a 2 × 2 design that crosses possession (a working generated artifact already in hand versus a choice made before any code exists) with the stated cost of refactoring, and may commit to refactor in a second session one week later. The possession effect at equal cost identifies β &lt; 1 or λ &gt; 1, and the lapse of first-session commitments identifies β &lt; 1 alone (P1b, Result 2). A simulation-based power analysis indicates that 160 participants provide power of 0.94 to detect a 10-percentage-point possession effect. In a review module, crossing an authorship label with actual authorship and seeded maintainability defects separates the appearance wedge from label-driven automation bias (P3, P7), and varying the keystroke cost of rejecting inline suggestions tests the default effect (P8). The review module uses an authorship cover story and ends with a debriefing.</w:t>
      </w:r>
    </w:p>
    <w:p>
      <w:pPr>
        <w:pStyle w:val="Heading2"/>
        <w:keepNext/>
        <w:spacing w:after="0" w:before="120" w:line="480" w:lineRule="auto"/>
      </w:pPr>
      <w:r>
        <w:rPr>
          <w:rFonts w:ascii="Times New Roman" w:cs="Times New Roman" w:eastAsia="Times New Roman" w:hAnsi="Times New Roman"/>
          <w:b/>
          <w:bCs/>
          <w:i/>
          <w:iCs/>
          <w:sz w:val="24"/>
          <w:szCs w:val="24"/>
        </w:rPr>
        <w:t xml:space="preserve">5.3 Field and Governance Evidence (Study 3)</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organizational results require variation across firms. A multi-site field study of engineering organizations would test Results 6 and 7 if the organizations differ in how they measure developers (P11), how strongly they assign module ownership (P6, P9), whether they control the configuration of AI assistants centrally, and how easily developers can use unsanctioned tools. Debt should be lower under central configuration only if the wedges operate, and the difference should shrink where bypass is easy. Organizations that introduce and later lift inspection mandates provide a test of Result 8: under a perception wedge, a temporary mandate should have effects that persist after it ends.</w:t>
      </w:r>
    </w:p>
    <w:p>
      <w:pPr>
        <w:pStyle w:val="Heading2"/>
        <w:keepNext/>
        <w:spacing w:after="0" w:before="120" w:line="480" w:lineRule="auto"/>
      </w:pPr>
      <w:r>
        <w:rPr>
          <w:rFonts w:ascii="Times New Roman" w:cs="Times New Roman" w:eastAsia="Times New Roman" w:hAnsi="Times New Roman"/>
          <w:b/>
          <w:bCs/>
          <w:i/>
          <w:iCs/>
          <w:sz w:val="24"/>
          <w:szCs w:val="24"/>
        </w:rPr>
        <w:t xml:space="preserve">5.4 What Would Count Against the Theory</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theory can be falsified in its distinctive claims, though not in its aggregate prediction. If debt rises after adoption while the self-admitted share of debt, the possession effect, and the lapse of planned refactoring are all indistinguishable from their rational-benchmark values, rational acceleration explains the evidence and the frame shift is not needed. If debt is no lower where configuration is centrally controlled, Result 6 fails, and if the effects of temporary mandates end with them, Result 8 fails. Early descriptive evidence on review points both ways. In popular repositories, pull requests authored by coding agents are merged less often than human ones, yet those from one agent are accepted roughly ten times faster, which the authors read as a possible sign of shallow review (Li et al., 2025). If review of LLM-assisted changes proves more rather than less intensive once task type and size are held constant, the appearance wedge operates, if at all, through authors rather than reviewers, and P7 fails while P4 may still hold.</w:t>
      </w:r>
    </w:p>
    <w:p>
      <w:pPr>
        <w:pStyle w:val="Heading1"/>
        <w:keepNext/>
        <w:spacing w:after="0" w:before="240" w:line="480" w:lineRule="auto"/>
      </w:pPr>
      <w:r>
        <w:rPr>
          <w:rFonts w:ascii="Times New Roman" w:cs="Times New Roman" w:eastAsia="Times New Roman" w:hAnsi="Times New Roman"/>
          <w:b/>
          <w:bCs/>
          <w:sz w:val="24"/>
          <w:szCs w:val="24"/>
        </w:rPr>
        <w:t xml:space="preserve">6. Discussion</w:t>
      </w:r>
    </w:p>
    <w:p>
      <w:pPr>
        <w:pStyle w:val="Heading2"/>
        <w:keepNext/>
        <w:spacing w:after="0" w:before="120" w:line="480" w:lineRule="auto"/>
      </w:pPr>
      <w:r>
        <w:rPr>
          <w:rFonts w:ascii="Times New Roman" w:cs="Times New Roman" w:eastAsia="Times New Roman" w:hAnsi="Times New Roman"/>
          <w:b/>
          <w:bCs/>
          <w:i/>
          <w:iCs/>
          <w:sz w:val="24"/>
          <w:szCs w:val="24"/>
        </w:rPr>
        <w:t xml:space="preserve">6.1 Theoretical Contributions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first contribution is to explain an anomaly without assuming it away. A rational account can recover rising debt through the value of speed and the rebound effect, and we take it seriously as a rival. What it cannot produce is the form the debt takes under our theory: unrecorded, under-reviewed, retained, and unrepaid despite plans. The formal model makes the distinction precise by showing that aggregate debt is observationally equivalent across the two accounts and by identifying the statistics that are not. The theory also reclassifies much LLM-era debt from deliberate to inadvertent. Prior taxonomies attribute inadvertent debt to ignorance, whereas the fluency mechanism locates it in judgment that the artifact’s surface suppressed, which calls for different remedies.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Second, the paper connects the software engineering literature on technical debt to IS research on human–automation interaction, including automation bias (Goddard et al., 2012) and algorithm aversion and appreciation (Dietvorst et al., 2015; Logg et al., 2019). Technical debt is a durable, measurable trace of thousands of human–AI micro-decisions and can be studied with an archival precision that survey measures of over-reliance cannot match. The strategic extension adds a link to research on IT governance and shadow IT (Haag &amp; Eckhardt, 2017): the debt consequences of generative AI depend on who controls the configuration of the tools, and the reach of any organizational remedy is bounded by how easily developers can bypass it.</w:t>
      </w:r>
    </w:p>
    <w:p>
      <w:pPr>
        <w:pStyle w:val="Heading2"/>
        <w:keepNext/>
        <w:spacing w:after="0" w:before="120" w:line="480" w:lineRule="auto"/>
      </w:pPr>
      <w:r>
        <w:rPr>
          <w:rFonts w:ascii="Times New Roman" w:cs="Times New Roman" w:eastAsia="Times New Roman" w:hAnsi="Times New Roman"/>
          <w:b/>
          <w:bCs/>
          <w:i/>
          <w:iCs/>
          <w:sz w:val="24"/>
          <w:szCs w:val="24"/>
        </w:rPr>
        <w:t xml:space="preserve">6.2 Implications for Practice</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prescriptions of the rational model, such as debt registers, interest estimates, and repayment sprints, assume that the debt is visible and will be repaid when the numbers justify it. Our mechanisms suggest that they will underperform, because the debt is not recorded (P4) and repayment is deferred (P1, P2). Choice-architecture interventions target the mechanisms directly. Review defaults that set a floor on review time per changed line and require reviewers to name reusable code counter automation bias and duplication (P7, P10). Reporting net rather than added lines and surfacing unreferenced functions make retention an active choice (P5). Owner sign-off on cross-boundary changes, and routing defects to the authors of the changes, restore ownership and internalize moral hazard (P6, P9). Interfaces that present large suggestions as diffs to be reviewed counter default acceptance (P8), and pairing throughput metrics with maintainability metrics at the team level addresses metric targeting (P11). The model adds two prescriptions. Organizations should control assistant configuration centrally and enforce it against unsanctioned tools (Results 6 and 7), and where developers perceive little risk in generated code, a temporary inspection mandate can have lasting effects (Result 8). Each intervention is cheap relative to a refactoring program and can be tested as a moderator in Study 3.</w:t>
      </w:r>
    </w:p>
    <w:p>
      <w:pPr>
        <w:pStyle w:val="Heading2"/>
        <w:keepNext/>
        <w:spacing w:after="0" w:before="120" w:line="480" w:lineRule="auto"/>
      </w:pPr>
      <w:r>
        <w:rPr>
          <w:rFonts w:ascii="Times New Roman" w:cs="Times New Roman" w:eastAsia="Times New Roman" w:hAnsi="Times New Roman"/>
          <w:b/>
          <w:bCs/>
          <w:i/>
          <w:iCs/>
          <w:sz w:val="24"/>
          <w:szCs w:val="24"/>
        </w:rPr>
        <w:t xml:space="preserve">6.3 Limitations</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The theory and model are developed here rather than tested; the propositions and results await the evidence that the design in Section 5 would produce. The formal model is deliberately minimal. Tasks are independent, inspection detects defects perfectly, and the debt-trap result relies on a particular form of interest on debt, so its results are statements about mechanisms and not calibrated magnitudes. The strategic extensions abstract from competition among the organizations that use the tools, and they model learning only about the defect rate, not about the heuristic component of fluency, which may resist statistical evidence. The ownership and incentive mechanisms, and with them Propositions 6 and 9 to 11, are stated verbally and are not formalized, and we have not verified by simulation that the proposed measures can separate the mechanisms and the two accounts. Several measurement challenges also remain unresolved. AI-authorship labels are noisy and probably understate usage, which biases Study 1 estimates toward zero. Static-analysis measures of debt are proxies that may not track the debt developers experience. The experiment’s cover story may not fully reproduce field conditions in which reviewers know which tools their colleagues use. Finally, the theory is silent on model capability. A sufficiently capable model might produce code whose surface fluency is matched by its structure, and the fluency mechanism would then become harmless. The evidence to date, which finds structural degradation increasing with model capability, suggests that this point has not been reached, but the theory should be understood as conditional on the current gap between apparent and actual quality.</w:t>
      </w:r>
    </w:p>
    <w:p>
      <w:pPr>
        <w:pStyle w:val="Heading2"/>
        <w:keepNext/>
        <w:spacing w:after="0" w:before="120" w:line="480" w:lineRule="auto"/>
      </w:pPr>
      <w:r>
        <w:rPr>
          <w:rFonts w:ascii="Times New Roman" w:cs="Times New Roman" w:eastAsia="Times New Roman" w:hAnsi="Times New Roman"/>
          <w:b/>
          <w:bCs/>
          <w:i/>
          <w:iCs/>
          <w:sz w:val="24"/>
          <w:szCs w:val="24"/>
        </w:rPr>
        <w:t xml:space="preserve">6.4 Future Research</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Three extensions suggest themselves. First, the theory could be applied to other generative-AI artifacts, such as documentation, infrastructure configuration, and analytics notebooks, where the same mechanisms plausibly operate but the debt has not been named. Second, the propositions could be tested at the level of the individual developer over time, asking whether biases attenuate with experience or, as some automation-bias research suggests, intensify as trust accumulates. Third, the choice-architecture interventions in Section 6.2 could be studied as field experiments, which would provide both a test of the mechanisms and direct evidence on remedies. Extending the formal model to teams would also allow the incentive mechanisms to be analyzed jointly with the behavioral wedges.</w:t>
      </w:r>
    </w:p>
    <w:p>
      <w:pPr>
        <w:pStyle w:val="Heading1"/>
        <w:keepNext/>
        <w:spacing w:after="0" w:before="240" w:line="480" w:lineRule="auto"/>
      </w:pPr>
      <w:r>
        <w:rPr>
          <w:rFonts w:ascii="Times New Roman" w:cs="Times New Roman" w:eastAsia="Times New Roman" w:hAnsi="Times New Roman"/>
          <w:b/>
          <w:bCs/>
          <w:sz w:val="24"/>
          <w:szCs w:val="24"/>
        </w:rPr>
        <w:t xml:space="preserve">7. Conclusion</w:t>
      </w:r>
    </w:p>
    <w:p>
      <w:pPr>
        <w:spacing w:after="0" w:before="0" w:line="480" w:lineRule="auto"/>
        <w:ind w:firstLine="720"/>
        <w:jc w:val="left"/>
      </w:pPr>
      <w:r>
        <w:rPr>
          <w:rFonts w:ascii="Times New Roman" w:cs="Times New Roman" w:eastAsia="Times New Roman" w:hAnsi="Times New Roman"/>
          <w:b w:val="false"/>
          <w:bCs w:val="false"/>
          <w:i w:val="false"/>
          <w:iCs w:val="false"/>
        </w:rPr>
        <w:t xml:space="preserve">LLM coding assistants have made code cheap to produce, and the first evidence suggests that they have made systems more expensive to maintain. We have argued that the explanation lies in how LLM assistance restructures the decision. It places a working artifact in the developer’s hand before the quality decision is made, dresses shortcuts as finished work, makes acceptance the default and deletion a loss, and weakens the ownership that effort would confer. A rational response to cheaper code can also produce more debt. What distinguishes our account is that the debt it predicts is unrecorded, under-reviewed, and unrepaid, and the statistics derived here can tell the two apart. The model adds two warnings: better models do not guarantee less debt, and a codebase that has tipped into a high-debt state will not be rescued by the nudges that would have prevented it. If the theory is correct, the remedy lies in better choice architecture and not in better accounting.</w:t>
      </w:r>
    </w:p>
    <w:p>
      <w:pPr>
        <w:spacing w:before="240" w:line="480" w:lineRule="auto"/>
      </w:pPr>
      <w:r>
        <w:rPr>
          <w:rFonts w:ascii="Times New Roman" w:cs="Times New Roman" w:eastAsia="Times New Roman" w:hAnsi="Times New Roman"/>
          <w:b/>
          <w:bCs/>
          <w:sz w:val="24"/>
          <w:szCs w:val="24"/>
        </w:rPr>
        <w:t xml:space="preserve">Declaration of generative AI and AI-assisted technologies in the manuscript preparation process</w:t>
      </w:r>
    </w:p>
    <w:p>
      <w:pPr>
        <w:spacing w:after="0" w:before="0" w:line="480" w:lineRule="auto"/>
        <w:jc w:val="left"/>
      </w:pPr>
      <w:r>
        <w:rPr>
          <w:rFonts w:ascii="Times New Roman" w:cs="Times New Roman" w:eastAsia="Times New Roman" w:hAnsi="Times New Roman"/>
          <w:b w:val="false"/>
          <w:bCs w:val="false"/>
          <w:i/>
          <w:iCs/>
        </w:rPr>
        <w:t xml:space="preserve">[Authors to complete in accordance with Elsevier policy.]</w:t>
      </w:r>
    </w:p>
    <w:p>
      <w:pPr>
        <w:spacing w:before="120" w:line="480" w:lineRule="auto"/>
      </w:pPr>
      <w:r>
        <w:rPr>
          <w:rFonts w:ascii="Times New Roman" w:cs="Times New Roman" w:eastAsia="Times New Roman" w:hAnsi="Times New Roman"/>
          <w:b/>
          <w:bCs/>
          <w:sz w:val="24"/>
          <w:szCs w:val="24"/>
        </w:rPr>
        <w:t xml:space="preserve">Declaration of competing interest</w:t>
      </w:r>
    </w:p>
    <w:p>
      <w:pPr>
        <w:spacing w:after="0" w:before="0" w:line="480" w:lineRule="auto"/>
        <w:jc w:val="left"/>
      </w:pPr>
      <w:r>
        <w:rPr>
          <w:rFonts w:ascii="Times New Roman" w:cs="Times New Roman" w:eastAsia="Times New Roman" w:hAnsi="Times New Roman"/>
          <w:b w:val="false"/>
          <w:bCs w:val="false"/>
          <w:i/>
          <w:iCs/>
        </w:rPr>
        <w:t xml:space="preserve">[Authors to complete.]</w:t>
      </w:r>
    </w:p>
    <w:p>
      <w:r>
        <w:br w:type="page"/>
      </w:r>
    </w:p>
    <w:p>
      <w:pPr>
        <w:pStyle w:val="Heading1"/>
        <w:keepNext/>
        <w:spacing w:after="0" w:before="240" w:line="480" w:lineRule="auto"/>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b w:val="false"/>
          <w:bCs w:val="false"/>
          <w:i w:val="false"/>
          <w:iCs w:val="false"/>
        </w:rPr>
        <w:t xml:space="preserve">Alter, A. L., &amp; Oppenheimer, D. M. (2009). Uniting the tribes of fluency to form a metacognitive nation. </w:t>
      </w:r>
      <w:r>
        <w:rPr>
          <w:rFonts w:ascii="Times New Roman" w:cs="Times New Roman" w:eastAsia="Times New Roman" w:hAnsi="Times New Roman"/>
          <w:b w:val="false"/>
          <w:bCs w:val="false"/>
          <w:i/>
          <w:iCs/>
        </w:rPr>
        <w:t xml:space="preserve">Personality and Social Psychology Review, 13</w:t>
      </w:r>
      <w:r>
        <w:rPr>
          <w:rFonts w:ascii="Times New Roman" w:cs="Times New Roman" w:eastAsia="Times New Roman" w:hAnsi="Times New Roman"/>
          <w:b w:val="false"/>
          <w:bCs w:val="false"/>
          <w:i w:val="false"/>
          <w:iCs w:val="false"/>
        </w:rPr>
        <w:t xml:space="preserve">(3), 219–235.</w:t>
      </w:r>
    </w:p>
    <w:p>
      <w:pPr>
        <w:spacing w:after="0" w:line="480" w:lineRule="auto"/>
        <w:ind w:left="720" w:hanging="720"/>
      </w:pPr>
      <w:r>
        <w:rPr>
          <w:rFonts w:ascii="Times New Roman" w:cs="Times New Roman" w:eastAsia="Times New Roman" w:hAnsi="Times New Roman"/>
          <w:b w:val="false"/>
          <w:bCs w:val="false"/>
          <w:i w:val="false"/>
          <w:iCs w:val="false"/>
        </w:rPr>
        <w:t xml:space="preserve">Arrow, K. J. (1963). Uncertainty and the welfare economics of medical care. </w:t>
      </w:r>
      <w:r>
        <w:rPr>
          <w:rFonts w:ascii="Times New Roman" w:cs="Times New Roman" w:eastAsia="Times New Roman" w:hAnsi="Times New Roman"/>
          <w:b w:val="false"/>
          <w:bCs w:val="false"/>
          <w:i/>
          <w:iCs/>
        </w:rPr>
        <w:t xml:space="preserve">American Economic Review, 53</w:t>
      </w:r>
      <w:r>
        <w:rPr>
          <w:rFonts w:ascii="Times New Roman" w:cs="Times New Roman" w:eastAsia="Times New Roman" w:hAnsi="Times New Roman"/>
          <w:b w:val="false"/>
          <w:bCs w:val="false"/>
          <w:i w:val="false"/>
          <w:iCs w:val="false"/>
        </w:rPr>
        <w:t xml:space="preserve">(5), 941–973.</w:t>
      </w:r>
    </w:p>
    <w:p>
      <w:pPr>
        <w:spacing w:after="0" w:line="480" w:lineRule="auto"/>
        <w:ind w:left="720" w:hanging="720"/>
      </w:pPr>
      <w:r>
        <w:rPr>
          <w:rFonts w:ascii="Times New Roman" w:cs="Times New Roman" w:eastAsia="Times New Roman" w:hAnsi="Times New Roman"/>
          <w:b w:val="false"/>
          <w:bCs w:val="false"/>
          <w:i w:val="false"/>
          <w:iCs w:val="false"/>
        </w:rPr>
        <w:t xml:space="preserve">Avgeriou, P., Kruchten, P., Ozkaya, I., &amp; Seaman, C. (2016). Managing technical debt in software engineering (Dagstuhl Seminar 16162). </w:t>
      </w:r>
      <w:r>
        <w:rPr>
          <w:rFonts w:ascii="Times New Roman" w:cs="Times New Roman" w:eastAsia="Times New Roman" w:hAnsi="Times New Roman"/>
          <w:b w:val="false"/>
          <w:bCs w:val="false"/>
          <w:i/>
          <w:iCs/>
        </w:rPr>
        <w:t xml:space="preserve">Dagstuhl Reports, 6</w:t>
      </w:r>
      <w:r>
        <w:rPr>
          <w:rFonts w:ascii="Times New Roman" w:cs="Times New Roman" w:eastAsia="Times New Roman" w:hAnsi="Times New Roman"/>
          <w:b w:val="false"/>
          <w:bCs w:val="false"/>
          <w:i w:val="false"/>
          <w:iCs w:val="false"/>
        </w:rPr>
        <w:t xml:space="preserve">(4), 110–138.</w:t>
      </w:r>
    </w:p>
    <w:p>
      <w:pPr>
        <w:spacing w:after="0" w:line="480" w:lineRule="auto"/>
        <w:ind w:left="720" w:hanging="720"/>
      </w:pPr>
      <w:r>
        <w:rPr>
          <w:rFonts w:ascii="Times New Roman" w:cs="Times New Roman" w:eastAsia="Times New Roman" w:hAnsi="Times New Roman"/>
          <w:b w:val="false"/>
          <w:bCs w:val="false"/>
          <w:i w:val="false"/>
          <w:iCs w:val="false"/>
        </w:rPr>
        <w:t xml:space="preserve">Bavota, G., &amp; Russo, B. (2016). A large-scale empirical study on self-admitted technical debt. In </w:t>
      </w:r>
      <w:r>
        <w:rPr>
          <w:rFonts w:ascii="Times New Roman" w:cs="Times New Roman" w:eastAsia="Times New Roman" w:hAnsi="Times New Roman"/>
          <w:b w:val="false"/>
          <w:bCs w:val="false"/>
          <w:i/>
          <w:iCs/>
        </w:rPr>
        <w:t xml:space="preserve">Proceedings of the 13th International Conference on Mining Software Repositories</w:t>
      </w:r>
      <w:r>
        <w:rPr>
          <w:rFonts w:ascii="Times New Roman" w:cs="Times New Roman" w:eastAsia="Times New Roman" w:hAnsi="Times New Roman"/>
          <w:b w:val="false"/>
          <w:bCs w:val="false"/>
          <w:i w:val="false"/>
          <w:iCs w:val="false"/>
        </w:rPr>
        <w:t xml:space="preserve"> (pp. 315–326). ACM.</w:t>
      </w:r>
    </w:p>
    <w:p>
      <w:pPr>
        <w:spacing w:after="0" w:line="480" w:lineRule="auto"/>
        <w:ind w:left="720" w:hanging="720"/>
      </w:pPr>
      <w:r>
        <w:rPr>
          <w:rFonts w:ascii="Times New Roman" w:cs="Times New Roman" w:eastAsia="Times New Roman" w:hAnsi="Times New Roman"/>
          <w:b w:val="false"/>
          <w:bCs w:val="false"/>
          <w:i w:val="false"/>
          <w:iCs w:val="false"/>
        </w:rPr>
        <w:t xml:space="preserve">Buehler, R., Griffin, D., &amp; Ross, M. (1994). Exploring the “planning fallacy”: Why people underestimate their task completion times. </w:t>
      </w:r>
      <w:r>
        <w:rPr>
          <w:rFonts w:ascii="Times New Roman" w:cs="Times New Roman" w:eastAsia="Times New Roman" w:hAnsi="Times New Roman"/>
          <w:b w:val="false"/>
          <w:bCs w:val="false"/>
          <w:i/>
          <w:iCs/>
        </w:rPr>
        <w:t xml:space="preserve">Journal of Personality and Social Psychology, 67</w:t>
      </w:r>
      <w:r>
        <w:rPr>
          <w:rFonts w:ascii="Times New Roman" w:cs="Times New Roman" w:eastAsia="Times New Roman" w:hAnsi="Times New Roman"/>
          <w:b w:val="false"/>
          <w:bCs w:val="false"/>
          <w:i w:val="false"/>
          <w:iCs w:val="false"/>
        </w:rPr>
        <w:t xml:space="preserve">(3), 366–381.</w:t>
      </w:r>
    </w:p>
    <w:p>
      <w:pPr>
        <w:spacing w:after="0" w:line="480" w:lineRule="auto"/>
        <w:ind w:left="720" w:hanging="720"/>
      </w:pPr>
      <w:r>
        <w:rPr>
          <w:rFonts w:ascii="Times New Roman" w:cs="Times New Roman" w:eastAsia="Times New Roman" w:hAnsi="Times New Roman"/>
          <w:b w:val="false"/>
          <w:bCs w:val="false"/>
          <w:i w:val="false"/>
          <w:iCs w:val="false"/>
        </w:rPr>
        <w:t xml:space="preserve">Buschmann, F. (2011). To pay or not to pay technical debt. </w:t>
      </w:r>
      <w:r>
        <w:rPr>
          <w:rFonts w:ascii="Times New Roman" w:cs="Times New Roman" w:eastAsia="Times New Roman" w:hAnsi="Times New Roman"/>
          <w:b w:val="false"/>
          <w:bCs w:val="false"/>
          <w:i/>
          <w:iCs/>
        </w:rPr>
        <w:t xml:space="preserve">IEEE Software, 28</w:t>
      </w:r>
      <w:r>
        <w:rPr>
          <w:rFonts w:ascii="Times New Roman" w:cs="Times New Roman" w:eastAsia="Times New Roman" w:hAnsi="Times New Roman"/>
          <w:b w:val="false"/>
          <w:bCs w:val="false"/>
          <w:i w:val="false"/>
          <w:iCs w:val="false"/>
        </w:rPr>
        <w:t xml:space="preserve">(6), 29–31.</w:t>
      </w:r>
    </w:p>
    <w:p>
      <w:pPr>
        <w:spacing w:after="0" w:line="480" w:lineRule="auto"/>
        <w:ind w:left="720" w:hanging="720"/>
      </w:pPr>
      <w:r>
        <w:rPr>
          <w:rFonts w:ascii="Times New Roman" w:cs="Times New Roman" w:eastAsia="Times New Roman" w:hAnsi="Times New Roman"/>
          <w:b w:val="false"/>
          <w:bCs w:val="false"/>
          <w:i w:val="false"/>
          <w:iCs w:val="false"/>
        </w:rPr>
        <w:t xml:space="preserve">Cunningham, W. (1992). The WyCash portfolio management system. In </w:t>
      </w:r>
      <w:r>
        <w:rPr>
          <w:rFonts w:ascii="Times New Roman" w:cs="Times New Roman" w:eastAsia="Times New Roman" w:hAnsi="Times New Roman"/>
          <w:b w:val="false"/>
          <w:bCs w:val="false"/>
          <w:i/>
          <w:iCs/>
        </w:rPr>
        <w:t xml:space="preserve">Addendum to the Proceedings of Object-Oriented Programming Systems, Languages, and Applications</w:t>
      </w:r>
      <w:r>
        <w:rPr>
          <w:rFonts w:ascii="Times New Roman" w:cs="Times New Roman" w:eastAsia="Times New Roman" w:hAnsi="Times New Roman"/>
          <w:b w:val="false"/>
          <w:bCs w:val="false"/>
          <w:i w:val="false"/>
          <w:iCs w:val="false"/>
        </w:rPr>
        <w:t xml:space="preserve"> (pp. 29–30). ACM.</w:t>
      </w:r>
    </w:p>
    <w:p>
      <w:pPr>
        <w:spacing w:after="0" w:line="480" w:lineRule="auto"/>
        <w:ind w:left="720" w:hanging="720"/>
      </w:pPr>
      <w:r>
        <w:rPr>
          <w:rFonts w:ascii="Times New Roman" w:cs="Times New Roman" w:eastAsia="Times New Roman" w:hAnsi="Times New Roman"/>
          <w:b w:val="false"/>
          <w:bCs w:val="false"/>
          <w:i w:val="false"/>
          <w:iCs w:val="false"/>
        </w:rPr>
        <w:t xml:space="preserve">DellaVigna, S., &amp; Malmendier, U. (2004). Contract design and self-control: Theory and evidence. </w:t>
      </w:r>
      <w:r>
        <w:rPr>
          <w:rFonts w:ascii="Times New Roman" w:cs="Times New Roman" w:eastAsia="Times New Roman" w:hAnsi="Times New Roman"/>
          <w:b w:val="false"/>
          <w:bCs w:val="false"/>
          <w:i/>
          <w:iCs/>
        </w:rPr>
        <w:t xml:space="preserve">Quarterly Journal of Economics, 119</w:t>
      </w:r>
      <w:r>
        <w:rPr>
          <w:rFonts w:ascii="Times New Roman" w:cs="Times New Roman" w:eastAsia="Times New Roman" w:hAnsi="Times New Roman"/>
          <w:b w:val="false"/>
          <w:bCs w:val="false"/>
          <w:i w:val="false"/>
          <w:iCs w:val="false"/>
        </w:rPr>
        <w:t xml:space="preserve">(2), 353–402.</w:t>
      </w:r>
    </w:p>
    <w:p>
      <w:pPr>
        <w:spacing w:after="0" w:line="480" w:lineRule="auto"/>
        <w:ind w:left="720" w:hanging="720"/>
      </w:pPr>
      <w:r>
        <w:rPr>
          <w:rFonts w:ascii="Times New Roman" w:cs="Times New Roman" w:eastAsia="Times New Roman" w:hAnsi="Times New Roman"/>
          <w:b w:val="false"/>
          <w:bCs w:val="false"/>
          <w:i w:val="false"/>
          <w:iCs w:val="false"/>
        </w:rPr>
        <w:t xml:space="preserve">Dietvorst, B. J., Simmons, J. P., &amp; Massey, C. (2015). Algorithm aversion: People erroneously avoid algorithms after seeing them err. </w:t>
      </w:r>
      <w:r>
        <w:rPr>
          <w:rFonts w:ascii="Times New Roman" w:cs="Times New Roman" w:eastAsia="Times New Roman" w:hAnsi="Times New Roman"/>
          <w:b w:val="false"/>
          <w:bCs w:val="false"/>
          <w:i/>
          <w:iCs/>
        </w:rPr>
        <w:t xml:space="preserve">Journal of Experimental Psychology: General, 144</w:t>
      </w:r>
      <w:r>
        <w:rPr>
          <w:rFonts w:ascii="Times New Roman" w:cs="Times New Roman" w:eastAsia="Times New Roman" w:hAnsi="Times New Roman"/>
          <w:b w:val="false"/>
          <w:bCs w:val="false"/>
          <w:i w:val="false"/>
          <w:iCs w:val="false"/>
        </w:rPr>
        <w:t xml:space="preserve">(1), 114–126.</w:t>
      </w:r>
    </w:p>
    <w:p>
      <w:pPr>
        <w:spacing w:after="0" w:line="480" w:lineRule="auto"/>
        <w:ind w:left="720" w:hanging="720"/>
      </w:pPr>
      <w:r>
        <w:rPr>
          <w:rFonts w:ascii="Times New Roman" w:cs="Times New Roman" w:eastAsia="Times New Roman" w:hAnsi="Times New Roman"/>
          <w:b w:val="false"/>
          <w:bCs w:val="false"/>
          <w:i w:val="false"/>
          <w:iCs w:val="false"/>
        </w:rPr>
        <w:t xml:space="preserve">Ehsani, R., Rawal, S., Cai, Y., &amp; Chatterjee, P. (2026). Faster code, deeper debt? A multivocal literature review on technical debt and its early signs in LLM-assisted software development. </w:t>
      </w:r>
      <w:r>
        <w:rPr>
          <w:rFonts w:ascii="Times New Roman" w:cs="Times New Roman" w:eastAsia="Times New Roman" w:hAnsi="Times New Roman"/>
          <w:b w:val="false"/>
          <w:bCs w:val="false"/>
          <w:i/>
          <w:iCs/>
        </w:rPr>
        <w:t xml:space="preserve">ACM Transactions on Software Engineering and Methodology</w:t>
      </w:r>
      <w:r>
        <w:rPr>
          <w:rFonts w:ascii="Times New Roman" w:cs="Times New Roman" w:eastAsia="Times New Roman" w:hAnsi="Times New Roman"/>
          <w:b w:val="false"/>
          <w:bCs w:val="false"/>
          <w:i w:val="false"/>
          <w:iCs w:val="false"/>
        </w:rPr>
        <w:t xml:space="preserve">. Advance online publication. https://doi.org/10.1145/3820165</w:t>
      </w:r>
    </w:p>
    <w:p>
      <w:pPr>
        <w:spacing w:after="0" w:line="480" w:lineRule="auto"/>
        <w:ind w:left="720" w:hanging="720"/>
      </w:pPr>
      <w:r>
        <w:rPr>
          <w:rFonts w:ascii="Times New Roman" w:cs="Times New Roman" w:eastAsia="Times New Roman" w:hAnsi="Times New Roman"/>
          <w:b w:val="false"/>
          <w:bCs w:val="false"/>
          <w:i w:val="false"/>
          <w:iCs w:val="false"/>
        </w:rPr>
        <w:t xml:space="preserve">Fu, Y., Liang, P., Tahir, A., Li, Z., Shahin, M., Yu, J., &amp; Chen, J. (2025). Security weaknesses of Copilot-generated code in GitHub projects: An empirical study. </w:t>
      </w:r>
      <w:r>
        <w:rPr>
          <w:rFonts w:ascii="Times New Roman" w:cs="Times New Roman" w:eastAsia="Times New Roman" w:hAnsi="Times New Roman"/>
          <w:b w:val="false"/>
          <w:bCs w:val="false"/>
          <w:i/>
          <w:iCs/>
        </w:rPr>
        <w:t xml:space="preserve">ACM Transactions on Software Engineering and Methodology, 34</w:t>
      </w:r>
      <w:r>
        <w:rPr>
          <w:rFonts w:ascii="Times New Roman" w:cs="Times New Roman" w:eastAsia="Times New Roman" w:hAnsi="Times New Roman"/>
          <w:b w:val="false"/>
          <w:bCs w:val="false"/>
          <w:i w:val="false"/>
          <w:iCs w:val="false"/>
        </w:rPr>
        <w:t xml:space="preserve">(8), 1–34.</w:t>
      </w:r>
    </w:p>
    <w:p>
      <w:pPr>
        <w:spacing w:after="0" w:line="480" w:lineRule="auto"/>
        <w:ind w:left="720" w:hanging="720"/>
      </w:pPr>
      <w:r>
        <w:rPr>
          <w:rFonts w:ascii="Times New Roman" w:cs="Times New Roman" w:eastAsia="Times New Roman" w:hAnsi="Times New Roman"/>
          <w:b w:val="false"/>
          <w:bCs w:val="false"/>
          <w:i w:val="false"/>
          <w:iCs w:val="false"/>
        </w:rPr>
        <w:t xml:space="preserve">Gabaix, X., &amp; Laibson, D. (2006). Shrouded attributes, consumer myopia, and information suppression in competitive markets. </w:t>
      </w:r>
      <w:r>
        <w:rPr>
          <w:rFonts w:ascii="Times New Roman" w:cs="Times New Roman" w:eastAsia="Times New Roman" w:hAnsi="Times New Roman"/>
          <w:b w:val="false"/>
          <w:bCs w:val="false"/>
          <w:i/>
          <w:iCs/>
        </w:rPr>
        <w:t xml:space="preserve">Quarterly Journal of Economics, 121</w:t>
      </w:r>
      <w:r>
        <w:rPr>
          <w:rFonts w:ascii="Times New Roman" w:cs="Times New Roman" w:eastAsia="Times New Roman" w:hAnsi="Times New Roman"/>
          <w:b w:val="false"/>
          <w:bCs w:val="false"/>
          <w:i w:val="false"/>
          <w:iCs w:val="false"/>
        </w:rPr>
        <w:t xml:space="preserve">(2), 505–540.</w:t>
      </w:r>
    </w:p>
    <w:p>
      <w:pPr>
        <w:spacing w:after="0" w:line="480" w:lineRule="auto"/>
        <w:ind w:left="720" w:hanging="720"/>
      </w:pPr>
      <w:r>
        <w:rPr>
          <w:rFonts w:ascii="Times New Roman" w:cs="Times New Roman" w:eastAsia="Times New Roman" w:hAnsi="Times New Roman"/>
          <w:b w:val="false"/>
          <w:bCs w:val="false"/>
          <w:i w:val="false"/>
          <w:iCs w:val="false"/>
        </w:rPr>
        <w:t xml:space="preserve">GitClear. (2025). </w:t>
      </w:r>
      <w:r>
        <w:rPr>
          <w:rFonts w:ascii="Times New Roman" w:cs="Times New Roman" w:eastAsia="Times New Roman" w:hAnsi="Times New Roman"/>
          <w:b w:val="false"/>
          <w:bCs w:val="false"/>
          <w:i/>
          <w:iCs/>
        </w:rPr>
        <w:t xml:space="preserve">AI copilot code quality: 2025 data suggests 4x growth in code clones</w:t>
      </w:r>
      <w:r>
        <w:rPr>
          <w:rFonts w:ascii="Times New Roman" w:cs="Times New Roman" w:eastAsia="Times New Roman" w:hAnsi="Times New Roman"/>
          <w:b w:val="false"/>
          <w:bCs w:val="false"/>
          <w:i w:val="false"/>
          <w:iCs w:val="false"/>
        </w:rPr>
        <w:t xml:space="preserve"> [Report]. https://www.gitclear.com/ai_assistant_code_quality_2025_research</w:t>
      </w:r>
    </w:p>
    <w:p>
      <w:pPr>
        <w:spacing w:after="0" w:line="480" w:lineRule="auto"/>
        <w:ind w:left="720" w:hanging="720"/>
      </w:pPr>
      <w:r>
        <w:rPr>
          <w:rFonts w:ascii="Times New Roman" w:cs="Times New Roman" w:eastAsia="Times New Roman" w:hAnsi="Times New Roman"/>
          <w:b w:val="false"/>
          <w:bCs w:val="false"/>
          <w:i w:val="false"/>
          <w:iCs w:val="false"/>
        </w:rPr>
        <w:t xml:space="preserve">GitClear. (2026). </w:t>
      </w:r>
      <w:r>
        <w:rPr>
          <w:rFonts w:ascii="Times New Roman" w:cs="Times New Roman" w:eastAsia="Times New Roman" w:hAnsi="Times New Roman"/>
          <w:b w:val="false"/>
          <w:bCs w:val="false"/>
          <w:i/>
          <w:iCs/>
        </w:rPr>
        <w:t xml:space="preserve">The maintainability gap: 2026 AI code quality research</w:t>
      </w:r>
      <w:r>
        <w:rPr>
          <w:rFonts w:ascii="Times New Roman" w:cs="Times New Roman" w:eastAsia="Times New Roman" w:hAnsi="Times New Roman"/>
          <w:b w:val="false"/>
          <w:bCs w:val="false"/>
          <w:i w:val="false"/>
          <w:iCs w:val="false"/>
        </w:rPr>
        <w:t xml:space="preserve"> [Report]. https://www.gitclear.com/the_ai_code_quality_maintainability_gap</w:t>
      </w:r>
    </w:p>
    <w:p>
      <w:pPr>
        <w:spacing w:after="0" w:line="480" w:lineRule="auto"/>
        <w:ind w:left="720" w:hanging="720"/>
      </w:pPr>
      <w:r>
        <w:rPr>
          <w:rFonts w:ascii="Times New Roman" w:cs="Times New Roman" w:eastAsia="Times New Roman" w:hAnsi="Times New Roman"/>
          <w:b w:val="false"/>
          <w:bCs w:val="false"/>
          <w:i w:val="false"/>
          <w:iCs w:val="false"/>
        </w:rPr>
        <w:t xml:space="preserve">Goddard, K., Roudsari, A., &amp; Wyatt, J. C. (2012). Automation bias: A systematic review of frequency, effect mediators, and mitigators. </w:t>
      </w:r>
      <w:r>
        <w:rPr>
          <w:rFonts w:ascii="Times New Roman" w:cs="Times New Roman" w:eastAsia="Times New Roman" w:hAnsi="Times New Roman"/>
          <w:b w:val="false"/>
          <w:bCs w:val="false"/>
          <w:i/>
          <w:iCs/>
        </w:rPr>
        <w:t xml:space="preserve">Journal of the American Medical Informatics Association, 19</w:t>
      </w:r>
      <w:r>
        <w:rPr>
          <w:rFonts w:ascii="Times New Roman" w:cs="Times New Roman" w:eastAsia="Times New Roman" w:hAnsi="Times New Roman"/>
          <w:b w:val="false"/>
          <w:bCs w:val="false"/>
          <w:i w:val="false"/>
          <w:iCs w:val="false"/>
        </w:rPr>
        <w:t xml:space="preserve">(1), 121–127.</w:t>
      </w:r>
    </w:p>
    <w:p>
      <w:pPr>
        <w:spacing w:after="0" w:line="480" w:lineRule="auto"/>
        <w:ind w:left="720" w:hanging="720"/>
      </w:pPr>
      <w:r>
        <w:rPr>
          <w:rFonts w:ascii="Times New Roman" w:cs="Times New Roman" w:eastAsia="Times New Roman" w:hAnsi="Times New Roman"/>
          <w:b w:val="false"/>
          <w:bCs w:val="false"/>
          <w:i w:val="false"/>
          <w:iCs w:val="false"/>
        </w:rPr>
        <w:t xml:space="preserve">Haag, S., &amp; Eckhardt, A. (2017). Shadow IT. </w:t>
      </w:r>
      <w:r>
        <w:rPr>
          <w:rFonts w:ascii="Times New Roman" w:cs="Times New Roman" w:eastAsia="Times New Roman" w:hAnsi="Times New Roman"/>
          <w:b w:val="false"/>
          <w:bCs w:val="false"/>
          <w:i/>
          <w:iCs/>
        </w:rPr>
        <w:t xml:space="preserve">Business &amp; Information Systems Engineering, 59</w:t>
      </w:r>
      <w:r>
        <w:rPr>
          <w:rFonts w:ascii="Times New Roman" w:cs="Times New Roman" w:eastAsia="Times New Roman" w:hAnsi="Times New Roman"/>
          <w:b w:val="false"/>
          <w:bCs w:val="false"/>
          <w:i w:val="false"/>
          <w:iCs w:val="false"/>
        </w:rPr>
        <w:t xml:space="preserve">(6), 469–473.</w:t>
      </w:r>
    </w:p>
    <w:p>
      <w:pPr>
        <w:spacing w:after="0" w:line="480" w:lineRule="auto"/>
        <w:ind w:left="720" w:hanging="720"/>
      </w:pPr>
      <w:r>
        <w:rPr>
          <w:rFonts w:ascii="Times New Roman" w:cs="Times New Roman" w:eastAsia="Times New Roman" w:hAnsi="Times New Roman"/>
          <w:b w:val="false"/>
          <w:bCs w:val="false"/>
          <w:i w:val="false"/>
          <w:iCs w:val="false"/>
        </w:rPr>
        <w:t xml:space="preserve">Hardin, G. (1968). The tragedy of the commons. </w:t>
      </w:r>
      <w:r>
        <w:rPr>
          <w:rFonts w:ascii="Times New Roman" w:cs="Times New Roman" w:eastAsia="Times New Roman" w:hAnsi="Times New Roman"/>
          <w:b w:val="false"/>
          <w:bCs w:val="false"/>
          <w:i/>
          <w:iCs/>
        </w:rPr>
        <w:t xml:space="preserve">Science, 162</w:t>
      </w:r>
      <w:r>
        <w:rPr>
          <w:rFonts w:ascii="Times New Roman" w:cs="Times New Roman" w:eastAsia="Times New Roman" w:hAnsi="Times New Roman"/>
          <w:b w:val="false"/>
          <w:bCs w:val="false"/>
          <w:i w:val="false"/>
          <w:iCs w:val="false"/>
        </w:rPr>
        <w:t xml:space="preserve">(3859), 1243–1248.</w:t>
      </w:r>
    </w:p>
    <w:p>
      <w:pPr>
        <w:spacing w:after="0" w:line="480" w:lineRule="auto"/>
        <w:ind w:left="720" w:hanging="720"/>
      </w:pPr>
      <w:r>
        <w:rPr>
          <w:rFonts w:ascii="Times New Roman" w:cs="Times New Roman" w:eastAsia="Times New Roman" w:hAnsi="Times New Roman"/>
          <w:b w:val="false"/>
          <w:bCs w:val="false"/>
          <w:i w:val="false"/>
          <w:iCs w:val="false"/>
        </w:rPr>
        <w:t xml:space="preserve">He, H., Miller, C., Agarwal, S., Kästner, C., &amp; Vasilescu, B. (2026). Speed at the cost of quality: How Cursor AI increases short-term velocity and long-term complexity in open-source projects. In </w:t>
      </w:r>
      <w:r>
        <w:rPr>
          <w:rFonts w:ascii="Times New Roman" w:cs="Times New Roman" w:eastAsia="Times New Roman" w:hAnsi="Times New Roman"/>
          <w:b w:val="false"/>
          <w:bCs w:val="false"/>
          <w:i/>
          <w:iCs/>
        </w:rPr>
        <w:t xml:space="preserve">Proceedings of the 23rd International Conference on Mining Software Repositories</w:t>
      </w:r>
      <w:r>
        <w:rPr>
          <w:rFonts w:ascii="Times New Roman" w:cs="Times New Roman" w:eastAsia="Times New Roman" w:hAnsi="Times New Roman"/>
          <w:b w:val="false"/>
          <w:bCs w:val="false"/>
          <w:i w:val="false"/>
          <w:iCs w:val="false"/>
        </w:rPr>
        <w:t xml:space="preserve">. ACM. (Preprint arXiv:2511.04427)</w:t>
      </w:r>
    </w:p>
    <w:p>
      <w:pPr>
        <w:spacing w:after="0" w:line="480" w:lineRule="auto"/>
        <w:ind w:left="720" w:hanging="720"/>
      </w:pPr>
      <w:r>
        <w:rPr>
          <w:rFonts w:ascii="Times New Roman" w:cs="Times New Roman" w:eastAsia="Times New Roman" w:hAnsi="Times New Roman"/>
          <w:b w:val="false"/>
          <w:bCs w:val="false"/>
          <w:i w:val="false"/>
          <w:iCs w:val="false"/>
        </w:rPr>
        <w:t xml:space="preserve">Jevons, W. S. (1865). </w:t>
      </w:r>
      <w:r>
        <w:rPr>
          <w:rFonts w:ascii="Times New Roman" w:cs="Times New Roman" w:eastAsia="Times New Roman" w:hAnsi="Times New Roman"/>
          <w:b w:val="false"/>
          <w:bCs w:val="false"/>
          <w:i/>
          <w:iCs/>
        </w:rPr>
        <w:t xml:space="preserve">The coal question</w:t>
      </w:r>
      <w:r>
        <w:rPr>
          <w:rFonts w:ascii="Times New Roman" w:cs="Times New Roman" w:eastAsia="Times New Roman" w:hAnsi="Times New Roman"/>
          <w:b w:val="false"/>
          <w:bCs w:val="false"/>
          <w:i w:val="false"/>
          <w:iCs w:val="false"/>
        </w:rPr>
        <w:t xml:space="preserve">. Macmillan.</w:t>
      </w:r>
    </w:p>
    <w:p>
      <w:pPr>
        <w:spacing w:after="0" w:line="480" w:lineRule="auto"/>
        <w:ind w:left="720" w:hanging="720"/>
      </w:pPr>
      <w:r>
        <w:rPr>
          <w:rFonts w:ascii="Times New Roman" w:cs="Times New Roman" w:eastAsia="Times New Roman" w:hAnsi="Times New Roman"/>
          <w:b w:val="false"/>
          <w:bCs w:val="false"/>
          <w:i w:val="false"/>
          <w:iCs w:val="false"/>
        </w:rPr>
        <w:t xml:space="preserve">Johnson, E. J., &amp; Goldstein, D. (2003). Do defaults save lives? </w:t>
      </w:r>
      <w:r>
        <w:rPr>
          <w:rFonts w:ascii="Times New Roman" w:cs="Times New Roman" w:eastAsia="Times New Roman" w:hAnsi="Times New Roman"/>
          <w:b w:val="false"/>
          <w:bCs w:val="false"/>
          <w:i/>
          <w:iCs/>
        </w:rPr>
        <w:t xml:space="preserve">Science, 302</w:t>
      </w:r>
      <w:r>
        <w:rPr>
          <w:rFonts w:ascii="Times New Roman" w:cs="Times New Roman" w:eastAsia="Times New Roman" w:hAnsi="Times New Roman"/>
          <w:b w:val="false"/>
          <w:bCs w:val="false"/>
          <w:i w:val="false"/>
          <w:iCs w:val="false"/>
        </w:rPr>
        <w:t xml:space="preserve">(5649), 1338–1339.</w:t>
      </w:r>
    </w:p>
    <w:p>
      <w:pPr>
        <w:spacing w:after="0" w:line="480" w:lineRule="auto"/>
        <w:ind w:left="720" w:hanging="720"/>
      </w:pPr>
      <w:r>
        <w:rPr>
          <w:rFonts w:ascii="Times New Roman" w:cs="Times New Roman" w:eastAsia="Times New Roman" w:hAnsi="Times New Roman"/>
          <w:b w:val="false"/>
          <w:bCs w:val="false"/>
          <w:i w:val="false"/>
          <w:iCs w:val="false"/>
        </w:rPr>
        <w:t xml:space="preserve">Kahneman, D., &amp; Tversky, A. (1979). Prospect theory: An analysis of decision under risk. </w:t>
      </w:r>
      <w:r>
        <w:rPr>
          <w:rFonts w:ascii="Times New Roman" w:cs="Times New Roman" w:eastAsia="Times New Roman" w:hAnsi="Times New Roman"/>
          <w:b w:val="false"/>
          <w:bCs w:val="false"/>
          <w:i/>
          <w:iCs/>
        </w:rPr>
        <w:t xml:space="preserve">Econometrica, 47</w:t>
      </w:r>
      <w:r>
        <w:rPr>
          <w:rFonts w:ascii="Times New Roman" w:cs="Times New Roman" w:eastAsia="Times New Roman" w:hAnsi="Times New Roman"/>
          <w:b w:val="false"/>
          <w:bCs w:val="false"/>
          <w:i w:val="false"/>
          <w:iCs w:val="false"/>
        </w:rPr>
        <w:t xml:space="preserve">(2), 263–291.</w:t>
      </w:r>
    </w:p>
    <w:p>
      <w:pPr>
        <w:spacing w:after="0" w:line="480" w:lineRule="auto"/>
        <w:ind w:left="720" w:hanging="720"/>
      </w:pPr>
      <w:r>
        <w:rPr>
          <w:rFonts w:ascii="Times New Roman" w:cs="Times New Roman" w:eastAsia="Times New Roman" w:hAnsi="Times New Roman"/>
          <w:b w:val="false"/>
          <w:bCs w:val="false"/>
          <w:i w:val="false"/>
          <w:iCs w:val="false"/>
        </w:rPr>
        <w:t xml:space="preserve">Kruchten, P., Nord, R. L., &amp; Ozkaya, I. (2012). Technical debt: From metaphor to theory and practice. </w:t>
      </w:r>
      <w:r>
        <w:rPr>
          <w:rFonts w:ascii="Times New Roman" w:cs="Times New Roman" w:eastAsia="Times New Roman" w:hAnsi="Times New Roman"/>
          <w:b w:val="false"/>
          <w:bCs w:val="false"/>
          <w:i/>
          <w:iCs/>
        </w:rPr>
        <w:t xml:space="preserve">IEEE Software, 29</w:t>
      </w:r>
      <w:r>
        <w:rPr>
          <w:rFonts w:ascii="Times New Roman" w:cs="Times New Roman" w:eastAsia="Times New Roman" w:hAnsi="Times New Roman"/>
          <w:b w:val="false"/>
          <w:bCs w:val="false"/>
          <w:i w:val="false"/>
          <w:iCs w:val="false"/>
        </w:rPr>
        <w:t xml:space="preserve">(6), 18–21.</w:t>
      </w:r>
    </w:p>
    <w:p>
      <w:pPr>
        <w:spacing w:after="0" w:line="480" w:lineRule="auto"/>
        <w:ind w:left="720" w:hanging="720"/>
      </w:pPr>
      <w:r>
        <w:rPr>
          <w:rFonts w:ascii="Times New Roman" w:cs="Times New Roman" w:eastAsia="Times New Roman" w:hAnsi="Times New Roman"/>
          <w:b w:val="false"/>
          <w:bCs w:val="false"/>
          <w:i w:val="false"/>
          <w:iCs w:val="false"/>
        </w:rPr>
        <w:t xml:space="preserve">Laibson, D. (1997). Golden eggs and hyperbolic discounting. </w:t>
      </w:r>
      <w:r>
        <w:rPr>
          <w:rFonts w:ascii="Times New Roman" w:cs="Times New Roman" w:eastAsia="Times New Roman" w:hAnsi="Times New Roman"/>
          <w:b w:val="false"/>
          <w:bCs w:val="false"/>
          <w:i/>
          <w:iCs/>
        </w:rPr>
        <w:t xml:space="preserve">Quarterly Journal of Economics, 112</w:t>
      </w:r>
      <w:r>
        <w:rPr>
          <w:rFonts w:ascii="Times New Roman" w:cs="Times New Roman" w:eastAsia="Times New Roman" w:hAnsi="Times New Roman"/>
          <w:b w:val="false"/>
          <w:bCs w:val="false"/>
          <w:i w:val="false"/>
          <w:iCs w:val="false"/>
        </w:rPr>
        <w:t xml:space="preserve">(2), 443–478.</w:t>
      </w:r>
    </w:p>
    <w:p>
      <w:pPr>
        <w:spacing w:after="0" w:line="480" w:lineRule="auto"/>
        <w:ind w:left="720" w:hanging="720"/>
      </w:pPr>
      <w:r>
        <w:rPr>
          <w:rFonts w:ascii="Times New Roman" w:cs="Times New Roman" w:eastAsia="Times New Roman" w:hAnsi="Times New Roman"/>
          <w:b w:val="false"/>
          <w:bCs w:val="false"/>
          <w:i w:val="false"/>
          <w:iCs w:val="false"/>
        </w:rPr>
        <w:t xml:space="preserve">Li, H., Zhang, H., &amp; Hassan, A. E. (2025). </w:t>
      </w:r>
      <w:r>
        <w:rPr>
          <w:rFonts w:ascii="Times New Roman" w:cs="Times New Roman" w:eastAsia="Times New Roman" w:hAnsi="Times New Roman"/>
          <w:b w:val="false"/>
          <w:bCs w:val="false"/>
          <w:i/>
          <w:iCs/>
        </w:rPr>
        <w:t xml:space="preserve">The rise of AI teammates in software engineering (SE) 3.0: How autonomous coding agents are reshaping software engineering</w:t>
      </w:r>
      <w:r>
        <w:rPr>
          <w:rFonts w:ascii="Times New Roman" w:cs="Times New Roman" w:eastAsia="Times New Roman" w:hAnsi="Times New Roman"/>
          <w:b w:val="false"/>
          <w:bCs w:val="false"/>
          <w:i w:val="false"/>
          <w:iCs w:val="false"/>
        </w:rPr>
        <w:t xml:space="preserve"> (arXiv:2507.15003). arXiv.</w:t>
      </w:r>
    </w:p>
    <w:p>
      <w:pPr>
        <w:spacing w:after="0" w:line="480" w:lineRule="auto"/>
        <w:ind w:left="720" w:hanging="720"/>
      </w:pPr>
      <w:r>
        <w:rPr>
          <w:rFonts w:ascii="Times New Roman" w:cs="Times New Roman" w:eastAsia="Times New Roman" w:hAnsi="Times New Roman"/>
          <w:b w:val="false"/>
          <w:bCs w:val="false"/>
          <w:i w:val="false"/>
          <w:iCs w:val="false"/>
        </w:rPr>
        <w:t xml:space="preserve">Li, H., Zhang, H., &amp; Hassan, A. E. (2026). AIDev: Studying AI coding agents on GitHub. In </w:t>
      </w:r>
      <w:r>
        <w:rPr>
          <w:rFonts w:ascii="Times New Roman" w:cs="Times New Roman" w:eastAsia="Times New Roman" w:hAnsi="Times New Roman"/>
          <w:b w:val="false"/>
          <w:bCs w:val="false"/>
          <w:i/>
          <w:iCs/>
        </w:rPr>
        <w:t xml:space="preserve">Proceedings of the 23rd International Conference on Mining Software Repositories</w:t>
      </w:r>
      <w:r>
        <w:rPr>
          <w:rFonts w:ascii="Times New Roman" w:cs="Times New Roman" w:eastAsia="Times New Roman" w:hAnsi="Times New Roman"/>
          <w:b w:val="false"/>
          <w:bCs w:val="false"/>
          <w:i w:val="false"/>
          <w:iCs w:val="false"/>
        </w:rPr>
        <w:t xml:space="preserve">. ACM. https://doi.org/10.1145/3793302.3797249</w:t>
      </w:r>
    </w:p>
    <w:p>
      <w:pPr>
        <w:spacing w:after="0" w:line="480" w:lineRule="auto"/>
        <w:ind w:left="720" w:hanging="720"/>
      </w:pPr>
      <w:r>
        <w:rPr>
          <w:rFonts w:ascii="Times New Roman" w:cs="Times New Roman" w:eastAsia="Times New Roman" w:hAnsi="Times New Roman"/>
          <w:b w:val="false"/>
          <w:bCs w:val="false"/>
          <w:i w:val="false"/>
          <w:iCs w:val="false"/>
        </w:rPr>
        <w:t xml:space="preserve">Logg, J. M., Minson, J. A., &amp; Moore, D. A. (2019). Algorithm appreciation: People prefer algorithmic to human judgment. </w:t>
      </w:r>
      <w:r>
        <w:rPr>
          <w:rFonts w:ascii="Times New Roman" w:cs="Times New Roman" w:eastAsia="Times New Roman" w:hAnsi="Times New Roman"/>
          <w:b w:val="false"/>
          <w:bCs w:val="false"/>
          <w:i/>
          <w:iCs/>
        </w:rPr>
        <w:t xml:space="preserve">Organizational Behavior and Human Decision Processes, 151</w:t>
      </w:r>
      <w:r>
        <w:rPr>
          <w:rFonts w:ascii="Times New Roman" w:cs="Times New Roman" w:eastAsia="Times New Roman" w:hAnsi="Times New Roman"/>
          <w:b w:val="false"/>
          <w:bCs w:val="false"/>
          <w:i w:val="false"/>
          <w:iCs w:val="false"/>
        </w:rPr>
        <w:t xml:space="preserve">, 90–103.</w:t>
      </w:r>
    </w:p>
    <w:p>
      <w:pPr>
        <w:spacing w:after="0" w:line="480" w:lineRule="auto"/>
        <w:ind w:left="720" w:hanging="720"/>
      </w:pPr>
      <w:r>
        <w:rPr>
          <w:rFonts w:ascii="Times New Roman" w:cs="Times New Roman" w:eastAsia="Times New Roman" w:hAnsi="Times New Roman"/>
          <w:b w:val="false"/>
          <w:bCs w:val="false"/>
          <w:i w:val="false"/>
          <w:iCs w:val="false"/>
        </w:rPr>
        <w:t xml:space="preserve">Norton, M. I., Mochon, D., &amp; Ariely, D. (2012). The IKEA effect: When labor leads to love. </w:t>
      </w:r>
      <w:r>
        <w:rPr>
          <w:rFonts w:ascii="Times New Roman" w:cs="Times New Roman" w:eastAsia="Times New Roman" w:hAnsi="Times New Roman"/>
          <w:b w:val="false"/>
          <w:bCs w:val="false"/>
          <w:i/>
          <w:iCs/>
        </w:rPr>
        <w:t xml:space="preserve">Journal of Consumer Psychology, 22</w:t>
      </w:r>
      <w:r>
        <w:rPr>
          <w:rFonts w:ascii="Times New Roman" w:cs="Times New Roman" w:eastAsia="Times New Roman" w:hAnsi="Times New Roman"/>
          <w:b w:val="false"/>
          <w:bCs w:val="false"/>
          <w:i w:val="false"/>
          <w:iCs w:val="false"/>
        </w:rPr>
        <w:t xml:space="preserve">(3), 453–460.</w:t>
      </w:r>
    </w:p>
    <w:p>
      <w:pPr>
        <w:spacing w:after="0" w:line="480" w:lineRule="auto"/>
        <w:ind w:left="720" w:hanging="720"/>
      </w:pPr>
      <w:r>
        <w:rPr>
          <w:rFonts w:ascii="Times New Roman" w:cs="Times New Roman" w:eastAsia="Times New Roman" w:hAnsi="Times New Roman"/>
          <w:b w:val="false"/>
          <w:bCs w:val="false"/>
          <w:i w:val="false"/>
          <w:iCs w:val="false"/>
        </w:rPr>
        <w:t xml:space="preserve">O’Donoghue, T., &amp; Rabin, M. (1999). Doing it now or later. </w:t>
      </w:r>
      <w:r>
        <w:rPr>
          <w:rFonts w:ascii="Times New Roman" w:cs="Times New Roman" w:eastAsia="Times New Roman" w:hAnsi="Times New Roman"/>
          <w:b w:val="false"/>
          <w:bCs w:val="false"/>
          <w:i/>
          <w:iCs/>
        </w:rPr>
        <w:t xml:space="preserve">American Economic Review, 89</w:t>
      </w:r>
      <w:r>
        <w:rPr>
          <w:rFonts w:ascii="Times New Roman" w:cs="Times New Roman" w:eastAsia="Times New Roman" w:hAnsi="Times New Roman"/>
          <w:b w:val="false"/>
          <w:bCs w:val="false"/>
          <w:i w:val="false"/>
          <w:iCs w:val="false"/>
        </w:rPr>
        <w:t xml:space="preserve">(1), 103–124.</w:t>
      </w:r>
    </w:p>
    <w:p>
      <w:pPr>
        <w:spacing w:after="0" w:line="480" w:lineRule="auto"/>
        <w:ind w:left="720" w:hanging="720"/>
      </w:pPr>
      <w:r>
        <w:rPr>
          <w:rFonts w:ascii="Times New Roman" w:cs="Times New Roman" w:eastAsia="Times New Roman" w:hAnsi="Times New Roman"/>
          <w:b w:val="false"/>
          <w:bCs w:val="false"/>
          <w:i w:val="false"/>
          <w:iCs w:val="false"/>
        </w:rPr>
        <w:t xml:space="preserve">Ostrom, E. (1990). </w:t>
      </w:r>
      <w:r>
        <w:rPr>
          <w:rFonts w:ascii="Times New Roman" w:cs="Times New Roman" w:eastAsia="Times New Roman" w:hAnsi="Times New Roman"/>
          <w:b w:val="false"/>
          <w:bCs w:val="false"/>
          <w:i/>
          <w:iCs/>
        </w:rPr>
        <w:t xml:space="preserve">Governing the commons: The evolution of institutions for collective action</w:t>
      </w:r>
      <w:r>
        <w:rPr>
          <w:rFonts w:ascii="Times New Roman" w:cs="Times New Roman" w:eastAsia="Times New Roman" w:hAnsi="Times New Roman"/>
          <w:b w:val="false"/>
          <w:bCs w:val="false"/>
          <w:i w:val="false"/>
          <w:iCs w:val="false"/>
        </w:rPr>
        <w:t xml:space="preserve">. Cambridge University Press.</w:t>
      </w:r>
    </w:p>
    <w:p>
      <w:pPr>
        <w:spacing w:after="0" w:line="480" w:lineRule="auto"/>
        <w:ind w:left="720" w:hanging="720"/>
      </w:pPr>
      <w:r>
        <w:rPr>
          <w:rFonts w:ascii="Times New Roman" w:cs="Times New Roman" w:eastAsia="Times New Roman" w:hAnsi="Times New Roman"/>
          <w:b w:val="false"/>
          <w:bCs w:val="false"/>
          <w:i w:val="false"/>
          <w:iCs w:val="false"/>
        </w:rPr>
        <w:t xml:space="preserve">Parasuraman, R., &amp; Manzey, D. H. (2010). Complacency and bias in human use of automation: An attentional integration. </w:t>
      </w:r>
      <w:r>
        <w:rPr>
          <w:rFonts w:ascii="Times New Roman" w:cs="Times New Roman" w:eastAsia="Times New Roman" w:hAnsi="Times New Roman"/>
          <w:b w:val="false"/>
          <w:bCs w:val="false"/>
          <w:i/>
          <w:iCs/>
        </w:rPr>
        <w:t xml:space="preserve">Human Factors, 52</w:t>
      </w:r>
      <w:r>
        <w:rPr>
          <w:rFonts w:ascii="Times New Roman" w:cs="Times New Roman" w:eastAsia="Times New Roman" w:hAnsi="Times New Roman"/>
          <w:b w:val="false"/>
          <w:bCs w:val="false"/>
          <w:i w:val="false"/>
          <w:iCs w:val="false"/>
        </w:rPr>
        <w:t xml:space="preserve">(3), 381–410.</w:t>
      </w:r>
    </w:p>
    <w:p>
      <w:pPr>
        <w:spacing w:after="0" w:line="480" w:lineRule="auto"/>
        <w:ind w:left="720" w:hanging="720"/>
      </w:pPr>
      <w:r>
        <w:rPr>
          <w:rFonts w:ascii="Times New Roman" w:cs="Times New Roman" w:eastAsia="Times New Roman" w:hAnsi="Times New Roman"/>
          <w:b w:val="false"/>
          <w:bCs w:val="false"/>
          <w:i w:val="false"/>
          <w:iCs w:val="false"/>
        </w:rPr>
        <w:t xml:space="preserve">Pearce, H., Ahmad, B., Tan, B., Dolan-Gavitt, B., &amp; Karri, R. (2022). Asleep at the keyboard? Assessing the security of GitHub Copilot’s code contributions. In </w:t>
      </w:r>
      <w:r>
        <w:rPr>
          <w:rFonts w:ascii="Times New Roman" w:cs="Times New Roman" w:eastAsia="Times New Roman" w:hAnsi="Times New Roman"/>
          <w:b w:val="false"/>
          <w:bCs w:val="false"/>
          <w:i/>
          <w:iCs/>
        </w:rPr>
        <w:t xml:space="preserve">Proceedings of the 2022 IEEE Symposium on Security and Privacy</w:t>
      </w:r>
      <w:r>
        <w:rPr>
          <w:rFonts w:ascii="Times New Roman" w:cs="Times New Roman" w:eastAsia="Times New Roman" w:hAnsi="Times New Roman"/>
          <w:b w:val="false"/>
          <w:bCs w:val="false"/>
          <w:i w:val="false"/>
          <w:iCs w:val="false"/>
        </w:rPr>
        <w:t xml:space="preserve"> (pp. 754–768). IEEE.</w:t>
      </w:r>
    </w:p>
    <w:p>
      <w:pPr>
        <w:spacing w:after="0" w:line="480" w:lineRule="auto"/>
        <w:ind w:left="720" w:hanging="720"/>
      </w:pPr>
      <w:r>
        <w:rPr>
          <w:rFonts w:ascii="Times New Roman" w:cs="Times New Roman" w:eastAsia="Times New Roman" w:hAnsi="Times New Roman"/>
          <w:b w:val="false"/>
          <w:bCs w:val="false"/>
          <w:i w:val="false"/>
          <w:iCs w:val="false"/>
        </w:rPr>
        <w:t xml:space="preserve">Pierce, J. L., Kostova, T., &amp; Dirks, K. T. (2001). Toward a theory of psychological ownership in organizations. </w:t>
      </w:r>
      <w:r>
        <w:rPr>
          <w:rFonts w:ascii="Times New Roman" w:cs="Times New Roman" w:eastAsia="Times New Roman" w:hAnsi="Times New Roman"/>
          <w:b w:val="false"/>
          <w:bCs w:val="false"/>
          <w:i/>
          <w:iCs/>
        </w:rPr>
        <w:t xml:space="preserve">Academy of Management Review, 26</w:t>
      </w:r>
      <w:r>
        <w:rPr>
          <w:rFonts w:ascii="Times New Roman" w:cs="Times New Roman" w:eastAsia="Times New Roman" w:hAnsi="Times New Roman"/>
          <w:b w:val="false"/>
          <w:bCs w:val="false"/>
          <w:i w:val="false"/>
          <w:iCs w:val="false"/>
        </w:rPr>
        <w:t xml:space="preserve">(2), 298–310.</w:t>
      </w:r>
    </w:p>
    <w:p>
      <w:pPr>
        <w:spacing w:after="0" w:line="480" w:lineRule="auto"/>
        <w:ind w:left="720" w:hanging="720"/>
      </w:pPr>
      <w:r>
        <w:rPr>
          <w:rFonts w:ascii="Times New Roman" w:cs="Times New Roman" w:eastAsia="Times New Roman" w:hAnsi="Times New Roman"/>
          <w:b w:val="false"/>
          <w:bCs w:val="false"/>
          <w:i w:val="false"/>
          <w:iCs w:val="false"/>
        </w:rPr>
        <w:t xml:space="preserve">Potdar, A., &amp; Shihab, E. (2014). An exploratory study on self-admitted technical debt. In </w:t>
      </w:r>
      <w:r>
        <w:rPr>
          <w:rFonts w:ascii="Times New Roman" w:cs="Times New Roman" w:eastAsia="Times New Roman" w:hAnsi="Times New Roman"/>
          <w:b w:val="false"/>
          <w:bCs w:val="false"/>
          <w:i/>
          <w:iCs/>
        </w:rPr>
        <w:t xml:space="preserve">Proceedings of the 2014 IEEE International Conference on Software Maintenance and Evolution</w:t>
      </w:r>
      <w:r>
        <w:rPr>
          <w:rFonts w:ascii="Times New Roman" w:cs="Times New Roman" w:eastAsia="Times New Roman" w:hAnsi="Times New Roman"/>
          <w:b w:val="false"/>
          <w:bCs w:val="false"/>
          <w:i w:val="false"/>
          <w:iCs w:val="false"/>
        </w:rPr>
        <w:t xml:space="preserve"> (pp. 91–100). IEEE.</w:t>
      </w:r>
    </w:p>
    <w:p>
      <w:pPr>
        <w:spacing w:after="0" w:line="480" w:lineRule="auto"/>
        <w:ind w:left="720" w:hanging="720"/>
      </w:pPr>
      <w:r>
        <w:rPr>
          <w:rFonts w:ascii="Times New Roman" w:cs="Times New Roman" w:eastAsia="Times New Roman" w:hAnsi="Times New Roman"/>
          <w:b w:val="false"/>
          <w:bCs w:val="false"/>
          <w:i w:val="false"/>
          <w:iCs w:val="false"/>
        </w:rPr>
        <w:t xml:space="preserve">Samuelson, W., &amp; Zeckhauser, R. (1988). Status quo bias in decision making. </w:t>
      </w:r>
      <w:r>
        <w:rPr>
          <w:rFonts w:ascii="Times New Roman" w:cs="Times New Roman" w:eastAsia="Times New Roman" w:hAnsi="Times New Roman"/>
          <w:b w:val="false"/>
          <w:bCs w:val="false"/>
          <w:i/>
          <w:iCs/>
        </w:rPr>
        <w:t xml:space="preserve">Journal of Risk and Uncertainty, 1</w:t>
      </w:r>
      <w:r>
        <w:rPr>
          <w:rFonts w:ascii="Times New Roman" w:cs="Times New Roman" w:eastAsia="Times New Roman" w:hAnsi="Times New Roman"/>
          <w:b w:val="false"/>
          <w:bCs w:val="false"/>
          <w:i w:val="false"/>
          <w:iCs w:val="false"/>
        </w:rPr>
        <w:t xml:space="preserve">(1), 7–59.</w:t>
      </w:r>
    </w:p>
    <w:p>
      <w:pPr>
        <w:spacing w:after="0" w:line="480" w:lineRule="auto"/>
        <w:ind w:left="720" w:hanging="720"/>
      </w:pPr>
      <w:r>
        <w:rPr>
          <w:rFonts w:ascii="Times New Roman" w:cs="Times New Roman" w:eastAsia="Times New Roman" w:hAnsi="Times New Roman"/>
          <w:b w:val="false"/>
          <w:bCs w:val="false"/>
          <w:i w:val="false"/>
          <w:iCs w:val="false"/>
        </w:rPr>
        <w:t xml:space="preserve">Seaman, C., &amp; Guo, Y. (2011). Measuring and monitoring technical debt. </w:t>
      </w:r>
      <w:r>
        <w:rPr>
          <w:rFonts w:ascii="Times New Roman" w:cs="Times New Roman" w:eastAsia="Times New Roman" w:hAnsi="Times New Roman"/>
          <w:b w:val="false"/>
          <w:bCs w:val="false"/>
          <w:i/>
          <w:iCs/>
        </w:rPr>
        <w:t xml:space="preserve">Advances in Computers, 82</w:t>
      </w:r>
      <w:r>
        <w:rPr>
          <w:rFonts w:ascii="Times New Roman" w:cs="Times New Roman" w:eastAsia="Times New Roman" w:hAnsi="Times New Roman"/>
          <w:b w:val="false"/>
          <w:bCs w:val="false"/>
          <w:i w:val="false"/>
          <w:iCs w:val="false"/>
        </w:rPr>
        <w:t xml:space="preserve">, 25–46.</w:t>
      </w:r>
    </w:p>
    <w:p>
      <w:pPr>
        <w:spacing w:after="0" w:line="480" w:lineRule="auto"/>
        <w:ind w:left="720" w:hanging="720"/>
      </w:pPr>
      <w:r>
        <w:rPr>
          <w:rFonts w:ascii="Times New Roman" w:cs="Times New Roman" w:eastAsia="Times New Roman" w:hAnsi="Times New Roman"/>
          <w:b w:val="false"/>
          <w:bCs w:val="false"/>
          <w:i w:val="false"/>
          <w:iCs w:val="false"/>
        </w:rPr>
        <w:t xml:space="preserve">Slater, T. (2025). </w:t>
      </w:r>
      <w:r>
        <w:rPr>
          <w:rFonts w:ascii="Times New Roman" w:cs="Times New Roman" w:eastAsia="Times New Roman" w:hAnsi="Times New Roman"/>
          <w:b w:val="false"/>
          <w:bCs w:val="false"/>
          <w:i/>
          <w:iCs/>
        </w:rPr>
        <w:t xml:space="preserve">Quantitative analysis of technical debt and pattern violation in large language model architectures</w:t>
      </w:r>
      <w:r>
        <w:rPr>
          <w:rFonts w:ascii="Times New Roman" w:cs="Times New Roman" w:eastAsia="Times New Roman" w:hAnsi="Times New Roman"/>
          <w:b w:val="false"/>
          <w:bCs w:val="false"/>
          <w:i w:val="false"/>
          <w:iCs w:val="false"/>
        </w:rPr>
        <w:t xml:space="preserve"> (arXiv:2512.04273). arXiv.</w:t>
      </w:r>
    </w:p>
    <w:p>
      <w:pPr>
        <w:spacing w:after="0" w:line="480" w:lineRule="auto"/>
        <w:ind w:left="720" w:hanging="720"/>
      </w:pPr>
      <w:r>
        <w:rPr>
          <w:rFonts w:ascii="Times New Roman" w:cs="Times New Roman" w:eastAsia="Times New Roman" w:hAnsi="Times New Roman"/>
          <w:b w:val="false"/>
          <w:bCs w:val="false"/>
          <w:i w:val="false"/>
          <w:iCs w:val="false"/>
        </w:rPr>
        <w:t xml:space="preserve">Sorrell, S. (2009). Jevons’ paradox revisited: The evidence for backfire from improved energy efficiency. </w:t>
      </w:r>
      <w:r>
        <w:rPr>
          <w:rFonts w:ascii="Times New Roman" w:cs="Times New Roman" w:eastAsia="Times New Roman" w:hAnsi="Times New Roman"/>
          <w:b w:val="false"/>
          <w:bCs w:val="false"/>
          <w:i/>
          <w:iCs/>
        </w:rPr>
        <w:t xml:space="preserve">Energy Policy, 37</w:t>
      </w:r>
      <w:r>
        <w:rPr>
          <w:rFonts w:ascii="Times New Roman" w:cs="Times New Roman" w:eastAsia="Times New Roman" w:hAnsi="Times New Roman"/>
          <w:b w:val="false"/>
          <w:bCs w:val="false"/>
          <w:i w:val="false"/>
          <w:iCs w:val="false"/>
        </w:rPr>
        <w:t xml:space="preserve">(4), 1456–1469.</w:t>
      </w:r>
    </w:p>
    <w:p>
      <w:pPr>
        <w:spacing w:after="0" w:line="480" w:lineRule="auto"/>
        <w:ind w:left="720" w:hanging="720"/>
      </w:pPr>
      <w:r>
        <w:rPr>
          <w:rFonts w:ascii="Times New Roman" w:cs="Times New Roman" w:eastAsia="Times New Roman" w:hAnsi="Times New Roman"/>
          <w:b w:val="false"/>
          <w:bCs w:val="false"/>
          <w:i w:val="false"/>
          <w:iCs w:val="false"/>
        </w:rPr>
        <w:t xml:space="preserve">Stack Overflow. (2025). </w:t>
      </w:r>
      <w:r>
        <w:rPr>
          <w:rFonts w:ascii="Times New Roman" w:cs="Times New Roman" w:eastAsia="Times New Roman" w:hAnsi="Times New Roman"/>
          <w:b w:val="false"/>
          <w:bCs w:val="false"/>
          <w:i/>
          <w:iCs/>
        </w:rPr>
        <w:t xml:space="preserve">2025 developer survey</w:t>
      </w:r>
      <w:r>
        <w:rPr>
          <w:rFonts w:ascii="Times New Roman" w:cs="Times New Roman" w:eastAsia="Times New Roman" w:hAnsi="Times New Roman"/>
          <w:b w:val="false"/>
          <w:bCs w:val="false"/>
          <w:i w:val="false"/>
          <w:iCs w:val="false"/>
        </w:rPr>
        <w:t xml:space="preserve">. Retrieved September 27, 2026, from https://survey.stackoverflow.co/2025/</w:t>
      </w:r>
    </w:p>
    <w:p>
      <w:pPr>
        <w:spacing w:after="0" w:line="480" w:lineRule="auto"/>
        <w:ind w:left="720" w:hanging="720"/>
      </w:pPr>
      <w:r>
        <w:rPr>
          <w:rFonts w:ascii="Times New Roman" w:cs="Times New Roman" w:eastAsia="Times New Roman" w:hAnsi="Times New Roman"/>
          <w:b w:val="false"/>
          <w:bCs w:val="false"/>
          <w:i w:val="false"/>
          <w:iCs w:val="false"/>
        </w:rPr>
        <w:t xml:space="preserve">Sun, X., Ståhl, D., Sandahl, K., &amp; Kessler, C. (2026). Quality assurance of LLM-generated code: Addressing non-functional quality characteristics. </w:t>
      </w:r>
      <w:r>
        <w:rPr>
          <w:rFonts w:ascii="Times New Roman" w:cs="Times New Roman" w:eastAsia="Times New Roman" w:hAnsi="Times New Roman"/>
          <w:b w:val="false"/>
          <w:bCs w:val="false"/>
          <w:i/>
          <w:iCs/>
        </w:rPr>
        <w:t xml:space="preserve">Journal of Systems and Software, 238</w:t>
      </w:r>
      <w:r>
        <w:rPr>
          <w:rFonts w:ascii="Times New Roman" w:cs="Times New Roman" w:eastAsia="Times New Roman" w:hAnsi="Times New Roman"/>
          <w:b w:val="false"/>
          <w:bCs w:val="false"/>
          <w:i w:val="false"/>
          <w:iCs w:val="false"/>
        </w:rPr>
        <w:t xml:space="preserve">, Article 112885.</w:t>
      </w:r>
    </w:p>
    <w:p>
      <w:pPr>
        <w:spacing w:after="0" w:line="480" w:lineRule="auto"/>
        <w:ind w:left="720" w:hanging="720"/>
      </w:pPr>
      <w:r>
        <w:rPr>
          <w:rFonts w:ascii="Times New Roman" w:cs="Times New Roman" w:eastAsia="Times New Roman" w:hAnsi="Times New Roman"/>
          <w:b w:val="false"/>
          <w:bCs w:val="false"/>
          <w:i w:val="false"/>
          <w:iCs w:val="false"/>
        </w:rPr>
        <w:t xml:space="preserve">Thaler, R. H., &amp; Sunstein, C. R. (2008). </w:t>
      </w:r>
      <w:r>
        <w:rPr>
          <w:rFonts w:ascii="Times New Roman" w:cs="Times New Roman" w:eastAsia="Times New Roman" w:hAnsi="Times New Roman"/>
          <w:b w:val="false"/>
          <w:bCs w:val="false"/>
          <w:i/>
          <w:iCs/>
        </w:rPr>
        <w:t xml:space="preserve">Nudge: Improving decisions about health, wealth, and happiness</w:t>
      </w:r>
      <w:r>
        <w:rPr>
          <w:rFonts w:ascii="Times New Roman" w:cs="Times New Roman" w:eastAsia="Times New Roman" w:hAnsi="Times New Roman"/>
          <w:b w:val="false"/>
          <w:bCs w:val="false"/>
          <w:i w:val="false"/>
          <w:iCs w:val="false"/>
        </w:rPr>
        <w:t xml:space="preserve">. Yale University Press.</w:t>
      </w:r>
    </w:p>
    <w:p>
      <w:pPr>
        <w:spacing w:after="0" w:line="480" w:lineRule="auto"/>
        <w:ind w:left="720" w:hanging="720"/>
      </w:pPr>
      <w:r>
        <w:rPr>
          <w:rFonts w:ascii="Times New Roman" w:cs="Times New Roman" w:eastAsia="Times New Roman" w:hAnsi="Times New Roman"/>
          <w:b w:val="false"/>
          <w:bCs w:val="false"/>
          <w:i w:val="false"/>
          <w:iCs w:val="false"/>
        </w:rPr>
        <w:t xml:space="preserve">Tom, E., Aurum, A., &amp; Vidgen, R. (2013). An exploration of technical debt. </w:t>
      </w:r>
      <w:r>
        <w:rPr>
          <w:rFonts w:ascii="Times New Roman" w:cs="Times New Roman" w:eastAsia="Times New Roman" w:hAnsi="Times New Roman"/>
          <w:b w:val="false"/>
          <w:bCs w:val="false"/>
          <w:i/>
          <w:iCs/>
        </w:rPr>
        <w:t xml:space="preserve">Journal of Systems and Software, 86</w:t>
      </w:r>
      <w:r>
        <w:rPr>
          <w:rFonts w:ascii="Times New Roman" w:cs="Times New Roman" w:eastAsia="Times New Roman" w:hAnsi="Times New Roman"/>
          <w:b w:val="false"/>
          <w:bCs w:val="false"/>
          <w:i w:val="false"/>
          <w:iCs w:val="false"/>
        </w:rPr>
        <w:t xml:space="preserve">(6), 1498–1516.</w:t>
      </w:r>
    </w:p>
    <w:p>
      <w:pPr>
        <w:spacing w:after="0" w:line="480" w:lineRule="auto"/>
        <w:ind w:left="720" w:hanging="720"/>
      </w:pPr>
      <w:r>
        <w:rPr>
          <w:rFonts w:ascii="Times New Roman" w:cs="Times New Roman" w:eastAsia="Times New Roman" w:hAnsi="Times New Roman"/>
          <w:b w:val="false"/>
          <w:bCs w:val="false"/>
          <w:i w:val="false"/>
          <w:iCs w:val="false"/>
        </w:rPr>
        <w:t xml:space="preserve">Yetiştiren, B., Özsoy, I., Ayerdem, M., &amp; Tüzün, E. (2023). </w:t>
      </w:r>
      <w:r>
        <w:rPr>
          <w:rFonts w:ascii="Times New Roman" w:cs="Times New Roman" w:eastAsia="Times New Roman" w:hAnsi="Times New Roman"/>
          <w:b w:val="false"/>
          <w:bCs w:val="false"/>
          <w:i/>
          <w:iCs/>
        </w:rPr>
        <w:t xml:space="preserve">Evaluating the code quality of AI-assisted code generation tools: An empirical study on GitHub Copilot, Amazon CodeWhisperer, and ChatGPT</w:t>
      </w:r>
      <w:r>
        <w:rPr>
          <w:rFonts w:ascii="Times New Roman" w:cs="Times New Roman" w:eastAsia="Times New Roman" w:hAnsi="Times New Roman"/>
          <w:b w:val="false"/>
          <w:bCs w:val="false"/>
          <w:i w:val="false"/>
          <w:iCs w:val="false"/>
        </w:rPr>
        <w:t xml:space="preserve"> (arXiv:2304.10778). arXiv.</w:t>
      </w:r>
    </w:p>
    <w:p>
      <w:pPr>
        <w:spacing w:after="0" w:line="480" w:lineRule="auto"/>
        <w:ind w:left="720" w:hanging="720"/>
      </w:pPr>
      <w:r>
        <w:rPr>
          <w:rFonts w:ascii="Times New Roman" w:cs="Times New Roman" w:eastAsia="Times New Roman" w:hAnsi="Times New Roman"/>
          <w:b w:val="false"/>
          <w:bCs w:val="false"/>
          <w:i w:val="false"/>
          <w:iCs w:val="false"/>
        </w:rPr>
        <w:t xml:space="preserve">Zhu, Y., Tsantalis, N., &amp; Rigby, P. C. (2026). </w:t>
      </w:r>
      <w:r>
        <w:rPr>
          <w:rFonts w:ascii="Times New Roman" w:cs="Times New Roman" w:eastAsia="Times New Roman" w:hAnsi="Times New Roman"/>
          <w:b w:val="false"/>
          <w:bCs w:val="false"/>
          <w:i/>
          <w:iCs/>
        </w:rPr>
        <w:t xml:space="preserve">AI-generated smells: An analysis of code and architecture in LLM and agent-driven development</w:t>
      </w:r>
      <w:r>
        <w:rPr>
          <w:rFonts w:ascii="Times New Roman" w:cs="Times New Roman" w:eastAsia="Times New Roman" w:hAnsi="Times New Roman"/>
          <w:b w:val="false"/>
          <w:bCs w:val="false"/>
          <w:i w:val="false"/>
          <w:iCs w:val="false"/>
        </w:rPr>
        <w:t xml:space="preserve"> (arXiv:2605.02741). arXiv.</w:t>
      </w:r>
    </w:p>
    <w:sectPr>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9bc4798610b290a7dfde4c5351cf3a673f365a0.png"/><Relationship Id="rId10" Type="http://schemas.openxmlformats.org/officeDocument/2006/relationships/image" Target="media/deadd7be2eaf4deb9e30ab605344e5485aa98fbe.png"/><Relationship Id="rId11" Type="http://schemas.openxmlformats.org/officeDocument/2006/relationships/image" Target="media/5f81bb9b1e9d553a8ce2780fba2d3e5391d0c2c8.png"/><Relationship Id="rId12" Type="http://schemas.openxmlformats.org/officeDocument/2006/relationships/image" Target="media/3ceccea5fa9c191d46751b8686057f1384e043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 Code, Costly Choices</dc:title>
  <cp:lastModifiedBy>Un-named</cp:lastModifiedBy>
  <cp:revision>1</cp:revision>
  <dcterms:created xsi:type="dcterms:W3CDTF">2026-10-10T07:05:53.353Z</dcterms:created>
  <dcterms:modified xsi:type="dcterms:W3CDTF">2026-10-10T07:05:53.353Z</dcterms:modified>
</cp:coreProperties>
</file>

<file path=docProps/custom.xml><?xml version="1.0" encoding="utf-8"?>
<Properties xmlns="http://schemas.openxmlformats.org/officeDocument/2006/custom-properties" xmlns:vt="http://schemas.openxmlformats.org/officeDocument/2006/docPropsVTypes"/>
</file>