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t xml:space="preserve">Ook</w:t>
      </w:r>
      <w:r>
        <w:t xml:space="preserve"> </w:t>
      </w:r>
      <w:r>
        <w:t xml:space="preserve">Lee</w:t>
      </w:r>
      <w:r>
        <w:br/>
      </w:r>
      <w:r>
        <w:t xml:space="preserve">Department</w:t>
      </w:r>
      <w:r>
        <w:t xml:space="preserve"> </w:t>
      </w:r>
      <w:r>
        <w:t xml:space="preserve">of</w:t>
      </w:r>
      <w:r>
        <w:t xml:space="preserve"> </w:t>
      </w:r>
      <w:r>
        <w:t xml:space="preserve">Information</w:t>
      </w:r>
      <w:r>
        <w:t xml:space="preserve"> </w:t>
      </w:r>
      <w:r>
        <w:t xml:space="preserve">System,</w:t>
      </w:r>
      <w:r>
        <w:t xml:space="preserve"> </w:t>
      </w:r>
      <w:r>
        <w:t xml:space="preserve">Hanyang</w:t>
      </w:r>
      <w:r>
        <w:t xml:space="preserve"> </w:t>
      </w:r>
      <w:r>
        <w:t xml:space="preserve">University,</w:t>
      </w:r>
      <w:r>
        <w:t xml:space="preserve"> </w:t>
      </w:r>
      <w:r>
        <w:t xml:space="preserve">Seoul,</w:t>
      </w:r>
      <w:r>
        <w:t xml:space="preserve"> </w:t>
      </w:r>
      <w:r>
        <w:t xml:space="preserve">Republic</w:t>
      </w:r>
      <w:r>
        <w:t xml:space="preserve"> </w:t>
      </w:r>
      <w:r>
        <w:t xml:space="preserve">of</w:t>
      </w:r>
      <w:r>
        <w:t xml:space="preserve"> </w:t>
      </w:r>
      <w:r>
        <w:t xml:space="preserve">Korea</w:t>
      </w:r>
      <w:r>
        <w:br/>
      </w:r>
      <w:r>
        <w:t xml:space="preserve">Corresponding</w:t>
      </w:r>
      <w:r>
        <w:t xml:space="preserve"> </w:t>
      </w:r>
      <w:r>
        <w:t xml:space="preserve">author.</w:t>
      </w:r>
      <w:r>
        <w:t xml:space="preserve"> </w:t>
      </w:r>
      <w:r>
        <w:t xml:space="preserve">E-mail:</w:t>
      </w:r>
      <w:r>
        <w:t xml:space="preserve"> </w:t>
      </w:r>
      <w:r>
        <w:rPr>
          <w:bCs/>
          <w:b/>
        </w:rPr>
        <w:t xml:space="preserve">[to</w:t>
      </w:r>
      <w:r>
        <w:rPr>
          <w:bCs/>
          <w:b/>
        </w:rPr>
        <w:t xml:space="preserve"> </w:t>
      </w:r>
      <w:r>
        <w:rPr>
          <w:bCs/>
          <w:b/>
        </w:rPr>
        <w:t xml:space="preserve">be</w:t>
      </w:r>
      <w:r>
        <w:rPr>
          <w:bCs/>
          <w:b/>
        </w:rPr>
        <w:t xml:space="preserve"> </w:t>
      </w:r>
      <w:r>
        <w:rPr>
          <w:bCs/>
          <w:b/>
        </w:rPr>
        <w:t xml:space="preserve">added]</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closed-form</w:t>
      </w:r>
      <w:r>
        <w:t xml:space="preserve"> </w:t>
      </w:r>
      <w:r>
        <w:t xml:space="preserve">retraining</w:t>
      </w:r>
      <w:r>
        <w:t xml:space="preserve"> </w:t>
      </w:r>
      <w:r>
        <w:t xml:space="preserve">threshold</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We</w:t>
      </w:r>
      <w:r>
        <w:t xml:space="preserve"> </w:t>
      </w:r>
      <w:r>
        <w:t xml:space="preserve">measure</w:t>
      </w:r>
      <w:r>
        <w:t xml:space="preserve"> </w:t>
      </w:r>
      <w:r>
        <w:t xml:space="preserve">recovery</w:t>
      </w:r>
      <w:r>
        <w:t xml:space="preserve"> </w:t>
      </w:r>
      <w:r>
        <w:t xml:space="preserve">on</w:t>
      </w:r>
      <w:r>
        <w:t xml:space="preserve"> </w:t>
      </w:r>
      <w:r>
        <w:t xml:space="preserve">open</w:t>
      </w:r>
      <w:r>
        <w:t xml:space="preserve"> </w:t>
      </w:r>
      <w:r>
        <w:t xml:space="preserve">model</w:t>
      </w:r>
      <w:r>
        <w:t xml:space="preserve"> </w:t>
      </w:r>
      <w:r>
        <w:t xml:space="preserve">pairs.</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93</w:t>
      </w:r>
      <w:r>
        <w:t xml:space="preserve"> </w:t>
      </w:r>
      <w:r>
        <w:t xml:space="preserve">to</w:t>
      </w:r>
      <w:r>
        <w:t xml:space="preserve"> </w:t>
      </w:r>
      <w:r>
        <w:t xml:space="preserve">96</w:t>
      </w:r>
      <w:r>
        <w:t xml:space="preserve"> </w:t>
      </w:r>
      <w:r>
        <w:t xml:space="preserve">percent</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after</w:t>
      </w:r>
      <w:r>
        <w:t xml:space="preserve"> </w:t>
      </w:r>
      <w:r>
        <w:t xml:space="preserve">small</w:t>
      </w:r>
      <w:r>
        <w:t xml:space="preserve"> </w:t>
      </w:r>
      <w:r>
        <w:t xml:space="preserve">upgrades</w:t>
      </w:r>
      <w:r>
        <w:t xml:space="preserve"> </w:t>
      </w:r>
      <w:r>
        <w:t xml:space="preserve">but</w:t>
      </w:r>
      <w:r>
        <w:t xml:space="preserve"> </w:t>
      </w:r>
      <w:r>
        <w:t xml:space="preserve">only</w:t>
      </w:r>
      <w:r>
        <w:t xml:space="preserve"> </w:t>
      </w:r>
      <w:r>
        <w:t xml:space="preserve">32</w:t>
      </w:r>
      <w:r>
        <w:t xml:space="preserve"> </w:t>
      </w:r>
      <w:r>
        <w:t xml:space="preserve">to</w:t>
      </w:r>
      <w:r>
        <w:t xml:space="preserve"> </w:t>
      </w:r>
      <w:r>
        <w:t xml:space="preserve">36</w:t>
      </w:r>
      <w:r>
        <w:t xml:space="preserve"> </w:t>
      </w:r>
      <w:r>
        <w:t xml:space="preserve">percent</w:t>
      </w:r>
      <w:r>
        <w:t xml:space="preserve"> </w:t>
      </w:r>
      <w:r>
        <w:t xml:space="preserve">after</w:t>
      </w:r>
      <w:r>
        <w:t xml:space="preserve"> </w:t>
      </w:r>
      <w:r>
        <w:t xml:space="preserve">a</w:t>
      </w:r>
      <w:r>
        <w:t xml:space="preserve"> </w:t>
      </w:r>
      <w:r>
        <w:t xml:space="preserve">large</w:t>
      </w:r>
      <w:r>
        <w:t xml:space="preserve"> </w:t>
      </w:r>
      <w:r>
        <w:t xml:space="preserve">one</w:t>
      </w:r>
      <w:r>
        <w:t xml:space="preserve"> </w:t>
      </w:r>
      <w:r>
        <w:t xml:space="preserve">(two</w:t>
      </w:r>
      <w:r>
        <w:t xml:space="preserve"> </w:t>
      </w:r>
      <w:r>
        <w:t xml:space="preserve">seeds),</w:t>
      </w:r>
      <w:r>
        <w:t xml:space="preserve"> </w:t>
      </w:r>
      <w:r>
        <w:t xml:space="preserve">and</w:t>
      </w:r>
      <w:r>
        <w:t xml:space="preserve"> </w:t>
      </w:r>
      <w:r>
        <w:t xml:space="preserve">71</w:t>
      </w:r>
      <w:r>
        <w:t xml:space="preserve"> </w:t>
      </w:r>
      <w:r>
        <w:t xml:space="preserve">percent</w:t>
      </w:r>
      <w:r>
        <w:t xml:space="preserve"> </w:t>
      </w:r>
      <w:r>
        <w:t xml:space="preserve">after</w:t>
      </w:r>
      <w:r>
        <w:t xml:space="preserve"> </w:t>
      </w:r>
      <w:r>
        <w:t xml:space="preserve">instruction</w:t>
      </w:r>
      <w:r>
        <w:t xml:space="preserve"> </w:t>
      </w:r>
      <w:r>
        <w:t xml:space="preserve">tuning.</w:t>
      </w:r>
      <w:r>
        <w:t xml:space="preserve"> </w:t>
      </w:r>
      <w:r>
        <w:t xml:space="preserve">A</w:t>
      </w:r>
      <w:r>
        <w:t xml:space="preserve"> </w:t>
      </w:r>
      <w:r>
        <w:t xml:space="preserve">label-free,</w:t>
      </w:r>
      <w:r>
        <w:t xml:space="preserve"> </w:t>
      </w:r>
      <w:r>
        <w:t xml:space="preserve">closed-form</w:t>
      </w:r>
      <w:r>
        <w:t xml:space="preserve"> </w:t>
      </w:r>
      <w:r>
        <w:t xml:space="preserve">transfer</w:t>
      </w:r>
      <w:r>
        <w:t xml:space="preserve"> </w:t>
      </w:r>
      <w:r>
        <w:t xml:space="preserve">method,</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restores</w:t>
      </w:r>
      <w:r>
        <w:t xml:space="preserve"> </w:t>
      </w:r>
      <w:r>
        <w:t xml:space="preserve">69</w:t>
      </w:r>
      <w:r>
        <w:t xml:space="preserve"> </w:t>
      </w:r>
      <w:r>
        <w:t xml:space="preserve">to</w:t>
      </w:r>
      <w:r>
        <w:t xml:space="preserve"> </w:t>
      </w:r>
      <w:r>
        <w:t xml:space="preserve">72</w:t>
      </w:r>
      <w:r>
        <w:t xml:space="preserve"> </w:t>
      </w:r>
      <w:r>
        <w:t xml:space="preserve">percent</w:t>
      </w:r>
      <w:r>
        <w:t xml:space="preserve"> </w:t>
      </w:r>
      <w:r>
        <w:t xml:space="preserve">after</w:t>
      </w:r>
      <w:r>
        <w:t xml:space="preserve"> </w:t>
      </w:r>
      <w:r>
        <w:t xml:space="preserve">the</w:t>
      </w:r>
      <w:r>
        <w:t xml:space="preserve"> </w:t>
      </w:r>
      <w:r>
        <w:t xml:space="preserve">large</w:t>
      </w:r>
      <w:r>
        <w:t xml:space="preserve"> </w:t>
      </w:r>
      <w:r>
        <w:t xml:space="preserve">upgrade</w:t>
      </w:r>
      <w:r>
        <w:t xml:space="preserve"> </w:t>
      </w:r>
      <w:r>
        <w:t xml:space="preserve">at</w:t>
      </w:r>
      <w:r>
        <w:t xml:space="preserve"> </w:t>
      </w:r>
      <w:r>
        <w:t xml:space="preserve">about</w:t>
      </w:r>
      <w:r>
        <w:t xml:space="preserve"> </w:t>
      </w:r>
      <w:r>
        <w:t xml:space="preserve">a</w:t>
      </w:r>
      <w:r>
        <w:t xml:space="preserve"> </w:t>
      </w:r>
      <w:r>
        <w:t xml:space="preserve">third</w:t>
      </w:r>
      <w:r>
        <w:t xml:space="preserve"> </w:t>
      </w:r>
      <w:r>
        <w:t xml:space="preserve">of</w:t>
      </w:r>
      <w:r>
        <w:t xml:space="preserve"> </w:t>
      </w:r>
      <w:r>
        <w:t xml:space="preserve">the</w:t>
      </w:r>
      <w:r>
        <w:t xml:space="preserve"> </w:t>
      </w:r>
      <w:r>
        <w:t xml:space="preserve">retraining</w:t>
      </w:r>
      <w:r>
        <w:t xml:space="preserve"> </w:t>
      </w:r>
      <w:r>
        <w:t xml:space="preserve">compute</w:t>
      </w:r>
      <w:r>
        <w:t xml:space="preserve"> </w:t>
      </w:r>
      <w:r>
        <w:t xml:space="preserve">time,</w:t>
      </w:r>
      <w:r>
        <w:t xml:space="preserve"> </w:t>
      </w:r>
      <w:r>
        <w:t xml:space="preserve">which</w:t>
      </w:r>
      <w:r>
        <w:t xml:space="preserve"> </w:t>
      </w:r>
      <w:r>
        <w:t xml:space="preserve">makes</w:t>
      </w:r>
      <w:r>
        <w:t xml:space="preserve"> </w:t>
      </w:r>
      <w:r>
        <w:t xml:space="preserve">it</w:t>
      </w:r>
      <w:r>
        <w:t xml:space="preserve"> </w:t>
      </w:r>
      <w:r>
        <w:t xml:space="preserve">the</w:t>
      </w:r>
      <w:r>
        <w:t xml:space="preserve"> </w:t>
      </w:r>
      <w:r>
        <w:t xml:space="preserve">cost-minimizing</w:t>
      </w:r>
      <w:r>
        <w:t xml:space="preserve"> </w:t>
      </w:r>
      <w:r>
        <w:t xml:space="preserve">policy</w:t>
      </w:r>
      <w:r>
        <w:t xml:space="preserve"> </w:t>
      </w:r>
      <w:r>
        <w:t xml:space="preserve">for</w:t>
      </w:r>
      <w:r>
        <w:t xml:space="preserve"> </w:t>
      </w:r>
      <w:r>
        <w:t xml:space="preserve">adapters</w:t>
      </w:r>
      <w:r>
        <w:t xml:space="preserve"> </w:t>
      </w:r>
      <w:r>
        <w:t xml:space="preserve">whose</w:t>
      </w:r>
      <w:r>
        <w:t xml:space="preserve"> </w:t>
      </w:r>
      <w:r>
        <w:t xml:space="preserve">annual</w:t>
      </w:r>
      <w:r>
        <w:t xml:space="preserve"> </w:t>
      </w:r>
      <w:r>
        <w:t xml:space="preserve">value</w:t>
      </w:r>
      <w:r>
        <w:t xml:space="preserve"> </w:t>
      </w:r>
      <w:r>
        <w:t xml:space="preserve">is</w:t>
      </w:r>
      <w:r>
        <w:t xml:space="preserve"> </w:t>
      </w:r>
      <w:r>
        <w:t xml:space="preserve">roughly</w:t>
      </w:r>
      <w:r>
        <w:t xml:space="preserve"> </w:t>
      </w:r>
      <w:r>
        <w:t xml:space="preserve">1.8</w:t>
      </w:r>
      <w:r>
        <w:t xml:space="preserve"> </w:t>
      </w:r>
      <w:r>
        <w:t xml:space="preserve">to</w:t>
      </w:r>
      <w:r>
        <w:t xml:space="preserve"> </w:t>
      </w:r>
      <w:r>
        <w:t xml:space="preserve">4.4</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After</w:t>
      </w:r>
      <w:r>
        <w:t xml:space="preserve"> </w:t>
      </w:r>
      <w:r>
        <w:t xml:space="preserve">small</w:t>
      </w:r>
      <w:r>
        <w:t xml:space="preserve"> </w:t>
      </w:r>
      <w:r>
        <w:t xml:space="preserve">upgrades,</w:t>
      </w:r>
      <w:r>
        <w:t xml:space="preserve"> </w:t>
      </w:r>
      <w:r>
        <w:t xml:space="preserve">and</w:t>
      </w:r>
      <w:r>
        <w:t xml:space="preserve"> </w:t>
      </w:r>
      <w:r>
        <w:t xml:space="preserve">for</w:t>
      </w:r>
      <w:r>
        <w:t xml:space="preserve"> </w:t>
      </w:r>
      <w:r>
        <w:t xml:space="preserve">the</w:t>
      </w:r>
      <w:r>
        <w:t xml:space="preserve"> </w:t>
      </w:r>
      <w:r>
        <w:t xml:space="preserve">instruction-tuned</w:t>
      </w:r>
      <w:r>
        <w:t xml:space="preserve"> </w:t>
      </w:r>
      <w:r>
        <w:t xml:space="preserve">pair,</w:t>
      </w:r>
      <w:r>
        <w:t xml:space="preserve"> </w:t>
      </w:r>
      <w:r>
        <w:t xml:space="preserve">it</w:t>
      </w:r>
      <w:r>
        <w:t xml:space="preserve"> </w:t>
      </w:r>
      <w:r>
        <w:t xml:space="preserve">offers</w:t>
      </w:r>
      <w:r>
        <w:t xml:space="preserve"> </w:t>
      </w:r>
      <w:r>
        <w:t xml:space="preserve">no</w:t>
      </w:r>
      <w:r>
        <w:t xml:space="preserve"> </w:t>
      </w:r>
      <w:r>
        <w:t xml:space="preserve">gain</w:t>
      </w:r>
      <w:r>
        <w:t xml:space="preserve"> </w:t>
      </w:r>
      <w:r>
        <w:t xml:space="preserve">over</w:t>
      </w:r>
      <w:r>
        <w:t xml:space="preserve"> </w:t>
      </w:r>
      <w:r>
        <w:t xml:space="preserve">copying,</w:t>
      </w:r>
      <w:r>
        <w:t xml:space="preserve"> </w:t>
      </w:r>
      <w:r>
        <w:t xml:space="preserve">and</w:t>
      </w:r>
      <w:r>
        <w:t xml:space="preserve"> </w:t>
      </w:r>
      <w:r>
        <w:t xml:space="preserve">we</w:t>
      </w:r>
      <w:r>
        <w:t xml:space="preserve"> </w:t>
      </w:r>
      <w:r>
        <w:t xml:space="preserve">do</w:t>
      </w:r>
      <w:r>
        <w:t xml:space="preserve"> </w:t>
      </w:r>
      <w:r>
        <w:t xml:space="preserve">not</w:t>
      </w:r>
      <w:r>
        <w:t xml:space="preserve"> </w:t>
      </w:r>
      <w:r>
        <w:t xml:space="preserve">know</w:t>
      </w:r>
      <w:r>
        <w:t xml:space="preserve"> </w:t>
      </w:r>
      <w:r>
        <w:t xml:space="preserve">why</w:t>
      </w:r>
      <w:r>
        <w:t xml:space="preserve"> </w:t>
      </w:r>
      <w:r>
        <w:t xml:space="preserve">the</w:t>
      </w:r>
      <w:r>
        <w:t xml:space="preserve"> </w:t>
      </w:r>
      <w:r>
        <w:t xml:space="preserve">latter</w:t>
      </w:r>
      <w:r>
        <w:t xml:space="preserve"> </w:t>
      </w:r>
      <w:r>
        <w:t xml:space="preserve">differs.</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model</w:t>
      </w:r>
      <w:r>
        <w:t xml:space="preserve"> </w:t>
      </w:r>
      <w:r>
        <w:t xml:space="preserve">gives</w:t>
      </w:r>
      <w:r>
        <w:t xml:space="preserve"> </w:t>
      </w:r>
      <w:r>
        <w:t xml:space="preserve">practitioners</w:t>
      </w:r>
      <w:r>
        <w:t xml:space="preserve"> </w:t>
      </w:r>
      <w:r>
        <w:t xml:space="preserve">a</w:t>
      </w:r>
      <w:r>
        <w:t xml:space="preserve"> </w:t>
      </w:r>
      <w:r>
        <w:t xml:space="preserve">checkable</w:t>
      </w:r>
      <w:r>
        <w:t xml:space="preserve"> </w:t>
      </w:r>
      <w:r>
        <w:t xml:space="preserve">rule</w:t>
      </w:r>
      <w:r>
        <w:t xml:space="preserve"> </w:t>
      </w:r>
      <w:r>
        <w:t xml:space="preserve">for</w:t>
      </w:r>
      <w:r>
        <w:t xml:space="preserve"> </w:t>
      </w:r>
      <w:r>
        <w:t xml:space="preserve">when</w:t>
      </w:r>
      <w:r>
        <w:t xml:space="preserve"> </w:t>
      </w:r>
      <w:r>
        <w:t xml:space="preserve">transfer</w:t>
      </w:r>
      <w:r>
        <w:t xml:space="preserve"> </w:t>
      </w:r>
      <w:r>
        <w:t xml:space="preserve">is</w:t>
      </w:r>
      <w:r>
        <w:t xml:space="preserve"> </w:t>
      </w:r>
      <w:r>
        <w:t xml:space="preserve">worth</w:t>
      </w:r>
      <w:r>
        <w:t xml:space="preserve"> </w:t>
      </w:r>
      <w:r>
        <w:t xml:space="preserve">buying.</w:t>
      </w:r>
    </w:p>
    <w:p>
      <w:pPr>
        <w:pStyle w:val="FirstParagraph"/>
      </w:pPr>
      <w:r>
        <w:rPr>
          <w:bCs/>
          <w:b/>
        </w:rPr>
        <w:t xml:space="preserve">Keywords:</w:t>
      </w:r>
      <w:r>
        <w:t xml:space="preserve"> </w:t>
      </w:r>
      <w:r>
        <w:t xml:space="preserve">AI asset management; foundation model upgrades; parameter-efficient fine-tuning; maintenance policy; optimal stopping; adapter transfer</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Recovery of naive reuse as a function of upgrade size.</w:t>
      </w:r>
      <w:r>
        <w:t xml:space="preserve"> </w:t>
      </w:r>
      <w:r>
        <w:t xml:space="preserve">On open model pairs, copying the old adapter recovers 93% to 96% of the retraining</w:t>
      </w:r>
      <w:r>
        <w:t xml:space="preserve"> </w:t>
      </w:r>
      <w:r>
        <w:t xml:space="preserve">benefit after small upgrades, 71% after an instruction-tuning upgrade, and only 32% to 36% after a large one. Through the model these numbers imply</w:t>
      </w:r>
      <w:r>
        <w:t xml:space="preserve"> </w:t>
      </w:r>
      <w:r>
        <w:t xml:space="preserve">retraining thresholds from about 4 to about 56 times the retraining cost, so the right policy depends strongly on how far the model moved.</w:t>
      </w:r>
    </w:p>
    <w:p>
      <w:pPr>
        <w:numPr>
          <w:ilvl w:val="0"/>
          <w:numId w:val="1001"/>
        </w:numPr>
      </w:pPr>
      <w:r>
        <w:rPr>
          <w:iCs/>
          <w:i/>
        </w:rPr>
        <w:t xml:space="preserve">A transfer method priced by the rule.</w:t>
      </w:r>
      <w:r>
        <w:t xml:space="preserve"> </w:t>
      </w:r>
      <w:r>
        <w:t xml:space="preserve">We propose Anchored Calibration Transfer (ACT), a closed-form, label-free correction of the adapter.</w:t>
      </w:r>
      <w:r>
        <w:t xml:space="preserve"> </w:t>
      </w:r>
      <w:r>
        <w:t xml:space="preserve">After the large upgrade it improves recovery by 0.33 to 0.40 over copying (two seeds) at 30% to 36% of the retraining compute time, which makes it the</w:t>
      </w:r>
      <w:r>
        <w:t xml:space="preserve"> </w:t>
      </w:r>
      <w:r>
        <w:t xml:space="preserve">cost-minimizing policy over a bounded range of adapter values. After small upgrades it does not beat copying, and neither does it on the instruction-tuned pair, for a reason we could not identify.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asks where ACT helps and tests explanations for its exceptions,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This paper concerns the transfer of an adapter</w:t>
      </w:r>
      <w:r>
        <w:t xml:space="preserve"> </w:t>
      </w:r>
      <w:r>
        <w:rPr>
          <w:iCs/>
          <w:i/>
        </w:rPr>
        <w:t xml:space="preserve">across</w:t>
      </w:r>
      <w:r>
        <w:t xml:space="preserve"> </w:t>
      </w:r>
      <w:r>
        <w:t xml:space="preserve">base-model versions. ACT is a closed-form, label-free candidate method for that setting,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30%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456"/>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181"/>
          </w:tcPr>
          <w:p>
            <w:pPr>
              <w:pStyle w:val="Compact"/>
              <w:spacing w:line="240" w:lineRule="auto"/>
              <w:jc w:val="center"/>
            </w:pPr>
            <w:r>
              <w:rPr>
                <w:rFonts w:ascii="Times New Roman" w:hAnsi="Times New Roman"/>
                <w:sz w:val="20"/>
              </w:rPr>
              <w:t xml:space="preserve">0.996</w:t>
            </w:r>
          </w:p>
        </w:tc>
        <w:tc>
          <w:tcPr>
            <w:tcW w:type="dxa" w:w="1181"/>
          </w:tcPr>
          <w:p>
            <w:pPr>
              <w:pStyle w:val="Compact"/>
              <w:spacing w:line="240" w:lineRule="auto"/>
              <w:jc w:val="center"/>
            </w:pPr>
            <w:r>
              <w:rPr>
                <w:rFonts w:ascii="Times New Roman" w:hAnsi="Times New Roman"/>
                <w:sz w:val="20"/>
              </w:rPr>
              <w:t xml:space="preserve">0.982</w:t>
            </w:r>
          </w:p>
        </w:tc>
        <w:tc>
          <w:tcPr>
            <w:tcW w:type="dxa" w:w="1181"/>
          </w:tcPr>
          <w:p>
            <w:pPr>
              <w:pStyle w:val="Compact"/>
              <w:spacing w:line="240" w:lineRule="auto"/>
              <w:jc w:val="center"/>
            </w:pPr>
            <w:r>
              <w:rPr>
                <w:rFonts w:ascii="Times New Roman" w:hAnsi="Times New Roman"/>
                <w:sz w:val="20"/>
              </w:rPr>
              <w:t xml:space="preserve">0.955</w:t>
            </w:r>
          </w:p>
        </w:tc>
        <w:tc>
          <w:tcPr>
            <w:tcW w:type="dxa" w:w="1181"/>
          </w:tcPr>
          <w:p>
            <w:pPr>
              <w:pStyle w:val="Compact"/>
              <w:spacing w:line="240" w:lineRule="auto"/>
              <w:jc w:val="center"/>
            </w:pPr>
            <w:r>
              <w:rPr>
                <w:rFonts w:ascii="Times New Roman" w:hAnsi="Times New Roman"/>
                <w:sz w:val="20"/>
              </w:rPr>
              <w:t xml:space="preserve">0.846</w:t>
            </w:r>
          </w:p>
        </w:tc>
        <w:tc>
          <w:tcPr>
            <w:tcW w:type="dxa" w:w="1181"/>
          </w:tcPr>
          <w:p>
            <w:pPr>
              <w:pStyle w:val="Compact"/>
              <w:spacing w:line="240" w:lineRule="auto"/>
              <w:jc w:val="center"/>
            </w:pPr>
            <w:r>
              <w:rPr>
                <w:rFonts w:ascii="Times New Roman" w:hAnsi="Times New Roman"/>
                <w:sz w:val="20"/>
              </w:rPr>
              <w:t xml:space="preserve">0.489</w:t>
            </w:r>
          </w:p>
        </w:tc>
      </w:tr>
      <w:tr>
        <w:tc>
          <w:tcPr>
            <w:tcW w:type="dxa" w:w="3456"/>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181"/>
          </w:tcPr>
          <w:p>
            <w:pPr>
              <w:pStyle w:val="Compact"/>
              <w:spacing w:line="240" w:lineRule="auto"/>
              <w:jc w:val="center"/>
            </w:pPr>
            <w:r>
              <w:rPr>
                <w:rFonts w:ascii="Times New Roman" w:hAnsi="Times New Roman"/>
                <w:sz w:val="20"/>
              </w:rPr>
              <w:t xml:space="preserve">0.998</w:t>
            </w:r>
          </w:p>
        </w:tc>
        <w:tc>
          <w:tcPr>
            <w:tcW w:type="dxa" w:w="1181"/>
          </w:tcPr>
          <w:p>
            <w:pPr>
              <w:pStyle w:val="Compact"/>
              <w:spacing w:line="240" w:lineRule="auto"/>
              <w:jc w:val="center"/>
            </w:pPr>
            <w:r>
              <w:rPr>
                <w:rFonts w:ascii="Times New Roman" w:hAnsi="Times New Roman"/>
                <w:sz w:val="20"/>
              </w:rPr>
              <w:t xml:space="preserve">0.990</w:t>
            </w:r>
          </w:p>
        </w:tc>
        <w:tc>
          <w:tcPr>
            <w:tcW w:type="dxa" w:w="1181"/>
          </w:tcPr>
          <w:p>
            <w:pPr>
              <w:pStyle w:val="Compact"/>
              <w:spacing w:line="240" w:lineRule="auto"/>
              <w:jc w:val="center"/>
            </w:pPr>
            <w:r>
              <w:rPr>
                <w:rFonts w:ascii="Times New Roman" w:hAnsi="Times New Roman"/>
                <w:sz w:val="20"/>
              </w:rPr>
              <w:t xml:space="preserve">0.975</w:t>
            </w:r>
          </w:p>
        </w:tc>
        <w:tc>
          <w:tcPr>
            <w:tcW w:type="dxa" w:w="1181"/>
          </w:tcPr>
          <w:p>
            <w:pPr>
              <w:pStyle w:val="Compact"/>
              <w:spacing w:line="240" w:lineRule="auto"/>
              <w:jc w:val="center"/>
            </w:pPr>
            <w:r>
              <w:rPr>
                <w:rFonts w:ascii="Times New Roman" w:hAnsi="Times New Roman"/>
                <w:sz w:val="20"/>
              </w:rPr>
              <w:t xml:space="preserve">0.910</w:t>
            </w:r>
          </w:p>
        </w:tc>
        <w:tc>
          <w:tcPr>
            <w:tcW w:type="dxa" w:w="1181"/>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456"/>
          </w:tcPr>
          <w:p>
            <w:pPr>
              <w:pStyle w:val="Compact"/>
              <w:spacing w:line="240" w:lineRule="auto"/>
              <w:jc w:val="left"/>
            </w:pPr>
            <w:r>
              <w:rPr>
                <w:rFonts w:ascii="Times New Roman" w:hAnsi="Times New Roman"/>
                <w:sz w:val="20"/>
              </w:rPr>
              <w:t xml:space="preserve">0.8</w:t>
            </w:r>
          </w:p>
        </w:tc>
        <w:tc>
          <w:tcPr>
            <w:tcW w:type="dxa" w:w="984"/>
          </w:tcPr>
          <w:p>
            <w:pPr>
              <w:pStyle w:val="Compact"/>
              <w:spacing w:line="240" w:lineRule="auto"/>
              <w:jc w:val="center"/>
            </w:pPr>
            <w:r>
              <w:rPr>
                <w:rFonts w:ascii="Times New Roman" w:hAnsi="Times New Roman"/>
                <w:sz w:val="20"/>
              </w:rPr>
              <w:t xml:space="preserve">0.489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4.81</w:t>
            </w:r>
          </w:p>
        </w:tc>
        <w:tc>
          <w:tcPr>
            <w:tcW w:type="dxa" w:w="984"/>
          </w:tcPr>
          <w:p>
            <w:pPr>
              <w:pStyle w:val="Compact"/>
              <w:spacing w:line="240" w:lineRule="auto"/>
              <w:jc w:val="center"/>
            </w:pPr>
            <w:r>
              <w:rPr>
                <w:rFonts w:ascii="Times New Roman" w:hAnsi="Times New Roman"/>
                <w:sz w:val="20"/>
              </w:rPr>
              <w:t xml:space="preserve">7.96</w:t>
            </w:r>
          </w:p>
        </w:tc>
        <w:tc>
          <w:tcPr>
            <w:tcW w:type="dxa" w:w="984"/>
          </w:tcPr>
          <w:p>
            <w:pPr>
              <w:pStyle w:val="Compact"/>
              <w:spacing w:line="240" w:lineRule="auto"/>
              <w:jc w:val="center"/>
            </w:pPr>
            <w:r>
              <w:rPr>
                <w:rFonts w:ascii="Times New Roman" w:hAnsi="Times New Roman"/>
                <w:sz w:val="20"/>
              </w:rPr>
              <w:t xml:space="preserve">[0.47, 6.68)</w:t>
            </w:r>
          </w:p>
        </w:tc>
        <w:tc>
          <w:tcPr>
            <w:tcW w:type="dxa" w:w="984"/>
          </w:tcPr>
          <w:p>
            <w:pPr>
              <w:pStyle w:val="Compact"/>
              <w:spacing w:line="240" w:lineRule="auto"/>
              <w:jc w:val="center"/>
            </w:pPr>
            <w:r>
              <w:rPr>
                <w:rFonts w:ascii="Times New Roman" w:hAnsi="Times New Roman"/>
                <w:sz w:val="20"/>
              </w:rPr>
              <w:t xml:space="preserve">0.31</w:t>
            </w:r>
          </w:p>
        </w:tc>
      </w:tr>
      <w:tr>
        <w:tc>
          <w:tcPr>
            <w:tcW w:type="dxa" w:w="3456"/>
          </w:tcPr>
          <w:p>
            <w:pPr>
              <w:pStyle w:val="Compact"/>
              <w:spacing w:line="240" w:lineRule="auto"/>
              <w:jc w:val="left"/>
            </w:pPr>
            <w:r>
              <w:rPr>
                <w:rFonts w:ascii="Times New Roman" w:hAnsi="Times New Roman"/>
                <w:sz w:val="20"/>
              </w:rPr>
              <w:t xml:space="preserve">0.3</w:t>
            </w:r>
          </w:p>
        </w:tc>
        <w:tc>
          <w:tcPr>
            <w:tcW w:type="dxa" w:w="984"/>
          </w:tcPr>
          <w:p>
            <w:pPr>
              <w:pStyle w:val="Compact"/>
              <w:spacing w:line="240" w:lineRule="auto"/>
              <w:jc w:val="center"/>
            </w:pPr>
            <w:r>
              <w:rPr>
                <w:rFonts w:ascii="Times New Roman" w:hAnsi="Times New Roman"/>
                <w:sz w:val="20"/>
              </w:rPr>
              <w:t xml:space="preserve">0.955</w:t>
            </w:r>
          </w:p>
        </w:tc>
        <w:tc>
          <w:tcPr>
            <w:tcW w:type="dxa" w:w="984"/>
          </w:tcPr>
          <w:p>
            <w:pPr>
              <w:pStyle w:val="Compact"/>
              <w:spacing w:line="240" w:lineRule="auto"/>
              <w:jc w:val="center"/>
            </w:pPr>
            <w:r>
              <w:rPr>
                <w:rFonts w:ascii="Times New Roman" w:hAnsi="Times New Roman"/>
                <w:sz w:val="20"/>
              </w:rPr>
              <w:t xml:space="preserve">0.975</w:t>
            </w:r>
          </w:p>
        </w:tc>
        <w:tc>
          <w:tcPr>
            <w:tcW w:type="dxa" w:w="984"/>
          </w:tcPr>
          <w:p>
            <w:pPr>
              <w:pStyle w:val="Compact"/>
              <w:spacing w:line="240" w:lineRule="auto"/>
              <w:jc w:val="center"/>
            </w:pPr>
            <w:r>
              <w:rPr>
                <w:rFonts w:ascii="Times New Roman" w:hAnsi="Times New Roman"/>
                <w:sz w:val="20"/>
              </w:rPr>
              <w:t xml:space="preserve">54.6</w:t>
            </w:r>
          </w:p>
        </w:tc>
        <w:tc>
          <w:tcPr>
            <w:tcW w:type="dxa" w:w="984"/>
          </w:tcPr>
          <w:p>
            <w:pPr>
              <w:pStyle w:val="Compact"/>
              <w:spacing w:line="240" w:lineRule="auto"/>
              <w:jc w:val="center"/>
            </w:pPr>
            <w:r>
              <w:rPr>
                <w:rFonts w:ascii="Times New Roman" w:hAnsi="Times New Roman"/>
                <w:sz w:val="20"/>
              </w:rPr>
              <w:t xml:space="preserve">97.9</w:t>
            </w:r>
          </w:p>
        </w:tc>
        <w:tc>
          <w:tcPr>
            <w:tcW w:type="dxa" w:w="984"/>
          </w:tcPr>
          <w:p>
            <w:pPr>
              <w:pStyle w:val="Compact"/>
              <w:spacing w:line="240" w:lineRule="auto"/>
              <w:jc w:val="center"/>
            </w:pPr>
            <w:r>
              <w:rPr>
                <w:rFonts w:ascii="Times New Roman" w:hAnsi="Times New Roman"/>
                <w:sz w:val="20"/>
              </w:rPr>
              <w:t xml:space="preserve">[4.78, 82.2)</w:t>
            </w:r>
          </w:p>
        </w:tc>
        <w:tc>
          <w:tcPr>
            <w:tcW w:type="dxa" w:w="984"/>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 using the copy recoveries and</w:t>
      </w:r>
      <w:r>
        <w:t xml:space="preserve"> </w:t>
      </w:r>
      <w:r>
        <w:t xml:space="preserve">the ACT cost ratios measured in Section 7. When transfer is cheap (</w:t>
      </w:r>
      <m:oMath>
        <m:sSub>
          <m:e>
            <m:r>
              <m:t>C</m:t>
            </m:r>
          </m:e>
          <m:sub>
            <m:r>
              <m:t>A</m:t>
            </m:r>
          </m:sub>
        </m:sSub>
        <m:r>
          <m:rPr>
            <m:sty m:val="p"/>
          </m:rPr>
          <m:t>=</m:t>
        </m:r>
        <m:r>
          <m:t>0.05</m:t>
        </m:r>
        <m:sSub>
          <m:e>
            <m:r>
              <m:t>C</m:t>
            </m:r>
          </m:e>
          <m:sub>
            <m:r>
              <m:t>N</m:t>
            </m:r>
          </m:sub>
        </m:sSub>
      </m:oMath>
      <w:r>
        <w:t xml:space="preserve">), a gain of half a point over copy suffices where copy is already</w:t>
      </w:r>
      <w:r>
        <w:t xml:space="preserve"> </w:t>
      </w:r>
      <w:r>
        <w:t xml:space="preserve">near-perfect (</w:t>
      </w:r>
      <m:oMath>
        <m:sSub>
          <m:e>
            <m:r>
              <m:t>R</m:t>
            </m:r>
          </m:e>
          <m:sub>
            <m:r>
              <m:t>C</m:t>
            </m:r>
          </m:sub>
        </m:sSub>
        <m:r>
          <m:rPr>
            <m:sty m:val="p"/>
          </m:rPr>
          <m:t>≥</m:t>
        </m:r>
        <m:r>
          <m:t>0.93</m:t>
        </m:r>
      </m:oMath>
      <w:r>
        <w:t xml:space="preserve">), and about 2 to 5 points where copy is mediocre or poor (</w:t>
      </w:r>
      <m:oMath>
        <m:sSub>
          <m:e>
            <m:r>
              <m:t>R</m:t>
            </m:r>
          </m:e>
          <m:sub>
            <m:r>
              <m:t>C</m:t>
            </m:r>
          </m:sub>
        </m:sSub>
        <m:r>
          <m:rPr>
            <m:sty m:val="p"/>
          </m:rPr>
          <m:t>=</m:t>
        </m:r>
        <m:r>
          <m:t>0.71</m:t>
        </m:r>
      </m:oMath>
      <w:r>
        <w:t xml:space="preserve"> </w:t>
      </w:r>
      <w:r>
        <w:t xml:space="preserve">and</w:t>
      </w:r>
      <w:r>
        <w:t xml:space="preserve"> </w:t>
      </w:r>
      <m:oMath>
        <m:r>
          <m:t>0.32</m:t>
        </m:r>
      </m:oMath>
      <w:r>
        <w:t xml:space="preserve">). At the compute costs we measure for ACT (0.30 to 0.65 of</w:t>
      </w:r>
      <w:r>
        <w:t xml:space="preserve"> </w:t>
      </w:r>
      <m:oMath>
        <m:sSub>
          <m:e>
            <m:r>
              <m:t>C</m:t>
            </m:r>
          </m:e>
          <m:sub>
            <m:r>
              <m:t>N</m:t>
            </m:r>
          </m:sub>
        </m:sSub>
      </m:oMath>
      <w:r>
        <w:t xml:space="preserve">),</w:t>
      </w:r>
      <w:r>
        <w:t xml:space="preserve"> </w:t>
      </w:r>
      <w:r>
        <w:t xml:space="preserve">the required gain is 2 to 3 points where copy recovers 93% to 96%, about 30 points where copy recovers 32%, and 21 points for the instruction-tuned pair, where ACT costs 0.65.</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456"/>
          </w:tcPr>
          <w:p>
            <w:pPr>
              <w:pStyle w:val="Compact"/>
              <w:spacing w:line="240" w:lineRule="auto"/>
              <w:jc w:val="left"/>
            </w:pPr>
            <w:r>
              <w:rPr>
                <w:rFonts w:ascii="Times New Roman" w:hAnsi="Times New Roman"/>
                <w:sz w:val="20"/>
              </w:rPr>
              <w:t xml:space="preserve">0.49 (controlled simulation)</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0.527</w:t>
            </w:r>
          </w:p>
        </w:tc>
        <w:tc>
          <w:tcPr>
            <w:tcW w:type="dxa" w:w="1968"/>
          </w:tcPr>
          <w:p>
            <w:pPr>
              <w:pStyle w:val="Compact"/>
              <w:spacing w:line="240" w:lineRule="auto"/>
              <w:jc w:val="center"/>
            </w:pPr>
            <w:r>
              <w:rPr>
                <w:rFonts w:ascii="Times New Roman" w:hAnsi="Times New Roman"/>
                <w:sz w:val="20"/>
              </w:rPr>
              <w:t xml:space="preserve">0.038</w:t>
            </w:r>
          </w:p>
        </w:tc>
      </w:tr>
      <w:tr>
        <w:tc>
          <w:tcPr>
            <w:tcW w:type="dxa" w:w="3456"/>
          </w:tcPr>
          <w:p>
            <w:pPr>
              <w:pStyle w:val="Compact"/>
              <w:spacing w:line="240" w:lineRule="auto"/>
              <w:jc w:val="left"/>
            </w:pPr>
            <w:r>
              <w:rPr>
                <w:rFonts w:ascii="Times New Roman" w:hAnsi="Times New Roman"/>
                <w:sz w:val="20"/>
              </w:rPr>
              <w:t xml:space="preserve">0.32 (Pythia, large upgrade)</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0.370</w:t>
            </w:r>
          </w:p>
        </w:tc>
        <w:tc>
          <w:tcPr>
            <w:tcW w:type="dxa" w:w="1968"/>
          </w:tcPr>
          <w:p>
            <w:pPr>
              <w:pStyle w:val="Compact"/>
              <w:spacing w:line="240" w:lineRule="auto"/>
              <w:jc w:val="center"/>
            </w:pPr>
            <w:r>
              <w:rPr>
                <w:rFonts w:ascii="Times New Roman" w:hAnsi="Times New Roman"/>
                <w:sz w:val="20"/>
              </w:rPr>
              <w:t xml:space="preserve">0.051</w:t>
            </w:r>
          </w:p>
        </w:tc>
      </w:tr>
      <w:tr>
        <w:tc>
          <w:tcPr>
            <w:tcW w:type="dxa" w:w="3456"/>
          </w:tcPr>
          <w:p>
            <w:pPr>
              <w:pStyle w:val="Compact"/>
              <w:spacing w:line="240" w:lineRule="auto"/>
              <w:jc w:val="left"/>
            </w:pPr>
            <w:r>
              <w:rPr>
                <w:rFonts w:ascii="Times New Roman" w:hAnsi="Times New Roman"/>
                <w:sz w:val="20"/>
              </w:rPr>
              <w:t xml:space="preserve">0.32 (Pythia, large upgrade)</w:t>
            </w:r>
          </w:p>
        </w:tc>
        <w:tc>
          <w:tcPr>
            <w:tcW w:type="dxa" w:w="1968"/>
          </w:tcPr>
          <w:p>
            <w:pPr>
              <w:pStyle w:val="Compact"/>
              <w:spacing w:line="240" w:lineRule="auto"/>
              <w:jc w:val="center"/>
            </w:pPr>
            <w:r>
              <w:rPr>
                <w:rFonts w:ascii="Times New Roman" w:hAnsi="Times New Roman"/>
                <w:sz w:val="20"/>
              </w:rPr>
              <w:t xml:space="preserve">0.36 (measured, ACT)</w:t>
            </w:r>
          </w:p>
        </w:tc>
        <w:tc>
          <w:tcPr>
            <w:tcW w:type="dxa" w:w="1968"/>
          </w:tcPr>
          <w:p>
            <w:pPr>
              <w:pStyle w:val="Compact"/>
              <w:spacing w:line="240" w:lineRule="auto"/>
              <w:jc w:val="center"/>
            </w:pPr>
            <w:r>
              <w:rPr>
                <w:rFonts w:ascii="Times New Roman" w:hAnsi="Times New Roman"/>
                <w:sz w:val="20"/>
              </w:rPr>
              <w:t xml:space="preserve">0.622</w:t>
            </w:r>
          </w:p>
        </w:tc>
        <w:tc>
          <w:tcPr>
            <w:tcW w:type="dxa" w:w="1968"/>
          </w:tcPr>
          <w:p>
            <w:pPr>
              <w:pStyle w:val="Compact"/>
              <w:spacing w:line="240" w:lineRule="auto"/>
              <w:jc w:val="center"/>
            </w:pPr>
            <w:r>
              <w:rPr>
                <w:rFonts w:ascii="Times New Roman" w:hAnsi="Times New Roman"/>
                <w:sz w:val="20"/>
              </w:rPr>
              <w:t xml:space="preserve">0.303</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0.728</w:t>
            </w:r>
          </w:p>
        </w:tc>
        <w:tc>
          <w:tcPr>
            <w:tcW w:type="dxa" w:w="1968"/>
          </w:tcPr>
          <w:p>
            <w:pPr>
              <w:pStyle w:val="Compact"/>
              <w:spacing w:line="240" w:lineRule="auto"/>
              <w:jc w:val="center"/>
            </w:pPr>
            <w:r>
              <w:rPr>
                <w:rFonts w:ascii="Times New Roman" w:hAnsi="Times New Roman"/>
                <w:sz w:val="20"/>
              </w:rPr>
              <w:t xml:space="preserve">0.022</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0.65 (measured, ACT)</w:t>
            </w:r>
          </w:p>
        </w:tc>
        <w:tc>
          <w:tcPr>
            <w:tcW w:type="dxa" w:w="1968"/>
          </w:tcPr>
          <w:p>
            <w:pPr>
              <w:pStyle w:val="Compact"/>
              <w:spacing w:line="240" w:lineRule="auto"/>
              <w:jc w:val="center"/>
            </w:pPr>
            <w:r>
              <w:rPr>
                <w:rFonts w:ascii="Times New Roman" w:hAnsi="Times New Roman"/>
                <w:sz w:val="20"/>
              </w:rPr>
              <w:t xml:space="preserve">0.916</w:t>
            </w:r>
          </w:p>
        </w:tc>
        <w:tc>
          <w:tcPr>
            <w:tcW w:type="dxa" w:w="1968"/>
          </w:tcPr>
          <w:p>
            <w:pPr>
              <w:pStyle w:val="Compact"/>
              <w:spacing w:line="240" w:lineRule="auto"/>
              <w:jc w:val="center"/>
            </w:pPr>
            <w:r>
              <w:rPr>
                <w:rFonts w:ascii="Times New Roman" w:hAnsi="Times New Roman"/>
                <w:sz w:val="20"/>
              </w:rPr>
              <w:t xml:space="preserve">0.210</w:t>
            </w:r>
          </w:p>
        </w:tc>
      </w:tr>
      <w:tr>
        <w:tc>
          <w:tcPr>
            <w:tcW w:type="dxa" w:w="3456"/>
          </w:tcPr>
          <w:p>
            <w:pPr>
              <w:pStyle w:val="Compact"/>
              <w:spacing w:line="240" w:lineRule="auto"/>
              <w:jc w:val="left"/>
            </w:pPr>
            <w:r>
              <w:rPr>
                <w:rFonts w:ascii="Times New Roman" w:hAnsi="Times New Roman"/>
                <w:sz w:val="20"/>
              </w:rPr>
              <w:t xml:space="preserve">0.93 (Pythia, medium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0.959</w:t>
            </w:r>
          </w:p>
        </w:tc>
        <w:tc>
          <w:tcPr>
            <w:tcW w:type="dxa" w:w="1968"/>
          </w:tcPr>
          <w:p>
            <w:pPr>
              <w:pStyle w:val="Compact"/>
              <w:spacing w:line="240" w:lineRule="auto"/>
              <w:jc w:val="center"/>
            </w:pPr>
            <w:r>
              <w:rPr>
                <w:rFonts w:ascii="Times New Roman" w:hAnsi="Times New Roman"/>
                <w:sz w:val="20"/>
              </w:rPr>
              <w:t xml:space="preserve">0.031</w:t>
            </w:r>
          </w:p>
        </w:tc>
      </w:tr>
      <w:tr>
        <w:tc>
          <w:tcPr>
            <w:tcW w:type="dxa" w:w="3456"/>
          </w:tcPr>
          <w:p>
            <w:pPr>
              <w:pStyle w:val="Compact"/>
              <w:spacing w:line="240" w:lineRule="auto"/>
              <w:jc w:val="left"/>
            </w:pPr>
            <w:r>
              <w:rPr>
                <w:rFonts w:ascii="Times New Roman" w:hAnsi="Times New Roman"/>
                <w:sz w:val="20"/>
              </w:rPr>
              <w:t xml:space="preserve">0.96 (Pythia, small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0.975</w:t>
            </w:r>
          </w:p>
        </w:tc>
        <w:tc>
          <w:tcPr>
            <w:tcW w:type="dxa" w:w="1968"/>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Costs are compute time only. We evaluate four upgrades. Three are Pythia-160M checkpoints (Biderman et al., 2023)</w:t>
      </w:r>
      <w:r>
        <w:t xml:space="preserve"> </w:t>
      </w:r>
      <w:r>
        <w:t xml:space="preserve">upgraded to the same final checkpoint, step 143k, from step 133k, 113k, and 73k, which gives upgrades of increasing size within one model family. The fourth is SmolLM2-360M, base to instruction-tuned.</w:t>
      </w:r>
      <w:r>
        <w:t xml:space="preserve"> </w:t>
      </w:r>
      <w:r>
        <w:t xml:space="preserve">Each pair is run once with seed 0. The largest Pythia upgrade is repeated with seed 1, which changes the training, evaluation, and calibration examples, the adapter initialization, and the batch order. As a measure of upgrade size we report the median relative change of</w:t>
      </w:r>
      <w:r>
        <w:t xml:space="preserve"> </w:t>
      </w:r>
      <w:r>
        <w:t xml:space="preserve">module inputs between source and target models over the calibration set, which we call the activation drift.</w:t>
      </w:r>
    </w:p>
    <w:p>
      <w:pPr>
        <w:pStyle w:val="TableCaption"/>
      </w:pPr>
      <w:r>
        <w:t xml:space="preserve">Held-out response NLL (200 examples) and median activation drift. The seed-1 run uses a different example sample, so its NLL values are not comparable in level with seed 0.</w:t>
      </w:r>
    </w:p>
    <w:tbl>
      <w:tblPr>
        <w:tblStyle w:val="Table"/>
        <w:tblW w:type="dxa" w:w="9360"/>
        <w:tblLook w:firstRow="1" w:lastRow="0" w:firstColumn="0" w:lastColumn="0" w:noHBand="0" w:noVBand="0" w:val="0020"/>
        <w:jc w:val="start"/>
        <w:tblCaption w:val="Held-out response NLL (200 examples) and median activation drift. The seed-1 run uses a different example sample, so its NLL values are not comparable in level with seed 0."/>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None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Retrain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Copy</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ACT</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1181"/>
          </w:tcPr>
          <w:p>
            <w:pPr>
              <w:pStyle w:val="Compact"/>
              <w:spacing w:line="240" w:lineRule="auto"/>
              <w:jc w:val="center"/>
            </w:pPr>
            <w:r>
              <w:rPr>
                <w:rFonts w:ascii="Times New Roman" w:hAnsi="Times New Roman"/>
                <w:sz w:val="20"/>
              </w:rPr>
              <w:t xml:space="preserve">0.25</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1.355</w:t>
            </w:r>
          </w:p>
        </w:tc>
        <w:tc>
          <w:tcPr>
            <w:tcW w:type="dxa" w:w="1181"/>
          </w:tcPr>
          <w:p>
            <w:pPr>
              <w:pStyle w:val="Compact"/>
              <w:spacing w:line="240" w:lineRule="auto"/>
              <w:jc w:val="center"/>
            </w:pPr>
            <w:r>
              <w:rPr>
                <w:rFonts w:ascii="Times New Roman" w:hAnsi="Times New Roman"/>
                <w:sz w:val="20"/>
              </w:rPr>
              <w:t xml:space="preserve">1.417</w:t>
            </w:r>
          </w:p>
        </w:tc>
        <w:tc>
          <w:tcPr>
            <w:tcW w:type="dxa" w:w="1181"/>
          </w:tcPr>
          <w:p>
            <w:pPr>
              <w:pStyle w:val="Compact"/>
              <w:spacing w:line="240" w:lineRule="auto"/>
              <w:jc w:val="center"/>
            </w:pPr>
            <w:r>
              <w:rPr>
                <w:rFonts w:ascii="Times New Roman" w:hAnsi="Times New Roman"/>
                <w:sz w:val="20"/>
              </w:rPr>
              <w:t xml:space="preserve">1.423</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1181"/>
          </w:tcPr>
          <w:p>
            <w:pPr>
              <w:pStyle w:val="Compact"/>
              <w:spacing w:line="240" w:lineRule="auto"/>
              <w:jc w:val="center"/>
            </w:pPr>
            <w:r>
              <w:rPr>
                <w:rFonts w:ascii="Times New Roman" w:hAnsi="Times New Roman"/>
                <w:sz w:val="20"/>
              </w:rPr>
              <w:t xml:space="preserve">0.31</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1.359</w:t>
            </w:r>
          </w:p>
        </w:tc>
        <w:tc>
          <w:tcPr>
            <w:tcW w:type="dxa" w:w="1181"/>
          </w:tcPr>
          <w:p>
            <w:pPr>
              <w:pStyle w:val="Compact"/>
              <w:spacing w:line="240" w:lineRule="auto"/>
              <w:jc w:val="center"/>
            </w:pPr>
            <w:r>
              <w:rPr>
                <w:rFonts w:ascii="Times New Roman" w:hAnsi="Times New Roman"/>
                <w:sz w:val="20"/>
              </w:rPr>
              <w:t xml:space="preserve">1.460</w:t>
            </w:r>
          </w:p>
        </w:tc>
        <w:tc>
          <w:tcPr>
            <w:tcW w:type="dxa" w:w="1181"/>
          </w:tcPr>
          <w:p>
            <w:pPr>
              <w:pStyle w:val="Compact"/>
              <w:spacing w:line="240" w:lineRule="auto"/>
              <w:jc w:val="center"/>
            </w:pPr>
            <w:r>
              <w:rPr>
                <w:rFonts w:ascii="Times New Roman" w:hAnsi="Times New Roman"/>
                <w:sz w:val="20"/>
              </w:rPr>
              <w:t xml:space="preserve">1.445</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1.396</w:t>
            </w:r>
          </w:p>
        </w:tc>
        <w:tc>
          <w:tcPr>
            <w:tcW w:type="dxa" w:w="1181"/>
          </w:tcPr>
          <w:p>
            <w:pPr>
              <w:pStyle w:val="Compact"/>
              <w:spacing w:line="240" w:lineRule="auto"/>
              <w:jc w:val="center"/>
            </w:pPr>
            <w:r>
              <w:rPr>
                <w:rFonts w:ascii="Times New Roman" w:hAnsi="Times New Roman"/>
                <w:sz w:val="20"/>
              </w:rPr>
              <w:t xml:space="preserve">2.326</w:t>
            </w:r>
          </w:p>
        </w:tc>
        <w:tc>
          <w:tcPr>
            <w:tcW w:type="dxa" w:w="1181"/>
          </w:tcPr>
          <w:p>
            <w:pPr>
              <w:pStyle w:val="Compact"/>
              <w:spacing w:line="240" w:lineRule="auto"/>
              <w:jc w:val="center"/>
            </w:pPr>
            <w:r>
              <w:rPr>
                <w:rFonts w:ascii="Times New Roman" w:hAnsi="Times New Roman"/>
                <w:sz w:val="20"/>
              </w:rPr>
              <w:t xml:space="preserve">1.782</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2.743</w:t>
            </w:r>
          </w:p>
        </w:tc>
        <w:tc>
          <w:tcPr>
            <w:tcW w:type="dxa" w:w="1181"/>
          </w:tcPr>
          <w:p>
            <w:pPr>
              <w:pStyle w:val="Compact"/>
              <w:spacing w:line="240" w:lineRule="auto"/>
              <w:jc w:val="center"/>
            </w:pPr>
            <w:r>
              <w:rPr>
                <w:rFonts w:ascii="Times New Roman" w:hAnsi="Times New Roman"/>
                <w:sz w:val="20"/>
              </w:rPr>
              <w:t xml:space="preserve">1.336</w:t>
            </w:r>
          </w:p>
        </w:tc>
        <w:tc>
          <w:tcPr>
            <w:tcW w:type="dxa" w:w="1181"/>
          </w:tcPr>
          <w:p>
            <w:pPr>
              <w:pStyle w:val="Compact"/>
              <w:spacing w:line="240" w:lineRule="auto"/>
              <w:jc w:val="center"/>
            </w:pPr>
            <w:r>
              <w:rPr>
                <w:rFonts w:ascii="Times New Roman" w:hAnsi="Times New Roman"/>
                <w:sz w:val="20"/>
              </w:rPr>
              <w:t xml:space="preserve">2.238</w:t>
            </w:r>
          </w:p>
        </w:tc>
        <w:tc>
          <w:tcPr>
            <w:tcW w:type="dxa" w:w="1181"/>
          </w:tcPr>
          <w:p>
            <w:pPr>
              <w:pStyle w:val="Compact"/>
              <w:spacing w:line="240" w:lineRule="auto"/>
              <w:jc w:val="center"/>
            </w:pPr>
            <w:r>
              <w:rPr>
                <w:rFonts w:ascii="Times New Roman" w:hAnsi="Times New Roman"/>
                <w:sz w:val="20"/>
              </w:rPr>
              <w:t xml:space="preserve">1.769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1181"/>
          </w:tcPr>
          <w:p>
            <w:pPr>
              <w:pStyle w:val="Compact"/>
              <w:spacing w:line="240" w:lineRule="auto"/>
              <w:jc w:val="center"/>
            </w:pPr>
            <w:r>
              <w:rPr>
                <w:rFonts w:ascii="Times New Roman" w:hAnsi="Times New Roman"/>
                <w:sz w:val="20"/>
              </w:rPr>
              <w:t xml:space="preserve">0.27</w:t>
            </w:r>
          </w:p>
        </w:tc>
        <w:tc>
          <w:tcPr>
            <w:tcW w:type="dxa" w:w="1181"/>
          </w:tcPr>
          <w:p>
            <w:pPr>
              <w:pStyle w:val="Compact"/>
              <w:spacing w:line="240" w:lineRule="auto"/>
              <w:jc w:val="center"/>
            </w:pPr>
            <w:r>
              <w:rPr>
                <w:rFonts w:ascii="Times New Roman" w:hAnsi="Times New Roman"/>
                <w:sz w:val="20"/>
              </w:rPr>
              <w:t xml:space="preserve">1.015</w:t>
            </w:r>
          </w:p>
        </w:tc>
        <w:tc>
          <w:tcPr>
            <w:tcW w:type="dxa" w:w="1181"/>
          </w:tcPr>
          <w:p>
            <w:pPr>
              <w:pStyle w:val="Compact"/>
              <w:spacing w:line="240" w:lineRule="auto"/>
              <w:jc w:val="center"/>
            </w:pPr>
            <w:r>
              <w:rPr>
                <w:rFonts w:ascii="Times New Roman" w:hAnsi="Times New Roman"/>
                <w:sz w:val="20"/>
              </w:rPr>
              <w:t xml:space="preserve">0.652</w:t>
            </w:r>
          </w:p>
        </w:tc>
        <w:tc>
          <w:tcPr>
            <w:tcW w:type="dxa" w:w="1181"/>
          </w:tcPr>
          <w:p>
            <w:pPr>
              <w:pStyle w:val="Compact"/>
              <w:spacing w:line="240" w:lineRule="auto"/>
              <w:jc w:val="center"/>
            </w:pPr>
            <w:r>
              <w:rPr>
                <w:rFonts w:ascii="Times New Roman" w:hAnsi="Times New Roman"/>
                <w:sz w:val="20"/>
              </w:rPr>
              <w:t xml:space="preserve">0.759</w:t>
            </w:r>
          </w:p>
        </w:tc>
        <w:tc>
          <w:tcPr>
            <w:tcW w:type="dxa" w:w="1181"/>
          </w:tcPr>
          <w:p>
            <w:pPr>
              <w:pStyle w:val="Compact"/>
              <w:spacing w:line="240" w:lineRule="auto"/>
              <w:jc w:val="center"/>
            </w:pPr>
            <w:r>
              <w:rPr>
                <w:rFonts w:ascii="Times New Roman" w:hAnsi="Times New Roman"/>
                <w:sz w:val="20"/>
              </w:rPr>
              <w:t xml:space="preserve">0.761</w:t>
            </w:r>
          </w:p>
        </w:tc>
      </w:tr>
    </w:tbl>
    <w:p/>
    <w:p>
      <w:pPr>
        <w:pStyle w:val="TableCaption"/>
      </w:pPr>
      <w:r>
        <w:t xml:space="preserve">Recovery, ACT cost ratio, and the policy implied by the model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v</m:t>
        </m:r>
      </m:oMath>
      <w:r>
        <w:t xml:space="preserve"> </w:t>
      </w:r>
      <w:r>
        <w:t xml:space="preserve">in multiples of</w:t>
      </w:r>
      <w:r>
        <w:t xml:space="preserve"> </w:t>
      </w:r>
      <m:oMath>
        <m:sSub>
          <m:e>
            <m:r>
              <m:t>C</m:t>
            </m:r>
          </m:e>
          <m:sub>
            <m:r>
              <m:t>N</m:t>
            </m:r>
          </m:sub>
        </m:sSub>
      </m:oMath>
      <w:r>
        <w:t xml:space="preserve">, using each pair’s measured</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ACT cost ratio, and the policy implied by the model (\rho=0.10, \mu=2, g=0.20, \sigma=0.40; v in multiples of C_N, using each pair’s measured C_A/C_N)."/>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r>
              <w:rPr>
                <w:rFonts w:ascii="Times New Roman" w:hAnsi="Times New Roman"/>
                <w:sz w:val="20"/>
              </w:rPr>
              <w:t xml:space="preserve">/C</w:t>
            </w:r>
            <w:r>
              <w:rPr>
                <w:rFonts w:ascii="Times New Roman" w:hAnsi="Times New Roman"/>
                <w:sz w:val="20"/>
                <w:vertAlign w:val="subscript"/>
              </w:rPr>
              <w:t xml:space="preserve">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1181"/>
          </w:tcPr>
          <w:p>
            <w:pPr>
              <w:pStyle w:val="Compact"/>
              <w:spacing w:line="240" w:lineRule="auto"/>
              <w:jc w:val="center"/>
            </w:pPr>
            <w:r>
              <w:rPr>
                <w:rFonts w:ascii="Times New Roman" w:hAnsi="Times New Roman"/>
                <w:sz w:val="20"/>
              </w:rPr>
              <w:t xml:space="preserve">0.956</w:t>
            </w:r>
          </w:p>
        </w:tc>
        <w:tc>
          <w:tcPr>
            <w:tcW w:type="dxa" w:w="1181"/>
          </w:tcPr>
          <w:p>
            <w:pPr>
              <w:pStyle w:val="Compact"/>
              <w:spacing w:line="240" w:lineRule="auto"/>
              <w:jc w:val="center"/>
            </w:pPr>
            <w:r>
              <w:rPr>
                <w:rFonts w:ascii="Times New Roman" w:hAnsi="Times New Roman"/>
                <w:sz w:val="20"/>
              </w:rPr>
              <w:t xml:space="preserve">0.952</w:t>
            </w:r>
          </w:p>
        </w:tc>
        <w:tc>
          <w:tcPr>
            <w:tcW w:type="dxa" w:w="1181"/>
          </w:tcPr>
          <w:p>
            <w:pPr>
              <w:pStyle w:val="Compact"/>
              <w:spacing w:line="240" w:lineRule="auto"/>
              <w:jc w:val="center"/>
            </w:pPr>
            <w:r>
              <w:rPr>
                <w:rFonts w:ascii="Times New Roman" w:hAnsi="Times New Roman"/>
                <w:sz w:val="20"/>
              </w:rPr>
              <w:t xml:space="preserve">0.35</w:t>
            </w:r>
          </w:p>
        </w:tc>
        <w:tc>
          <w:tcPr>
            <w:tcW w:type="dxa" w:w="1181"/>
          </w:tcPr>
          <w:p>
            <w:pPr>
              <w:pStyle w:val="Compact"/>
              <w:spacing w:line="240" w:lineRule="auto"/>
              <w:jc w:val="center"/>
            </w:pPr>
            <w:r>
              <w:rPr>
                <w:rFonts w:ascii="Times New Roman" w:hAnsi="Times New Roman"/>
                <w:sz w:val="20"/>
              </w:rPr>
              <w:t xml:space="preserve">55.6</w:t>
            </w:r>
          </w:p>
        </w:tc>
        <w:tc>
          <w:tcPr>
            <w:tcW w:type="dxa" w:w="1181"/>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1181"/>
          </w:tcPr>
          <w:p>
            <w:pPr>
              <w:pStyle w:val="Compact"/>
              <w:spacing w:line="240" w:lineRule="auto"/>
              <w:jc w:val="center"/>
            </w:pPr>
            <w:r>
              <w:rPr>
                <w:rFonts w:ascii="Times New Roman" w:hAnsi="Times New Roman"/>
                <w:sz w:val="20"/>
              </w:rPr>
              <w:t xml:space="preserve">0.928</w:t>
            </w:r>
          </w:p>
        </w:tc>
        <w:tc>
          <w:tcPr>
            <w:tcW w:type="dxa" w:w="1181"/>
          </w:tcPr>
          <w:p>
            <w:pPr>
              <w:pStyle w:val="Compact"/>
              <w:spacing w:line="240" w:lineRule="auto"/>
              <w:jc w:val="center"/>
            </w:pPr>
            <w:r>
              <w:rPr>
                <w:rFonts w:ascii="Times New Roman" w:hAnsi="Times New Roman"/>
                <w:sz w:val="20"/>
              </w:rPr>
              <w:t xml:space="preserve">0.939</w:t>
            </w:r>
          </w:p>
        </w:tc>
        <w:tc>
          <w:tcPr>
            <w:tcW w:type="dxa" w:w="1181"/>
          </w:tcPr>
          <w:p>
            <w:pPr>
              <w:pStyle w:val="Compact"/>
              <w:spacing w:line="240" w:lineRule="auto"/>
              <w:jc w:val="center"/>
            </w:pPr>
            <w:r>
              <w:rPr>
                <w:rFonts w:ascii="Times New Roman" w:hAnsi="Times New Roman"/>
                <w:sz w:val="20"/>
              </w:rPr>
              <w:t xml:space="preserve">0.35</w:t>
            </w:r>
          </w:p>
        </w:tc>
        <w:tc>
          <w:tcPr>
            <w:tcW w:type="dxa" w:w="1181"/>
          </w:tcPr>
          <w:p>
            <w:pPr>
              <w:pStyle w:val="Compact"/>
              <w:spacing w:line="240" w:lineRule="auto"/>
              <w:jc w:val="center"/>
            </w:pPr>
            <w:r>
              <w:rPr>
                <w:rFonts w:ascii="Times New Roman" w:hAnsi="Times New Roman"/>
                <w:sz w:val="20"/>
              </w:rPr>
              <w:t xml:space="preserve">34.0</w:t>
            </w:r>
          </w:p>
        </w:tc>
        <w:tc>
          <w:tcPr>
            <w:tcW w:type="dxa" w:w="1181"/>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1181"/>
          </w:tcPr>
          <w:p>
            <w:pPr>
              <w:pStyle w:val="Compact"/>
              <w:spacing w:line="240" w:lineRule="auto"/>
              <w:jc w:val="center"/>
            </w:pPr>
            <w:r>
              <w:rPr>
                <w:rFonts w:ascii="Times New Roman" w:hAnsi="Times New Roman"/>
                <w:sz w:val="20"/>
              </w:rPr>
              <w:t xml:space="preserve">0.319</w:t>
            </w:r>
          </w:p>
        </w:tc>
        <w:tc>
          <w:tcPr>
            <w:tcW w:type="dxa" w:w="1181"/>
          </w:tcPr>
          <w:p>
            <w:pPr>
              <w:pStyle w:val="Compact"/>
              <w:spacing w:line="240" w:lineRule="auto"/>
              <w:jc w:val="center"/>
            </w:pPr>
            <w:r>
              <w:rPr>
                <w:rFonts w:ascii="Times New Roman" w:hAnsi="Times New Roman"/>
                <w:sz w:val="20"/>
              </w:rPr>
              <w:t xml:space="preserve">0.717</w:t>
            </w:r>
          </w:p>
        </w:tc>
        <w:tc>
          <w:tcPr>
            <w:tcW w:type="dxa" w:w="1181"/>
          </w:tcPr>
          <w:p>
            <w:pPr>
              <w:pStyle w:val="Compact"/>
              <w:spacing w:line="240" w:lineRule="auto"/>
              <w:jc w:val="center"/>
            </w:pPr>
            <w:r>
              <w:rPr>
                <w:rFonts w:ascii="Times New Roman" w:hAnsi="Times New Roman"/>
                <w:sz w:val="20"/>
              </w:rPr>
              <w:t xml:space="preserve">0.36</w:t>
            </w:r>
          </w:p>
        </w:tc>
        <w:tc>
          <w:tcPr>
            <w:tcW w:type="dxa" w:w="1181"/>
          </w:tcPr>
          <w:p>
            <w:pPr>
              <w:pStyle w:val="Compact"/>
              <w:spacing w:line="240" w:lineRule="auto"/>
              <w:jc w:val="center"/>
            </w:pPr>
            <w:r>
              <w:rPr>
                <w:rFonts w:ascii="Times New Roman" w:hAnsi="Times New Roman"/>
                <w:sz w:val="20"/>
              </w:rPr>
              <w:t xml:space="preserve">3.6</w:t>
            </w:r>
          </w:p>
        </w:tc>
        <w:tc>
          <w:tcPr>
            <w:tcW w:type="dxa" w:w="1181"/>
          </w:tcPr>
          <w:p>
            <w:pPr>
              <w:pStyle w:val="Compact"/>
              <w:spacing w:line="240" w:lineRule="auto"/>
              <w:jc w:val="center"/>
            </w:pPr>
            <w:r>
              <w:rPr>
                <w:rFonts w:ascii="Times New Roman" w:hAnsi="Times New Roman"/>
                <w:sz w:val="20"/>
              </w:rPr>
              <w:t xml:space="preserve">[1.78, 4.40)</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1181"/>
          </w:tcPr>
          <w:p>
            <w:pPr>
              <w:pStyle w:val="Compact"/>
              <w:spacing w:line="240" w:lineRule="auto"/>
              <w:jc w:val="center"/>
            </w:pPr>
            <w:r>
              <w:rPr>
                <w:rFonts w:ascii="Times New Roman" w:hAnsi="Times New Roman"/>
                <w:sz w:val="20"/>
              </w:rPr>
              <w:t xml:space="preserve">0.359</w:t>
            </w:r>
          </w:p>
        </w:tc>
        <w:tc>
          <w:tcPr>
            <w:tcW w:type="dxa" w:w="1181"/>
          </w:tcPr>
          <w:p>
            <w:pPr>
              <w:pStyle w:val="Compact"/>
              <w:spacing w:line="240" w:lineRule="auto"/>
              <w:jc w:val="center"/>
            </w:pPr>
            <w:r>
              <w:rPr>
                <w:rFonts w:ascii="Times New Roman" w:hAnsi="Times New Roman"/>
                <w:sz w:val="20"/>
              </w:rPr>
              <w:t xml:space="preserve">0.692</w:t>
            </w:r>
          </w:p>
        </w:tc>
        <w:tc>
          <w:tcPr>
            <w:tcW w:type="dxa" w:w="1181"/>
          </w:tcPr>
          <w:p>
            <w:pPr>
              <w:pStyle w:val="Compact"/>
              <w:spacing w:line="240" w:lineRule="auto"/>
              <w:jc w:val="center"/>
            </w:pPr>
            <w:r>
              <w:rPr>
                <w:rFonts w:ascii="Times New Roman" w:hAnsi="Times New Roman"/>
                <w:sz w:val="20"/>
              </w:rPr>
              <w:t xml:space="preserve">0.30</w:t>
            </w:r>
          </w:p>
        </w:tc>
        <w:tc>
          <w:tcPr>
            <w:tcW w:type="dxa" w:w="1181"/>
          </w:tcPr>
          <w:p>
            <w:pPr>
              <w:pStyle w:val="Compact"/>
              <w:spacing w:line="240" w:lineRule="auto"/>
              <w:jc w:val="center"/>
            </w:pPr>
            <w:r>
              <w:rPr>
                <w:rFonts w:ascii="Times New Roman" w:hAnsi="Times New Roman"/>
                <w:sz w:val="20"/>
              </w:rPr>
              <w:t xml:space="preserve">3.8</w:t>
            </w:r>
          </w:p>
        </w:tc>
        <w:tc>
          <w:tcPr>
            <w:tcW w:type="dxa" w:w="1181"/>
          </w:tcPr>
          <w:p>
            <w:pPr>
              <w:pStyle w:val="Compact"/>
              <w:spacing w:line="240" w:lineRule="auto"/>
              <w:jc w:val="center"/>
            </w:pPr>
            <w:r>
              <w:rPr>
                <w:rFonts w:ascii="Times New Roman" w:hAnsi="Times New Roman"/>
                <w:sz w:val="20"/>
              </w:rPr>
              <w:t xml:space="preserve">[1.73, 4.49)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1181"/>
          </w:tcPr>
          <w:p>
            <w:pPr>
              <w:pStyle w:val="Compact"/>
              <w:spacing w:line="240" w:lineRule="auto"/>
              <w:jc w:val="center"/>
            </w:pPr>
            <w:r>
              <w:rPr>
                <w:rFonts w:ascii="Times New Roman" w:hAnsi="Times New Roman"/>
                <w:sz w:val="20"/>
              </w:rPr>
              <w:t xml:space="preserve">0.706</w:t>
            </w:r>
          </w:p>
        </w:tc>
        <w:tc>
          <w:tcPr>
            <w:tcW w:type="dxa" w:w="1181"/>
          </w:tcPr>
          <w:p>
            <w:pPr>
              <w:pStyle w:val="Compact"/>
              <w:spacing w:line="240" w:lineRule="auto"/>
              <w:jc w:val="center"/>
            </w:pPr>
            <w:r>
              <w:rPr>
                <w:rFonts w:ascii="Times New Roman" w:hAnsi="Times New Roman"/>
                <w:sz w:val="20"/>
              </w:rPr>
              <w:t xml:space="preserve">0.700</w:t>
            </w:r>
          </w:p>
        </w:tc>
        <w:tc>
          <w:tcPr>
            <w:tcW w:type="dxa" w:w="1181"/>
          </w:tcPr>
          <w:p>
            <w:pPr>
              <w:pStyle w:val="Compact"/>
              <w:spacing w:line="240" w:lineRule="auto"/>
              <w:jc w:val="center"/>
            </w:pPr>
            <w:r>
              <w:rPr>
                <w:rFonts w:ascii="Times New Roman" w:hAnsi="Times New Roman"/>
                <w:sz w:val="20"/>
              </w:rPr>
              <w:t xml:space="preserve">0.65</w:t>
            </w:r>
          </w:p>
        </w:tc>
        <w:tc>
          <w:tcPr>
            <w:tcW w:type="dxa" w:w="1181"/>
          </w:tcPr>
          <w:p>
            <w:pPr>
              <w:pStyle w:val="Compact"/>
              <w:spacing w:line="240" w:lineRule="auto"/>
              <w:jc w:val="center"/>
            </w:pPr>
            <w:r>
              <w:rPr>
                <w:rFonts w:ascii="Times New Roman" w:hAnsi="Times New Roman"/>
                <w:sz w:val="20"/>
              </w:rPr>
              <w:t xml:space="preserve">8.4</w:t>
            </w:r>
          </w:p>
        </w:tc>
        <w:tc>
          <w:tcPr>
            <w:tcW w:type="dxa" w:w="1181"/>
          </w:tcPr>
          <w:p>
            <w:pPr>
              <w:pStyle w:val="Compact"/>
              <w:spacing w:line="240" w:lineRule="auto"/>
              <w:jc w:val="center"/>
            </w:pPr>
            <w:r>
              <w:rPr>
                <w:rFonts w:ascii="Times New Roman" w:hAnsi="Times New Roman"/>
                <w:sz w:val="20"/>
              </w:rPr>
              <w:t xml:space="preserve">never</w:t>
            </w:r>
          </w:p>
        </w:tc>
      </w:tr>
    </w:tbl>
    <w:p>
      <w:pPr>
        <w:pStyle w:val="BodyText"/>
      </w:pPr>
      <w:r>
        <w:rPr>
          <w:bCs/>
          <w:b/>
        </w:rPr>
        <w:t xml:space="preserve">Results.</w:t>
      </w:r>
      <w:r>
        <w:t xml:space="preserve"> </w:t>
      </w:r>
      <w:r>
        <w:t xml:space="preserve">Copying degrades sharply with the size of the upgrade. Across the Pythia series the activation drift rises from 0.25 to 0.31 to 0.60, and</w:t>
      </w:r>
      <w:r>
        <w:t xml:space="preserve"> </w:t>
      </w:r>
      <w:r>
        <w:t xml:space="preserve">copy recovery falls from 0.956 to 0.928 to 0.319 (0.359 on the second seed). ACT’s gain over copying rises in the same order:</w:t>
      </w:r>
      <w:r>
        <w:t xml:space="preserve"> </w:t>
      </w:r>
      <m:oMath>
        <m:r>
          <m:rPr>
            <m:sty m:val="p"/>
          </m:rPr>
          <m:t>−</m:t>
        </m:r>
        <m:r>
          <m:t>0.004</m:t>
        </m:r>
      </m:oMath>
      <w:r>
        <w:t xml:space="preserve">,</w:t>
      </w:r>
      <w:r>
        <w:t xml:space="preserve"> </w:t>
      </w:r>
      <m:oMath>
        <m:r>
          <m:rPr>
            <m:sty m:val="p"/>
          </m:rPr>
          <m:t>+</m:t>
        </m:r>
        <m:r>
          <m:t>0.011</m:t>
        </m:r>
      </m:oMath>
      <w:r>
        <w:t xml:space="preserve">, and</w:t>
      </w:r>
      <w:r>
        <w:t xml:space="preserve"> </w:t>
      </w:r>
      <m:oMath>
        <m:r>
          <m:rPr>
            <m:sty m:val="p"/>
          </m:rPr>
          <m:t>+</m:t>
        </m:r>
        <m:r>
          <m:t>0.398</m:t>
        </m:r>
      </m:oMath>
      <w:r>
        <w:t xml:space="preserve"> </w:t>
      </w:r>
      <w:r>
        <w:t xml:space="preserve">(</w:t>
      </w:r>
      <m:oMath>
        <m:r>
          <m:rPr>
            <m:sty m:val="p"/>
          </m:rPr>
          <m:t>+</m:t>
        </m:r>
        <m:r>
          <m:t>0.333</m:t>
        </m:r>
      </m:oMath>
      <w:r>
        <w:t xml:space="preserve"> </w:t>
      </w:r>
      <w:r>
        <w:t xml:space="preserve">on the second seed).</w:t>
      </w:r>
      <w:r>
        <w:t xml:space="preserve"> </w:t>
      </w:r>
      <w:r>
        <w:t xml:space="preserve">After the largest upgrade ACT recovers 0.69 to 0.72 of the retraining benefit at 30% to 36% of the retraining compute time. Under the model this makes ACT the cost-minimizing policy for adapters</w:t>
      </w:r>
      <w:r>
        <w:t xml:space="preserve"> </w:t>
      </w:r>
      <w:r>
        <w:t xml:space="preserve">whose annual value lies between about 1.8 and 4.4 times</w:t>
      </w:r>
      <w:r>
        <w:t xml:space="preserve"> </w:t>
      </w:r>
      <m:oMath>
        <m:sSub>
          <m:e>
            <m:r>
              <m:t>C</m:t>
            </m:r>
          </m:e>
          <m:sub>
            <m:r>
              <m:t>N</m:t>
            </m:r>
          </m:sub>
        </m:sSub>
      </m:oMath>
      <w:r>
        <w:t xml:space="preserve"> </w:t>
      </w:r>
      <w:r>
        <w:t xml:space="preserve">(Table 5): below that range, keep the copy; above it, retrain immediately. After the two smaller upgrades ACT’s gain is smaller than the break-even implied</w:t>
      </w:r>
      <w:r>
        <w:t xml:space="preserve"> </w:t>
      </w:r>
      <w:r>
        <w:t xml:space="preserve">by its cost (</w:t>
      </w:r>
      <m:oMath>
        <m:r>
          <m:t>Γ</m:t>
        </m:r>
        <m:r>
          <m:rPr>
            <m:sty m:val="p"/>
          </m:rPr>
          <m:t>=</m:t>
        </m:r>
        <m:r>
          <m:t>0</m:t>
        </m:r>
      </m:oMath>
      <w:r>
        <w:t xml:space="preserve"> </w:t>
      </w:r>
      <w:r>
        <w:t xml:space="preserve">and</w:t>
      </w:r>
      <w:r>
        <w:t xml:space="preserve"> </w:t>
      </w:r>
      <m:oMath>
        <m:r>
          <m:t>Γ</m:t>
        </m:r>
        <m:r>
          <m:rPr>
            <m:sty m:val="p"/>
          </m:rPr>
          <m:t>=</m:t>
        </m:r>
        <m:r>
          <m:t>0.11</m:t>
        </m:r>
      </m:oMath>
      <w:r>
        <w:t xml:space="preserve"> </w:t>
      </w:r>
      <w:r>
        <w:t xml:space="preserve">against</w:t>
      </w:r>
      <w:r>
        <w:t xml:space="preserve"> </w:t>
      </w:r>
      <m:oMath>
        <m:sSub>
          <m:e>
            <m:r>
              <m:t>C</m:t>
            </m:r>
          </m:e>
          <m:sub>
            <m:r>
              <m:t>A</m:t>
            </m:r>
          </m:sub>
        </m:sSub>
        <m:r>
          <m:rPr>
            <m:sty m:val="p"/>
          </m:rPr>
          <m:t>=</m:t>
        </m:r>
        <m:r>
          <m:t>0.35</m:t>
        </m:r>
      </m:oMath>
      <w:r>
        <w:t xml:space="preserve">), so copying is the better policy at every value.</w:t>
      </w:r>
    </w:p>
    <w:p>
      <w:pPr>
        <w:pStyle w:val="BodyText"/>
      </w:pPr>
      <w:r>
        <w:t xml:space="preserve">The instruction-tuned pair is an exception that we cannot explain. Copy recovers 71%, which leaves room for improvement, and the activation drift (0.27) is similar to that of the small Pythia upgrades, but ACT recovers 70%, no more than copy, at 65% of the retraining compute time.</w:t>
      </w:r>
      <w:r>
        <w:t xml:space="preserve"> </w:t>
      </w:r>
      <w:r>
        <w:t xml:space="preserve">A shorter-schedule re-run of this pair on a different machine (100 steps, batch 2, 60 evaluation examples) gives 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w:t>
      </w:r>
      <w:r>
        <w:t xml:space="preserve"> </w:t>
      </w:r>
      <w:r>
        <w:t xml:space="preserve">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every threshold.</w:t>
      </w:r>
    </w:p>
    <w:bookmarkEnd w:id="26"/>
    <w:bookmarkStart w:id="27" w:name="where-does-act-help"/>
    <w:p>
      <w:pPr>
        <w:pStyle w:val="Heading1"/>
      </w:pPr>
      <w:r>
        <w:t xml:space="preserve">8. Where Does ACT Help?</w:t>
      </w:r>
    </w:p>
    <w:p>
      <w:pPr>
        <w:pStyle w:val="FirstParagraph"/>
      </w:pPr>
      <w:r>
        <w:rPr>
          <w:bCs/>
          <w:b/>
        </w:rPr>
        <w:t xml:space="preserve">Dependence on upgrade size.</w:t>
      </w:r>
      <w:r>
        <w:t xml:space="preserve"> </w:t>
      </w:r>
      <w:r>
        <w:t xml:space="preserve">The pattern in Table 5, with ACT’s gain growing as copy recovery falls, matches the controlled simulation of Section 6, where the gain also grows with drift (Table 1).</w:t>
      </w:r>
      <w:r>
        <w:t xml:space="preserve"> </w:t>
      </w:r>
      <w:r>
        <w:t xml:space="preserve">The selected anchoring strength is consistent with this account for the large Pythia upgrade: it falls with activation drift (Spearman</w:t>
      </w:r>
      <w:r>
        <w:t xml:space="preserve"> </w:t>
      </w:r>
      <m:oMath>
        <m:r>
          <m:rPr>
            <m:sty m:val="p"/>
          </m:rPr>
          <m:t>−</m:t>
        </m:r>
        <m:r>
          <m:t>0.35</m:t>
        </m:r>
      </m:oMath>
      <w:r>
        <w:t xml:space="preserve">,</w:t>
      </w:r>
      <w:r>
        <w:t xml:space="preserve"> </w:t>
      </w:r>
      <m:oMath>
        <m:r>
          <m:t>p</m:t>
        </m:r>
        <m:r>
          <m:rPr>
            <m:sty m:val="p"/>
          </m:rPr>
          <m:t>=</m:t>
        </m:r>
        <m:r>
          <m:t>0.016</m:t>
        </m:r>
      </m:oMath>
      <w:r>
        <w:t xml:space="preserve">), as in the simulation (</w:t>
      </w:r>
      <m:oMath>
        <m:r>
          <m:rPr>
            <m:sty m:val="p"/>
          </m:rPr>
          <m:t>−</m:t>
        </m:r>
        <m:r>
          <m:t>0.30</m:t>
        </m:r>
      </m:oMath>
      <w:r>
        <w:t xml:space="preserve">), so the correction is allowed to move further from the copied adapter where the model moved more.</w:t>
      </w:r>
    </w:p>
    <w:p>
      <w:pPr>
        <w:pStyle w:val="BodyText"/>
      </w:pPr>
      <w:r>
        <w:rPr>
          <w:bCs/>
          <w:b/>
        </w:rPr>
        <w:t xml:space="preserve">The instruction-tuned exception.</w:t>
      </w:r>
      <w:r>
        <w:t xml:space="preserve"> </w:t>
      </w:r>
      <w:r>
        <w:t xml:space="preserve">On SmolLM2 the selected anchoring strength instead rises with drift (Spearman</w:t>
      </w:r>
      <w:r>
        <w:t xml:space="preserve"> </w:t>
      </w:r>
      <m:oMath>
        <m:r>
          <m:rPr>
            <m:sty m:val="p"/>
          </m:rPr>
          <m:t>+</m:t>
        </m:r>
        <m:r>
          <m:t>0.78</m:t>
        </m:r>
      </m:oMath>
      <w:r>
        <w:t xml:space="preserve">): the validation criterion pulls the correction back toward the copied adapter where drift is large. We tested three possible reasons.</w:t>
      </w:r>
      <w:r>
        <w:t xml:space="preserve"> </w:t>
      </w:r>
      <w:r>
        <w:t xml:space="preserve">The first is the</w:t>
      </w:r>
      <w:r>
        <w:t xml:space="preserve"> </w:t>
      </w:r>
      <w:r>
        <w:rPr>
          <w:iCs/>
          <w:i/>
        </w:rPr>
        <w:t xml:space="preserve">upgrade type</w:t>
      </w:r>
      <w:r>
        <w:t xml:space="preserve">: the simulation rotates the hidden basis, which ACT can undo, whereas instruction tuning moves weights within a shared basis. We re-ran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 simulation the target task is by construction the same change the source adapter made, whereas on real models retraining may learn something the source adapter never encoded.</w:t>
      </w:r>
      <w:r>
        <w:t xml:space="preserve"> </w:t>
      </w:r>
      <w:r>
        <w:t xml:space="preserve">We mix the target task with a fresh rank-4 change 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whereas recovery is measured on answer tokens. We re-ran the smallest Pythia upgrade calibrating on prompt and answer tokens.</w:t>
      </w:r>
    </w:p>
    <w:p>
      <w:pPr>
        <w:pStyle w:val="TableCaption"/>
      </w:pPr>
      <w:r>
        <w:t xml:space="preserve">Simulated ACT−copy recovery gain (two seeds per cell; ACT wins in all 12 conditions). Controlled simulation, not real models.</w:t>
      </w:r>
    </w:p>
    <w:tbl>
      <w:tblPr>
        <w:tblStyle w:val="Table"/>
        <w:tblW w:type="dxa" w:w="9360"/>
        <w:tblLook w:firstRow="1" w:lastRow="0" w:firstColumn="0" w:lastColumn="0" w:noHBand="0" w:noVBand="0" w:val="0020"/>
        <w:jc w:val="start"/>
        <w:tblCaption w:val="Simulated ACT−copy recovery gain (two seeds per cell; ACT wins in all 12 conditions). Controlled simulation, not real models."/>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968"/>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+0.060</w:t>
            </w:r>
          </w:p>
        </w:tc>
        <w:tc>
          <w:tcPr>
            <w:tcW w:type="dxa" w:w="1968"/>
          </w:tcPr>
          <w:p>
            <w:pPr>
              <w:pStyle w:val="Compact"/>
              <w:spacing w:line="240" w:lineRule="auto"/>
              <w:jc w:val="center"/>
            </w:pPr>
            <w:r>
              <w:rPr>
                <w:rFonts w:ascii="Times New Roman" w:hAnsi="Times New Roman"/>
                <w:sz w:val="20"/>
              </w:rPr>
              <w:t xml:space="preserve">+0.177</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+0.056</w:t>
            </w:r>
          </w:p>
        </w:tc>
        <w:tc>
          <w:tcPr>
            <w:tcW w:type="dxa" w:w="1968"/>
          </w:tcPr>
          <w:p>
            <w:pPr>
              <w:pStyle w:val="Compact"/>
              <w:spacing w:line="240" w:lineRule="auto"/>
              <w:jc w:val="center"/>
            </w:pPr>
            <w:r>
              <w:rPr>
                <w:rFonts w:ascii="Times New Roman" w:hAnsi="Times New Roman"/>
                <w:sz w:val="20"/>
              </w:rPr>
              <w:t xml:space="preserve">+0.165</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+0.048</w:t>
            </w:r>
          </w:p>
        </w:tc>
        <w:tc>
          <w:tcPr>
            <w:tcW w:type="dxa" w:w="1968"/>
          </w:tcPr>
          <w:p>
            <w:pPr>
              <w:pStyle w:val="Compact"/>
              <w:spacing w:line="240" w:lineRule="auto"/>
              <w:jc w:val="center"/>
            </w:pPr>
            <w:r>
              <w:rPr>
                <w:rFonts w:ascii="Times New Roman" w:hAnsi="Times New Roman"/>
                <w:sz w:val="20"/>
              </w:rPr>
              <w:t xml:space="preserve">+0.131</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+0.073</w:t>
            </w:r>
          </w:p>
        </w:tc>
        <w:tc>
          <w:tcPr>
            <w:tcW w:type="dxa" w:w="1968"/>
          </w:tcPr>
          <w:p>
            <w:pPr>
              <w:pStyle w:val="Compact"/>
              <w:spacing w:line="240" w:lineRule="auto"/>
              <w:jc w:val="center"/>
            </w:pPr>
            <w:r>
              <w:rPr>
                <w:rFonts w:ascii="Times New Roman" w:hAnsi="Times New Roman"/>
                <w:sz w:val="20"/>
              </w:rPr>
              <w:t xml:space="preserve">+0.256</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+0.094</w:t>
            </w:r>
          </w:p>
        </w:tc>
        <w:tc>
          <w:tcPr>
            <w:tcW w:type="dxa" w:w="1968"/>
          </w:tcPr>
          <w:p>
            <w:pPr>
              <w:pStyle w:val="Compact"/>
              <w:spacing w:line="240" w:lineRule="auto"/>
              <w:jc w:val="center"/>
            </w:pPr>
            <w:r>
              <w:rPr>
                <w:rFonts w:ascii="Times New Roman" w:hAnsi="Times New Roman"/>
                <w:sz w:val="20"/>
              </w:rPr>
              <w:t xml:space="preserve">+0.287</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+0.125</w:t>
            </w:r>
          </w:p>
        </w:tc>
        <w:tc>
          <w:tcPr>
            <w:tcW w:type="dxa" w:w="1968"/>
          </w:tcPr>
          <w:p>
            <w:pPr>
              <w:pStyle w:val="Compact"/>
              <w:spacing w:line="240" w:lineRule="auto"/>
              <w:jc w:val="center"/>
            </w:pPr>
            <w:r>
              <w:rPr>
                <w:rFonts w:ascii="Times New Roman" w:hAnsi="Times New Roman"/>
                <w:sz w:val="20"/>
              </w:rPr>
              <w:t xml:space="preserve">+0.331</w:t>
            </w:r>
          </w:p>
        </w:tc>
      </w:tr>
    </w:tbl>
    <w:p>
      <w:pPr>
        <w:pStyle w:val="BodyText"/>
      </w:pPr>
      <w:r>
        <w:t xml:space="preserve">In simulation ACT keeps a gain of 0.05 to 0.33 under both upgrade types and every task overlap (Table 6), so neither the upgrade type nor the task mismatch explains the exception. Calibrating on prompt and answer tokens leaves ACT level with copy on the smallest Pythia upgrade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 but that test has limited power because copy already recovers 96% there, and it does not bear on SmolLM2.</w:t>
      </w:r>
      <w:r>
        <w:t xml:space="preserve"> </w:t>
      </w:r>
      <w:r>
        <w:t xml:space="preserve">We therefore have not identified why ACT fails on the instruction-tuned pair. Untested candidates include the upgrade type itself (continued pre-training against instruction tuning), model scale, properties of real transformers absent from the simulation (residual connections, normalization, attention), and the fact that LoRA’s</w:t>
      </w:r>
      <w:r>
        <w:t xml:space="preserve"> </w:t>
      </w:r>
      <m:oMath>
        <m:r>
          <m:t>A</m:t>
        </m:r>
      </m:oMath>
      <w:r>
        <w:t xml:space="preserve"> </w:t>
      </w:r>
      <w:r>
        <w:t xml:space="preserve">matrix stays close to its initialization in short fine-tuning, which would make an</w:t>
      </w:r>
      <w:r>
        <w:t xml:space="preserve"> </w:t>
      </w:r>
      <m:oMath>
        <m:r>
          <m:t>A</m:t>
        </m:r>
      </m:oMath>
      <w:r>
        <w:t xml:space="preserve">-only correction less informative. The honest summary is that ACT helped where we expected it to and did not where copy was already adequate or, in one case, where it was not.</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using the measured recovery rates and cost ratio of the large Pythia upgrade</w:t>
      </w:r>
      <w:r>
        <w:t xml:space="preserve"> </w:t>
      </w:r>
      <w:r>
        <w:t xml:space="preserve">(</w:t>
      </w:r>
      <m:oMath>
        <m:sSub>
          <m:e>
            <m:r>
              <m:t>R</m:t>
            </m:r>
          </m:e>
          <m:sub>
            <m:r>
              <m:t>C</m:t>
            </m:r>
          </m:sub>
        </m:sSub>
        <m:r>
          <m:rPr>
            <m:sty m:val="p"/>
          </m:rPr>
          <m:t>=</m:t>
        </m:r>
        <m:r>
          <m:t>0.319</m:t>
        </m:r>
      </m:oMath>
      <w:r>
        <w:t xml:space="preserve">,</w:t>
      </w:r>
      <w:r>
        <w:t xml:space="preserve"> </w:t>
      </w:r>
      <m:oMath>
        <m:sSub>
          <m:e>
            <m:r>
              <m:t>R</m:t>
            </m:r>
          </m:e>
          <m:sub>
            <m:r>
              <m:t>A</m:t>
            </m:r>
          </m:sub>
        </m:sSub>
        <m:r>
          <m:rPr>
            <m:sty m:val="p"/>
          </m:rPr>
          <m:t>=</m:t>
        </m:r>
        <m:r>
          <m:t>0.717</m:t>
        </m:r>
      </m:oMath>
      <w:r>
        <w:t xml:space="preserve">,</w:t>
      </w:r>
      <w:r>
        <w:t xml:space="preserve"> </w:t>
      </w:r>
      <m:oMath>
        <m:sSub>
          <m:e>
            <m:r>
              <m:t>C</m:t>
            </m:r>
          </m:e>
          <m:sub>
            <m:r>
              <m:t>A</m:t>
            </m:r>
          </m:sub>
        </m:sSub>
        <m:r>
          <m:rPr>
            <m:sty m:val="p"/>
          </m:rPr>
          <m:t>=</m:t>
        </m:r>
        <m:r>
          <m:t>0.36</m:t>
        </m:r>
        <m:sSub>
          <m:e>
            <m:r>
              <m:t>C</m:t>
            </m:r>
          </m:e>
          <m:sub>
            <m:r>
              <m:t>N</m:t>
            </m:r>
          </m:sub>
        </m:sSub>
      </m:oMath>
      <w:r>
        <w:t xml:space="preserve">).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0.3651</w:t>
      </w:r>
      <w:r>
        <w:t xml:space="preserve"> </w:t>
      </w:r>
      <m:oMath>
        <m:r>
          <m:rPr>
            <m:sty m:val="p"/>
          </m:rPr>
          <m:t>±</m:t>
        </m:r>
      </m:oMath>
      <w:r>
        <w:t xml:space="preserve"> </w:t>
      </w:r>
      <w:r>
        <w:t xml:space="preserve">0.0020 versus 0.3624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(large Pythia upgrade).</w:t>
      </w:r>
    </w:p>
    <w:tbl>
      <w:tblPr>
        <w:tblStyle w:val="Table"/>
        <w:tblW w:type="dxa" w:w="9360"/>
        <w:tblLook w:firstRow="1" w:lastRow="0" w:firstColumn="0" w:lastColumn="0" w:noHBand="0" w:noVBand="0" w:val="0020"/>
        <w:jc w:val="start"/>
        <w:tblCaption w:val="Optimal ACT threshold, cost of using the Poisson threshold, and ACT-optimal region (large Pythia upgrade)."/>
        <w:tblLayout w:type="fixed"/>
        <w:tblBorders>
          <w:top w:val="single" w:sz="12" w:color="000000"/>
          <w:bottom w:val="single" w:sz="12" w:color="000000"/>
        </w:tblBorders>
      </w:tblPr>
      <w:tblGrid>
        <w:gridCol w:w="3456"/>
        <w:gridCol w:w="1475"/>
        <w:gridCol w:w="1475"/>
        <w:gridCol w:w="1475"/>
        <w:gridCol w:w="1475"/>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Poisson (CV = 1)</w:t>
            </w:r>
          </w:p>
        </w:tc>
        <w:tc>
          <w:tcPr>
            <w:tcW w:type="dxa" w:w="1476"/>
          </w:tcPr>
          <w:p>
            <w:pPr>
              <w:pStyle w:val="Compact"/>
              <w:spacing w:line="240" w:lineRule="auto"/>
              <w:jc w:val="center"/>
            </w:pPr>
            <w:r>
              <w:rPr>
                <w:rFonts w:ascii="Times New Roman" w:hAnsi="Times New Roman"/>
                <w:sz w:val="20"/>
              </w:rPr>
              <w:t xml:space="preserve">8.68</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[1.77, 4.36)</w:t>
            </w:r>
          </w:p>
        </w:tc>
      </w:tr>
      <w:tr>
        <w:tc>
          <w:tcPr>
            <w:tcW w:type="dxa" w:w="3456"/>
          </w:tcPr>
          <w:p>
            <w:pPr>
              <w:pStyle w:val="Compact"/>
              <w:spacing w:line="240" w:lineRule="auto"/>
              <w:jc w:val="left"/>
            </w:pPr>
            <w:r>
              <w:rPr>
                <w:rFonts w:ascii="Times New Roman" w:hAnsi="Times New Roman"/>
                <w:sz w:val="20"/>
              </w:rPr>
              <w:t xml:space="preserve">Hyperexponential, CV = 2</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0.5%</w:t>
            </w:r>
          </w:p>
        </w:tc>
        <w:tc>
          <w:tcPr>
            <w:tcW w:type="dxa" w:w="1476"/>
          </w:tcPr>
          <w:p>
            <w:pPr>
              <w:pStyle w:val="Compact"/>
              <w:spacing w:line="240" w:lineRule="auto"/>
              <w:jc w:val="center"/>
            </w:pPr>
            <w:r>
              <w:rPr>
                <w:rFonts w:ascii="Times New Roman" w:hAnsi="Times New Roman"/>
                <w:sz w:val="20"/>
              </w:rPr>
              <w:t xml:space="preserve">1.1%</w:t>
            </w:r>
          </w:p>
        </w:tc>
        <w:tc>
          <w:tcPr>
            <w:tcW w:type="dxa" w:w="1476"/>
          </w:tcPr>
          <w:p>
            <w:pPr>
              <w:pStyle w:val="Compact"/>
              <w:spacing w:line="240" w:lineRule="auto"/>
              <w:jc w:val="center"/>
            </w:pPr>
            <w:r>
              <w:rPr>
                <w:rFonts w:ascii="Times New Roman" w:hAnsi="Times New Roman"/>
                <w:sz w:val="20"/>
              </w:rPr>
              <w:t xml:space="preserve">[2.19, 5.06)</w:t>
            </w:r>
          </w:p>
        </w:tc>
      </w:tr>
      <w:tr>
        <w:tc>
          <w:tcPr>
            <w:tcW w:type="dxa" w:w="3456"/>
          </w:tcPr>
          <w:p>
            <w:pPr>
              <w:pStyle w:val="Compact"/>
              <w:spacing w:line="240" w:lineRule="auto"/>
              <w:jc w:val="left"/>
            </w:pPr>
            <w:r>
              <w:rPr>
                <w:rFonts w:ascii="Times New Roman" w:hAnsi="Times New Roman"/>
                <w:sz w:val="20"/>
              </w:rPr>
              <w:t xml:space="preserve">Hyperexponential, CV = 3</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0.7%</w:t>
            </w:r>
          </w:p>
        </w:tc>
        <w:tc>
          <w:tcPr>
            <w:tcW w:type="dxa" w:w="1476"/>
          </w:tcPr>
          <w:p>
            <w:pPr>
              <w:pStyle w:val="Compact"/>
              <w:spacing w:line="240" w:lineRule="auto"/>
              <w:jc w:val="center"/>
            </w:pPr>
            <w:r>
              <w:rPr>
                <w:rFonts w:ascii="Times New Roman" w:hAnsi="Times New Roman"/>
                <w:sz w:val="20"/>
              </w:rPr>
              <w:t xml:space="preserve">2.3%</w:t>
            </w:r>
          </w:p>
        </w:tc>
        <w:tc>
          <w:tcPr>
            <w:tcW w:type="dxa" w:w="1476"/>
          </w:tcPr>
          <w:p>
            <w:pPr>
              <w:pStyle w:val="Compact"/>
              <w:spacing w:line="240" w:lineRule="auto"/>
              <w:jc w:val="center"/>
            </w:pPr>
            <w:r>
              <w:rPr>
                <w:rFonts w:ascii="Times New Roman" w:hAnsi="Times New Roman"/>
                <w:sz w:val="20"/>
              </w:rPr>
              <w:t xml:space="preserve">[2.23, 5.38)</w:t>
            </w:r>
          </w:p>
        </w:tc>
      </w:tr>
      <w:tr>
        <w:tc>
          <w:tcPr>
            <w:tcW w:type="dxa" w:w="3456"/>
          </w:tcPr>
          <w:p>
            <w:pPr>
              <w:pStyle w:val="Compact"/>
              <w:spacing w:line="240" w:lineRule="auto"/>
              <w:jc w:val="left"/>
            </w:pPr>
            <w:r>
              <w:rPr>
                <w:rFonts w:ascii="Times New Roman" w:hAnsi="Times New Roman"/>
                <w:sz w:val="20"/>
              </w:rPr>
              <w:t xml:space="preserve">Erlang, CV = 0.5</w:t>
            </w:r>
          </w:p>
        </w:tc>
        <w:tc>
          <w:tcPr>
            <w:tcW w:type="dxa" w:w="1476"/>
          </w:tcPr>
          <w:p>
            <w:pPr>
              <w:pStyle w:val="Compact"/>
              <w:spacing w:line="240" w:lineRule="auto"/>
              <w:jc w:val="center"/>
            </w:pPr>
            <w:r>
              <w:rPr>
                <w:rFonts w:ascii="Times New Roman" w:hAnsi="Times New Roman"/>
                <w:sz w:val="20"/>
              </w:rPr>
              <w:t xml:space="preserve">16.70†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0.4%</w:t>
            </w:r>
          </w:p>
        </w:tc>
        <w:tc>
          <w:tcPr>
            <w:tcW w:type="dxa" w:w="1476"/>
          </w:tcPr>
          <w:p>
            <w:pPr>
              <w:pStyle w:val="Compact"/>
              <w:spacing w:line="240" w:lineRule="auto"/>
              <w:jc w:val="center"/>
            </w:pPr>
            <w:r>
              <w:rPr>
                <w:rFonts w:ascii="Times New Roman" w:hAnsi="Times New Roman"/>
                <w:sz w:val="20"/>
              </w:rPr>
              <w:t xml:space="preserve">[1.73, 4.34)</w:t>
            </w:r>
          </w:p>
        </w:tc>
      </w:tr>
      <w:tr>
        <w:tc>
          <w:tcPr>
            <w:tcW w:type="dxa" w:w="3456"/>
          </w:tcPr>
          <w:p>
            <w:pPr>
              <w:pStyle w:val="Compact"/>
              <w:spacing w:line="240" w:lineRule="auto"/>
              <w:jc w:val="left"/>
            </w:pPr>
            <w:r>
              <w:rPr>
                <w:rFonts w:ascii="Times New Roman" w:hAnsi="Times New Roman"/>
                <w:sz w:val="20"/>
              </w:rPr>
              <w:t xml:space="preserve">Deterministic</w:t>
            </w:r>
          </w:p>
        </w:tc>
        <w:tc>
          <w:tcPr>
            <w:tcW w:type="dxa" w:w="1476"/>
          </w:tcPr>
          <w:p>
            <w:pPr>
              <w:pStyle w:val="Compact"/>
              <w:spacing w:line="240" w:lineRule="auto"/>
              <w:jc w:val="center"/>
            </w:pPr>
            <w:r>
              <w:rPr>
                <w:rFonts w:ascii="Times New Roman" w:hAnsi="Times New Roman"/>
                <w:sz w:val="20"/>
              </w:rPr>
              <w:t xml:space="preserve">19.04†</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0.6%</w:t>
            </w:r>
          </w:p>
        </w:tc>
        <w:tc>
          <w:tcPr>
            <w:tcW w:type="dxa" w:w="1476"/>
          </w:tcPr>
          <w:p>
            <w:pPr>
              <w:pStyle w:val="Compact"/>
              <w:spacing w:line="240" w:lineRule="auto"/>
              <w:jc w:val="center"/>
            </w:pPr>
            <w:r>
              <w:rPr>
                <w:rFonts w:ascii="Times New Roman" w:hAnsi="Times New Roman"/>
                <w:sz w:val="20"/>
              </w:rPr>
              <w:t xml:space="preserve">[1.75, 4.40)</w:t>
            </w:r>
          </w:p>
        </w:tc>
      </w:tr>
      <w:tr>
        <w:tc>
          <w:tcPr>
            <w:tcW w:type="dxa" w:w="3456"/>
          </w:tcPr>
          <w:p>
            <w:pPr>
              <w:pStyle w:val="Compact"/>
              <w:spacing w:line="240" w:lineRule="auto"/>
              <w:jc w:val="left"/>
            </w:pPr>
            <w:r>
              <w:rPr>
                <w:rFonts w:ascii="Times New Roman" w:hAnsi="Times New Roman"/>
                <w:sz w:val="20"/>
              </w:rPr>
              <w:t xml:space="preserve">Poisson + jumps (1/yr)</w:t>
            </w:r>
          </w:p>
        </w:tc>
        <w:tc>
          <w:tcPr>
            <w:tcW w:type="dxa" w:w="1476"/>
          </w:tcPr>
          <w:p>
            <w:pPr>
              <w:pStyle w:val="Compact"/>
              <w:spacing w:line="240" w:lineRule="auto"/>
              <w:jc w:val="center"/>
            </w:pPr>
            <w:r>
              <w:rPr>
                <w:rFonts w:ascii="Times New Roman" w:hAnsi="Times New Roman"/>
                <w:sz w:val="20"/>
              </w:rPr>
              <w:t xml:space="preserve">9.01</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[1.88, 4.56)</w:t>
            </w:r>
          </w:p>
        </w:tc>
      </w:tr>
      <w:tr>
        <w:tc>
          <w:tcPr>
            <w:tcW w:type="dxa" w:w="3456"/>
          </w:tcPr>
          <w:p>
            <w:pPr>
              <w:pStyle w:val="Compact"/>
              <w:spacing w:line="240" w:lineRule="auto"/>
              <w:jc w:val="left"/>
            </w:pPr>
            <w:r>
              <w:rPr>
                <w:rFonts w:ascii="Times New Roman" w:hAnsi="Times New Roman"/>
                <w:sz w:val="20"/>
              </w:rPr>
              <w:t xml:space="preserve">Poisson + jumps (3/yr)</w:t>
            </w:r>
          </w:p>
        </w:tc>
        <w:tc>
          <w:tcPr>
            <w:tcW w:type="dxa" w:w="1476"/>
          </w:tcPr>
          <w:p>
            <w:pPr>
              <w:pStyle w:val="Compact"/>
              <w:spacing w:line="240" w:lineRule="auto"/>
              <w:jc w:val="center"/>
            </w:pPr>
            <w:r>
              <w:rPr>
                <w:rFonts w:ascii="Times New Roman" w:hAnsi="Times New Roman"/>
                <w:sz w:val="20"/>
              </w:rPr>
              <w:t xml:space="preserve">9.90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[2.08, 4.82)</w:t>
            </w:r>
          </w:p>
        </w:tc>
      </w:tr>
    </w:tbl>
    <w:p>
      <w:pPr>
        <w:pStyle w:val="BodyText"/>
      </w:pPr>
      <w:r>
        <w:t xml:space="preserve">† At or near the upper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ACT threshold down by about 23% and regular schedules shift it up by a factor of about two: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2.3% of expected cost, because the cost curve is flat near the optimum.</w:t>
      </w:r>
      <w:r>
        <w:t xml:space="preserve"> </w:t>
      </w:r>
      <w:r>
        <w:t xml:space="preserve">Third, the range in which ACT is optimal is stable: its lower end stays between 1.7 and 2.2 and its upper end between 4.3 and 5.4 (the closed-form range is 1.8 to 4.4). The qualitative conclusion that a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two of our upgrades.</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a small Pythia upgrade (</w:t>
      </w:r>
      <m:oMath>
        <m:sSub>
          <m:e>
            <m:r>
              <m:t>R</m:t>
            </m:r>
          </m:e>
          <m:sub>
            <m:r>
              <m:t>C</m:t>
            </m:r>
          </m:sub>
        </m:sSub>
        <m:r>
          <m:rPr>
            <m:sty m:val="p"/>
          </m:rPr>
          <m:t>=</m:t>
        </m:r>
        <m:r>
          <m:t>0.96</m:t>
        </m:r>
      </m:oMath>
      <w:r>
        <w:t xml:space="preserve">) gives</w:t>
      </w:r>
      <w:r>
        <w:t xml:space="preserve"> </w:t>
      </w:r>
      <m:oMath>
        <m:sSup>
          <m:e>
            <m:r>
              <m:t>v</m:t>
            </m:r>
          </m:e>
          <m:sup>
            <m:r>
              <m:rPr>
                <m:sty m:val="p"/>
              </m:rPr>
              <m:t>*</m:t>
            </m:r>
          </m:sup>
        </m:sSup>
        <m:r>
          <m:rPr>
            <m:sty m:val="p"/>
          </m:rPr>
          <m:t>=</m:t>
        </m:r>
        <m:r>
          <m:t>55.6</m:t>
        </m:r>
        <m:r>
          <m:t> </m:t>
        </m:r>
        <m:sSub>
          <m:e>
            <m:r>
              <m:t>C</m:t>
            </m:r>
          </m:e>
          <m:sub>
            <m:r>
              <m:t>N</m:t>
            </m:r>
          </m:sub>
        </m:sSub>
      </m:oMath>
      <w:r>
        <w:t xml:space="preserve">, so almost any task should keep the copy. After the large upgrade (</w:t>
      </w:r>
      <m:oMath>
        <m:sSub>
          <m:e>
            <m:r>
              <m:t>R</m:t>
            </m:r>
          </m:e>
          <m:sub>
            <m:r>
              <m:t>C</m:t>
            </m:r>
          </m:sub>
        </m:sSub>
        <m:r>
          <m:rPr>
            <m:sty m:val="p"/>
          </m:rPr>
          <m:t>=</m:t>
        </m:r>
        <m:r>
          <m:t>0.32</m:t>
        </m:r>
      </m:oMath>
      <w:r>
        <w:t xml:space="preserve">) the threshold falls to</w:t>
      </w:r>
      <w:r>
        <w:t xml:space="preserve"> </w:t>
      </w:r>
      <m:oMath>
        <m:r>
          <m:t>3.6</m:t>
        </m:r>
        <m:r>
          <m:t> </m:t>
        </m:r>
        <m:sSub>
          <m:e>
            <m:r>
              <m:t>C</m:t>
            </m:r>
          </m:e>
          <m:sub>
            <m:r>
              <m:t>N</m:t>
            </m:r>
          </m:sub>
        </m:sSub>
      </m:oMath>
      <w:r>
        <w:t xml:space="preserve">, and a task worth more than that should be retrained at once.</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After the large Pythia upgrade, a procedure costing 36% of</w:t>
      </w:r>
      <w:r>
        <w:t xml:space="preserve"> </w:t>
      </w:r>
      <m:oMath>
        <m:sSub>
          <m:e>
            <m:r>
              <m:t>C</m:t>
            </m:r>
          </m:e>
          <m:sub>
            <m:r>
              <m:t>N</m:t>
            </m:r>
          </m:sub>
        </m:sSub>
      </m:oMath>
      <w:r>
        <w:t xml:space="preserve"> </w:t>
      </w:r>
      <w:r>
        <w:t xml:space="preserve">must reach a recovery of 0.62; ACT reached 0.69 to 0.72, so it is worth buying for adapters worth between 1.8 and 4.4 times</w:t>
      </w:r>
      <w:r>
        <w:t xml:space="preserve"> </w:t>
      </w:r>
      <m:oMath>
        <m:sSub>
          <m:e>
            <m:r>
              <m:t>C</m:t>
            </m:r>
          </m:e>
          <m:sub>
            <m:r>
              <m:t>N</m:t>
            </m:r>
          </m:sub>
        </m:sSub>
      </m:oMath>
      <w:r>
        <w:t xml:space="preserve"> </w:t>
      </w:r>
      <w:r>
        <w:t xml:space="preserve">per year, and not outside that range. On the instruction-tuned pair a</w:t>
      </w:r>
      <w:r>
        <w:t xml:space="preserve"> </w:t>
      </w:r>
      <w:r>
        <w:t xml:space="preserve">procedure costing 65% of</w:t>
      </w:r>
      <w:r>
        <w:t xml:space="preserve"> </w:t>
      </w:r>
      <m:oMath>
        <m:sSub>
          <m:e>
            <m:r>
              <m:t>C</m:t>
            </m:r>
          </m:e>
          <m:sub>
            <m:r>
              <m:t>N</m:t>
            </m:r>
          </m:sub>
        </m:sSub>
      </m:oMath>
      <w:r>
        <w:t xml:space="preserve"> </w:t>
      </w:r>
      <w:r>
        <w:t xml:space="preserve">would need a recovery of 0.92, a gain of 21 points over copy, which ACT did not deliver.</w:t>
      </w:r>
    </w:p>
    <w:p>
      <w:pPr>
        <w:pStyle w:val="FirstParagraph"/>
      </w:pPr>
      <w:r>
        <w:t xml:space="preserve">Two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 the retraining cost, and the recovery of the available transfer method. It yields a threshold for retraining and a price ceiling for transfer tooling.</w:t>
      </w:r>
      <w:r>
        <w:t xml:space="preserve"> </w:t>
      </w:r>
      <w:r>
        <w:t xml:space="preserve">Our measurements suggest a practical default that depends on the size of the upgrade: when the model moved little, copying the old adapter restores most of the retraining benefit, the retraining threshold is high, and a transfer method must beat copying by only a few points, but at a cost it rarely does; when the model moved a lot, copying collapses, and a cheap closed-form transfer such as ACT can be the cheapest policy over a middle range of adapter values.</w:t>
      </w:r>
      <w:r>
        <w:t xml:space="preserve"> </w:t>
      </w:r>
      <w:r>
        <w:t xml:space="preserve">For providers, upgrades that preserve internal representations raise recovery and so raise the value of customers’ existing adapters.</w:t>
      </w:r>
    </w:p>
    <w:p>
      <w:pPr>
        <w:pStyle w:val="BodyText"/>
      </w:pPr>
      <w:r>
        <w:t xml:space="preserve">For researchers, the instruction-tuned pair is a caution. A method can help where the problem is severe and fail on a different kind of upgrade of similar size, and the 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we ran four upgrades of models with 160 to 360 million parameters, on a single task (GSM8K), with 200 evaluation examples each. The drift series covers one model family, and only the largest upgrade has a replicate; the results do not speak to frontier models or to other tasks.</w:t>
      </w:r>
      <w:r>
        <w:t xml:space="preserve"> </w:t>
      </w:r>
      <w:r>
        <w:t xml:space="preserve">Third, the instruction-tuned pair is an unexplained exception, and we cannot say whether it reflects the upgrade type, the model scale, or something else. Fourth, the drift at which ACT starts to pay lies between 0.31 and 0.60 in our series and is not located more precisely. Fifth, value follows a stylized diffusion, and recovery is treated as known at the start of an epoch, whereas in</w:t>
      </w:r>
      <w:r>
        <w:t xml:space="preserve"> </w:t>
      </w:r>
      <w:r>
        <w:t xml:space="preserve">practice it must be estimated. Sixth, robustness runs use one recovery pair and renewal rather than self-exciting arrivals, and the release-interval distribution is not estimated from the release history of a real model family.</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credit-authorship-contribution-statement"/>
    <w:p>
      <w:pPr>
        <w:pStyle w:val="Heading1"/>
      </w:pPr>
      <w:r>
        <w:t xml:space="preserve">CRediT authorship contribution statement</w:t>
      </w:r>
    </w:p>
    <w:p>
      <w:pPr>
        <w:pStyle w:val="FirstParagraph"/>
      </w:pPr>
      <w:r>
        <w:t xml:space="preserve">Ook Lee: Conceptualization, Methodology, Writing – review &amp; editing.</w:t>
      </w:r>
      <w:r>
        <w:t xml:space="preserve"> </w:t>
      </w:r>
      <w:r>
        <w:rPr>
          <w:bCs/>
          <w:b/>
        </w:rPr>
        <w:t xml:space="preserve">[Author to confirm roles and add any co-authors.]</w:t>
      </w:r>
    </w:p>
    <w:bookmarkEnd w:id="31"/>
    <w:bookmarkStart w:id="32" w:name="declaration-of-competing-interest"/>
    <w:p>
      <w:pPr>
        <w:pStyle w:val="Heading1"/>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r>
        <w:t xml:space="preserve"> </w:t>
      </w:r>
      <w:r>
        <w:rPr>
          <w:bCs/>
          <w:b/>
        </w:rPr>
        <w:t xml:space="preserve">[Author to confirm.]</w:t>
      </w:r>
    </w:p>
    <w:bookmarkEnd w:id="32"/>
    <w:bookmarkStart w:id="3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Claude (Anthropic) to assist with writing and running the simulation and experiment code, analyzing results, and drafting and language-editing the manuscript. After using this tool, the author reviewed and edited the content as needed and takes full responsibility for the content of the publication.</w:t>
      </w:r>
      <w:r>
        <w:t xml:space="preserve"> </w:t>
      </w:r>
      <w:r>
        <w:rPr>
          <w:bCs/>
          <w:b/>
        </w:rPr>
        <w:t xml:space="preserve">[Author to confirm that this statement is accurate before submission.]</w:t>
      </w:r>
    </w:p>
    <w:bookmarkEnd w:id="33"/>
    <w:bookmarkStart w:id="34" w:name="data-availability"/>
    <w:p>
      <w:pPr>
        <w:pStyle w:val="Heading1"/>
      </w:pPr>
      <w:r>
        <w:t xml:space="preserve">Data availability</w:t>
      </w:r>
    </w:p>
    <w:p>
      <w:pPr>
        <w:pStyle w:val="FirstParagraph"/>
      </w:pPr>
      <w:r>
        <w:t xml:space="preserve">The code, simulation seeds, and result files are available at https://github.com/ooklee-sudo/fluffy-meme (branch claude/elegant-johnson-xo3pqu).</w:t>
      </w:r>
      <w:r>
        <w:t xml:space="preserve"> </w:t>
      </w:r>
      <w:r>
        <w:rPr>
          <w:bCs/>
          <w:b/>
        </w:rPr>
        <w:t xml:space="preserve">[Author to confirm that the repository is accessible to reviewers and to archive a permanent copy in a DOI-issuing repository before submission.]</w:t>
      </w:r>
    </w:p>
    <w:bookmarkEnd w:id="34"/>
    <w:bookmarkStart w:id="35"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5"/>
    <w:bookmarkStart w:id="36"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6"/>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 A Decision Model for Maintaining Fine-Tuned Language-Model Adapters Across Foundation-Model Upgrades</dc:title>
  <dc:creator/>
  <cp:keywords/>
  <dcterms:created xsi:type="dcterms:W3CDTF">2026-10-10T18:35:39Z</dcterms:created>
  <dcterms:modified xsi:type="dcterms:W3CDTF">2026-10-10T18:35:39Z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closed-form retraining threshold together with a break-even recovery that any transfer method must exceed to be worth its price. We measure recovery on open model pairs. Copying the old adapter restores 93 to 96 percent of the retraining benefit after small upgrades but only 32 to 36 percent after a large one (two seeds), and 71 percent after instruction tuning. A label-free, closed-form transfer method, Anchored Calibration Transfer (ACT), restores 69 to 72 percent after the large upgrade at about a third of the retraining compute time, which makes it the cost-minimizing policy for adapters whose annual value is roughly 1.8 to 4.4 times the retraining cost. After small upgrades, and for the instruction-tuned pair, it offers no gain over copying, and we do not know why the latter differs. Simulations with clustered and regular release schedules and with jump risk show that the policy ranking is robust, although the optimal threshold moves by 20 percent or more. The model gives practitioners a checkable rule for when transfer is worth buying.</vt:lpwstr>
  </property>
  <property fmtid="{D5CDD505-2E9C-101B-9397-08002B2CF9AE}" pid="3" name="date">
    <vt:lpwstr/>
  </property>
</Properties>
</file>