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study</w:t>
      </w:r>
      <w:r>
        <w:t xml:space="preserve"> </w:t>
      </w:r>
      <w:r>
        <w:t xml:space="preserve">this</w:t>
      </w:r>
      <w:r>
        <w:t xml:space="preserve"> </w:t>
      </w:r>
      <w:r>
        <w:t xml:space="preserve">decision</w:t>
      </w:r>
      <w:r>
        <w:t xml:space="preserve"> </w:t>
      </w:r>
      <w:r>
        <w:t xml:space="preserve">from</w:t>
      </w:r>
      <w:r>
        <w:t xml:space="preserve"> </w:t>
      </w:r>
      <w:r>
        <w:t xml:space="preserve">a</w:t>
      </w:r>
      <w:r>
        <w:t xml:space="preserve"> </w:t>
      </w:r>
      <w:r>
        <w:t xml:space="preserve">computational</w:t>
      </w:r>
      <w:r>
        <w:t xml:space="preserve"> </w:t>
      </w:r>
      <w:r>
        <w:t xml:space="preserve">angle.</w:t>
      </w:r>
      <w:r>
        <w:t xml:space="preserve"> </w:t>
      </w:r>
      <w:r>
        <w:t xml:space="preserve">We</w:t>
      </w:r>
      <w:r>
        <w:t xml:space="preserve"> </w:t>
      </w:r>
      <w:r>
        <w:t xml:space="preserve">propose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closed-form,</w:t>
      </w:r>
      <w:r>
        <w:t xml:space="preserve"> </w:t>
      </w:r>
      <w:r>
        <w:t xml:space="preserve">label-free</w:t>
      </w:r>
      <w:r>
        <w:t xml:space="preserve"> </w:t>
      </w:r>
      <w:r>
        <w:t xml:space="preserve">correction</w:t>
      </w:r>
      <w:r>
        <w:t xml:space="preserve"> </w:t>
      </w:r>
      <w:r>
        <w:t xml:space="preserve">of</w:t>
      </w:r>
      <w:r>
        <w:t xml:space="preserve"> </w:t>
      </w:r>
      <w:r>
        <w:t xml:space="preserve">a</w:t>
      </w:r>
      <w:r>
        <w:t xml:space="preserve"> </w:t>
      </w:r>
      <w:r>
        <w:t xml:space="preserve">low-rank</w:t>
      </w:r>
      <w:r>
        <w:t xml:space="preserve"> </w:t>
      </w:r>
      <w:r>
        <w:t xml:space="preserve">adapter</w:t>
      </w:r>
      <w:r>
        <w:t xml:space="preserve"> </w:t>
      </w:r>
      <w:r>
        <w:t xml:space="preserve">that</w:t>
      </w:r>
      <w:r>
        <w:t xml:space="preserve"> </w:t>
      </w:r>
      <w:r>
        <w:t xml:space="preserve">needs</w:t>
      </w:r>
      <w:r>
        <w:t xml:space="preserve"> </w:t>
      </w:r>
      <w:r>
        <w:t xml:space="preserve">one</w:t>
      </w:r>
      <w:r>
        <w:t xml:space="preserve"> </w:t>
      </w:r>
      <w:r>
        <w:t xml:space="preserve">pass</w:t>
      </w:r>
      <w:r>
        <w:t xml:space="preserve"> </w:t>
      </w:r>
      <w:r>
        <w:t xml:space="preserve">over</w:t>
      </w:r>
      <w:r>
        <w:t xml:space="preserve"> </w:t>
      </w:r>
      <w:r>
        <w:t xml:space="preserve">unlabeled</w:t>
      </w:r>
      <w:r>
        <w:t xml:space="preserve"> </w:t>
      </w:r>
      <w:r>
        <w:t xml:space="preserve">task</w:t>
      </w:r>
      <w:r>
        <w:t xml:space="preserve"> </w:t>
      </w:r>
      <w:r>
        <w:t xml:space="preserve">inputs</w:t>
      </w:r>
      <w:r>
        <w:t xml:space="preserve"> </w:t>
      </w:r>
      <w:r>
        <w:t xml:space="preserve">and</w:t>
      </w:r>
      <w:r>
        <w:t xml:space="preserve"> </w:t>
      </w:r>
      <w:r>
        <w:t xml:space="preserve">a</w:t>
      </w:r>
      <w:r>
        <w:t xml:space="preserve"> </w:t>
      </w:r>
      <w:r>
        <w:t xml:space="preserve">set</w:t>
      </w:r>
      <w:r>
        <w:t xml:space="preserve"> </w:t>
      </w:r>
      <w:r>
        <w:t xml:space="preserve">of</w:t>
      </w:r>
      <w:r>
        <w:t xml:space="preserve"> </w:t>
      </w:r>
      <w:r>
        <w:t xml:space="preserve">ridge</w:t>
      </w:r>
      <w:r>
        <w:t xml:space="preserve"> </w:t>
      </w:r>
      <w:r>
        <w:t xml:space="preserve">solves,</w:t>
      </w:r>
      <w:r>
        <w:t xml:space="preserve"> </w:t>
      </w:r>
      <w:r>
        <w:t xml:space="preserve">and</w:t>
      </w:r>
      <w:r>
        <w:t xml:space="preserve"> </w:t>
      </w:r>
      <w:r>
        <w:t xml:space="preserve">we</w:t>
      </w:r>
      <w:r>
        <w:t xml:space="preserve"> </w:t>
      </w:r>
      <w:r>
        <w:t xml:space="preserve">show</w:t>
      </w:r>
      <w:r>
        <w:t xml:space="preserve"> </w:t>
      </w:r>
      <w:r>
        <w:t xml:space="preserve">that</w:t>
      </w:r>
      <w:r>
        <w:t xml:space="preserve"> </w:t>
      </w:r>
      <w:r>
        <w:t xml:space="preserve">a</w:t>
      </w:r>
      <w:r>
        <w:t xml:space="preserve"> </w:t>
      </w:r>
      <w:r>
        <w:t xml:space="preserve">straightforward</w:t>
      </w:r>
      <w:r>
        <w:t xml:space="preserve"> </w:t>
      </w:r>
      <w:r>
        <w:t xml:space="preserve">implementation</w:t>
      </w:r>
      <w:r>
        <w:t xml:space="preserve"> </w:t>
      </w:r>
      <w:r>
        <w:t xml:space="preserve">re-runs</w:t>
      </w:r>
      <w:r>
        <w:t xml:space="preserve"> </w:t>
      </w:r>
      <w:r>
        <w:t xml:space="preserve">the</w:t>
      </w:r>
      <w:r>
        <w:t xml:space="preserve"> </w:t>
      </w:r>
      <w:r>
        <w:t xml:space="preserve">network</w:t>
      </w:r>
      <w:r>
        <w:t xml:space="preserve"> </w:t>
      </w:r>
      <w:r>
        <w:t xml:space="preserve">once</w:t>
      </w:r>
      <w:r>
        <w:t xml:space="preserve"> </w:t>
      </w:r>
      <w:r>
        <w:t xml:space="preserve">for</w:t>
      </w:r>
      <w:r>
        <w:t xml:space="preserve"> </w:t>
      </w:r>
      <w:r>
        <w:t xml:space="preserve">every</w:t>
      </w:r>
      <w:r>
        <w:t xml:space="preserve"> </w:t>
      </w:r>
      <w:r>
        <w:t xml:space="preserve">layer,</w:t>
      </w:r>
      <w:r>
        <w:t xml:space="preserve"> </w:t>
      </w:r>
      <w:r>
        <w:t xml:space="preserve">so</w:t>
      </w:r>
      <w:r>
        <w:t xml:space="preserve"> </w:t>
      </w:r>
      <w:r>
        <w:t xml:space="preserve">that</w:t>
      </w:r>
      <w:r>
        <w:t xml:space="preserve"> </w:t>
      </w:r>
      <w:r>
        <w:t xml:space="preserve">its</w:t>
      </w:r>
      <w:r>
        <w:t xml:space="preserve"> </w:t>
      </w:r>
      <w:r>
        <w:t xml:space="preserve">cost</w:t>
      </w:r>
      <w:r>
        <w:t xml:space="preserve"> </w:t>
      </w:r>
      <w:r>
        <w:t xml:space="preserve">grows</w:t>
      </w:r>
      <w:r>
        <w:t xml:space="preserve"> </w:t>
      </w:r>
      <w:r>
        <w:t xml:space="preserve">with</w:t>
      </w:r>
      <w:r>
        <w:t xml:space="preserve"> </w:t>
      </w:r>
      <w:r>
        <w:t xml:space="preserve">the</w:t>
      </w:r>
      <w:r>
        <w:t xml:space="preserve"> </w:t>
      </w:r>
      <w:r>
        <w:t xml:space="preserve">square</w:t>
      </w:r>
      <w:r>
        <w:t xml:space="preserve"> </w:t>
      </w:r>
      <w:r>
        <w:t xml:space="preserve">of</w:t>
      </w:r>
      <w:r>
        <w:t xml:space="preserve"> </w:t>
      </w:r>
      <w:r>
        <w:t xml:space="preserve">the</w:t>
      </w:r>
      <w:r>
        <w:t xml:space="preserve"> </w:t>
      </w:r>
      <w:r>
        <w:t xml:space="preserve">depth.</w:t>
      </w:r>
      <w:r>
        <w:t xml:space="preserve"> </w:t>
      </w:r>
      <w:r>
        <w:t xml:space="preserve">Caching</w:t>
      </w:r>
      <w:r>
        <w:t xml:space="preserve"> </w:t>
      </w:r>
      <w:r>
        <w:t xml:space="preserve">layer</w:t>
      </w:r>
      <w:r>
        <w:t xml:space="preserve"> </w:t>
      </w:r>
      <w:r>
        <w:t xml:space="preserve">inputs</w:t>
      </w:r>
      <w:r>
        <w:t xml:space="preserve"> </w:t>
      </w:r>
      <w:r>
        <w:t xml:space="preserve">removes</w:t>
      </w:r>
      <w:r>
        <w:t xml:space="preserve"> </w:t>
      </w:r>
      <w:r>
        <w:t xml:space="preserve">this</w:t>
      </w:r>
      <w:r>
        <w:t xml:space="preserve"> </w:t>
      </w:r>
      <w:r>
        <w:t xml:space="preserve">repetition</w:t>
      </w:r>
      <w:r>
        <w:t xml:space="preserve"> </w:t>
      </w:r>
      <w:r>
        <w:t xml:space="preserve">without</w:t>
      </w:r>
      <w:r>
        <w:t xml:space="preserve"> </w:t>
      </w:r>
      <w:r>
        <w:t xml:space="preserve">changing</w:t>
      </w:r>
      <w:r>
        <w:t xml:space="preserve"> </w:t>
      </w:r>
      <w:r>
        <w:t xml:space="preserve">the</w:t>
      </w:r>
      <w:r>
        <w:t xml:space="preserve"> </w:t>
      </w:r>
      <w:r>
        <w:t xml:space="preserve">output:</w:t>
      </w:r>
      <w:r>
        <w:t xml:space="preserve"> </w:t>
      </w:r>
      <w:r>
        <w:t xml:space="preserve">on</w:t>
      </w:r>
      <w:r>
        <w:t xml:space="preserve"> </w:t>
      </w:r>
      <w:r>
        <w:t xml:space="preserve">the</w:t>
      </w:r>
      <w:r>
        <w:t xml:space="preserve"> </w:t>
      </w:r>
      <w:r>
        <w:t xml:space="preserve">same</w:t>
      </w:r>
      <w:r>
        <w:t xml:space="preserve"> </w:t>
      </w:r>
      <w:r>
        <w:t xml:space="preserve">trained</w:t>
      </w:r>
      <w:r>
        <w:t xml:space="preserve"> </w:t>
      </w:r>
      <w:r>
        <w:t xml:space="preserve">adapters</w:t>
      </w:r>
      <w:r>
        <w:t xml:space="preserve"> </w:t>
      </w:r>
      <w:r>
        <w:t xml:space="preserve">the</w:t>
      </w:r>
      <w:r>
        <w:t xml:space="preserve"> </w:t>
      </w:r>
      <w:r>
        <w:t xml:space="preserve">two</w:t>
      </w:r>
      <w:r>
        <w:t xml:space="preserve"> </w:t>
      </w:r>
      <w:r>
        <w:t xml:space="preserve">implementations</w:t>
      </w:r>
      <w:r>
        <w:t xml:space="preserve"> </w:t>
      </w:r>
      <w:r>
        <w:t xml:space="preserve">select</w:t>
      </w:r>
      <w:r>
        <w:t xml:space="preserve"> </w:t>
      </w:r>
      <w:r>
        <w:t xml:space="preserve">identical</w:t>
      </w:r>
      <w:r>
        <w:t xml:space="preserve"> </w:t>
      </w:r>
      <w:r>
        <w:t xml:space="preserve">anchoring</w:t>
      </w:r>
      <w:r>
        <w:t xml:space="preserve"> </w:t>
      </w:r>
      <w:r>
        <w:t xml:space="preserve">strengths</w:t>
      </w:r>
      <w:r>
        <w:t xml:space="preserve"> </w:t>
      </w:r>
      <w:r>
        <w:t xml:space="preserve">and</w:t>
      </w:r>
      <w:r>
        <w:t xml:space="preserve"> </w:t>
      </w:r>
      <w:r>
        <w:t xml:space="preserve">give</w:t>
      </w:r>
      <w:r>
        <w:t xml:space="preserve"> </w:t>
      </w:r>
      <w:r>
        <w:t xml:space="preserve">identical</w:t>
      </w:r>
      <w:r>
        <w:t xml:space="preserve"> </w:t>
      </w:r>
      <w:r>
        <w:t xml:space="preserve">held-out</w:t>
      </w:r>
      <w:r>
        <w:t xml:space="preserve"> </w:t>
      </w:r>
      <w:r>
        <w:t xml:space="preserve">loss,</w:t>
      </w:r>
      <w:r>
        <w:t xml:space="preserve"> </w:t>
      </w:r>
      <w:r>
        <w:t xml:space="preserve">and</w:t>
      </w:r>
      <w:r>
        <w:t xml:space="preserve"> </w:t>
      </w:r>
      <w:r>
        <w:t xml:space="preserve">the</w:t>
      </w:r>
      <w:r>
        <w:t xml:space="preserve"> </w:t>
      </w:r>
      <w:r>
        <w:t xml:space="preserve">cached</w:t>
      </w:r>
      <w:r>
        <w:t xml:space="preserve"> </w:t>
      </w:r>
      <w:r>
        <w:t xml:space="preserve">version</w:t>
      </w:r>
      <w:r>
        <w:t xml:space="preserve"> </w:t>
      </w:r>
      <w:r>
        <w:t xml:space="preserve">is</w:t>
      </w:r>
      <w:r>
        <w:t xml:space="preserve"> </w:t>
      </w:r>
      <w:r>
        <w:t xml:space="preserve">1.4</w:t>
      </w:r>
      <w:r>
        <w:t xml:space="preserve"> </w:t>
      </w:r>
      <w:r>
        <w:t xml:space="preserve">to</w:t>
      </w:r>
      <w:r>
        <w:t xml:space="preserve"> </w:t>
      </w:r>
      <w:r>
        <w:t xml:space="preserve">2.4</w:t>
      </w:r>
      <w:r>
        <w:t xml:space="preserve"> </w:t>
      </w:r>
      <w:r>
        <w:t xml:space="preserve">times</w:t>
      </w:r>
      <w:r>
        <w:t xml:space="preserve"> </w:t>
      </w:r>
      <w:r>
        <w:t xml:space="preserve">faster</w:t>
      </w:r>
      <w:r>
        <w:t xml:space="preserve"> </w:t>
      </w:r>
      <w:r>
        <w:t xml:space="preserve">at</w:t>
      </w:r>
      <w:r>
        <w:t xml:space="preserve"> </w:t>
      </w:r>
      <w:r>
        <w:t xml:space="preserve">70</w:t>
      </w:r>
      <w:r>
        <w:t xml:space="preserve"> </w:t>
      </w:r>
      <w:r>
        <w:t xml:space="preserve">to</w:t>
      </w:r>
      <w:r>
        <w:t xml:space="preserve"> </w:t>
      </w:r>
      <w:r>
        <w:t xml:space="preserve">410</w:t>
      </w:r>
      <w:r>
        <w:t xml:space="preserve"> </w:t>
      </w:r>
      <w:r>
        <w:t xml:space="preserve">million</w:t>
      </w:r>
      <w:r>
        <w:t xml:space="preserve"> </w:t>
      </w:r>
      <w:r>
        <w:t xml:space="preserve">parameters,</w:t>
      </w:r>
      <w:r>
        <w:t xml:space="preserve"> </w:t>
      </w:r>
      <w:r>
        <w:t xml:space="preserve">which</w:t>
      </w:r>
      <w:r>
        <w:t xml:space="preserve"> </w:t>
      </w:r>
      <w:r>
        <w:t xml:space="preserve">lowers</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at</w:t>
      </w:r>
      <w:r>
        <w:t xml:space="preserve"> </w:t>
      </w:r>
      <w:r>
        <w:t xml:space="preserve">410</w:t>
      </w:r>
      <w:r>
        <w:t xml:space="preserve"> </w:t>
      </w:r>
      <w:r>
        <w:t xml:space="preserve">million</w:t>
      </w:r>
      <w:r>
        <w:t xml:space="preserve"> </w:t>
      </w:r>
      <w:r>
        <w:t xml:space="preserve">parameters</w:t>
      </w:r>
      <w:r>
        <w:t xml:space="preserve"> </w:t>
      </w:r>
      <w:r>
        <w:t xml:space="preserve">from</w:t>
      </w:r>
      <w:r>
        <w:t xml:space="preserve"> </w:t>
      </w:r>
      <w:r>
        <w:t xml:space="preserve">0.67</w:t>
      </w:r>
      <w:r>
        <w:t xml:space="preserve"> </w:t>
      </w:r>
      <w:r>
        <w:t xml:space="preserve">to</w:t>
      </w:r>
      <w:r>
        <w:t xml:space="preserve"> </w:t>
      </w:r>
      <w:r>
        <w:t xml:space="preserve">0.28.</w:t>
      </w:r>
      <w:r>
        <w:t xml:space="preserve"> </w:t>
      </w:r>
      <w:r>
        <w:t xml:space="preserve">To</w:t>
      </w:r>
      <w:r>
        <w:t xml:space="preserve"> </w:t>
      </w:r>
      <w:r>
        <w:t xml:space="preserve">judge</w:t>
      </w:r>
      <w:r>
        <w:t xml:space="preserve"> </w:t>
      </w:r>
      <w:r>
        <w:t xml:space="preserve">when</w:t>
      </w:r>
      <w:r>
        <w:t xml:space="preserve"> </w:t>
      </w:r>
      <w:r>
        <w:t xml:space="preserve">such</w:t>
      </w:r>
      <w:r>
        <w:t xml:space="preserve"> </w:t>
      </w:r>
      <w:r>
        <w:t xml:space="preserve">a</w:t>
      </w:r>
      <w:r>
        <w:t xml:space="preserve"> </w:t>
      </w:r>
      <w:r>
        <w:t xml:space="preserve">method</w:t>
      </w:r>
      <w:r>
        <w:t xml:space="preserve"> </w:t>
      </w:r>
      <w:r>
        <w:t xml:space="preserve">is</w:t>
      </w:r>
      <w:r>
        <w:t xml:space="preserve"> </w:t>
      </w:r>
      <w:r>
        <w:t xml:space="preserve">worth</w:t>
      </w:r>
      <w:r>
        <w:t xml:space="preserve"> </w:t>
      </w:r>
      <w:r>
        <w:t xml:space="preserve">its</w:t>
      </w:r>
      <w:r>
        <w:t xml:space="preserve"> </w:t>
      </w:r>
      <w:r>
        <w:t xml:space="preserve">cost,</w:t>
      </w:r>
      <w:r>
        <w:t xml:space="preserve"> </w:t>
      </w:r>
      <w:r>
        <w:t xml:space="preserve">we</w:t>
      </w:r>
      <w:r>
        <w:t xml:space="preserve"> </w:t>
      </w:r>
      <w:r>
        <w:t xml:space="preserve">embed</w:t>
      </w:r>
      <w:r>
        <w:t xml:space="preserve"> </w:t>
      </w:r>
      <w:r>
        <w:t xml:space="preserve">it</w:t>
      </w:r>
      <w:r>
        <w:t xml:space="preserve"> </w:t>
      </w:r>
      <w:r>
        <w:t xml:space="preserve">in</w:t>
      </w:r>
      <w:r>
        <w:t xml:space="preserve"> </w:t>
      </w:r>
      <w:r>
        <w:t xml:space="preserve">an</w:t>
      </w:r>
      <w:r>
        <w:t xml:space="preserve"> </w:t>
      </w:r>
      <w:r>
        <w:t xml:space="preserve">optimal</w:t>
      </w:r>
      <w:r>
        <w:t xml:space="preserve"> </w:t>
      </w:r>
      <w:r>
        <w:t xml:space="preserve">stopping</w:t>
      </w:r>
      <w:r>
        <w:t xml:space="preserve"> </w:t>
      </w:r>
      <w:r>
        <w:t xml:space="preserve">model</w:t>
      </w:r>
      <w:r>
        <w:t xml:space="preserve"> </w:t>
      </w:r>
      <w:r>
        <w:t xml:space="preserve">with</w:t>
      </w:r>
      <w:r>
        <w:t xml:space="preserve"> </w:t>
      </w:r>
      <w:r>
        <w:t xml:space="preserve">stochastic</w:t>
      </w:r>
      <w:r>
        <w:t xml:space="preserve"> </w:t>
      </w:r>
      <w:r>
        <w:t xml:space="preserve">upgrades,</w:t>
      </w:r>
      <w:r>
        <w:t xml:space="preserve"> </w:t>
      </w:r>
      <w:r>
        <w:t xml:space="preserve">which</w:t>
      </w:r>
      <w:r>
        <w:t xml:space="preserve"> </w:t>
      </w:r>
      <w:r>
        <w:t xml:space="preserve">gives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and</w:t>
      </w:r>
      <w:r>
        <w:t xml:space="preserve"> </w:t>
      </w:r>
      <w:r>
        <w:t xml:space="preserve">a</w:t>
      </w:r>
      <w:r>
        <w:t xml:space="preserve"> </w:t>
      </w:r>
      <w:r>
        <w:t xml:space="preserve">break-even</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but</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ACT’s</w:t>
      </w:r>
      <w:r>
        <w:t xml:space="preserve"> </w:t>
      </w:r>
      <w:r>
        <w:t xml:space="preserve">gain</w:t>
      </w:r>
      <w:r>
        <w:t xml:space="preserve"> </w:t>
      </w:r>
      <w:r>
        <w:t xml:space="preserve">over</w:t>
      </w:r>
      <w:r>
        <w:t xml:space="preserve"> </w:t>
      </w:r>
      <w:r>
        <w:t xml:space="preserve">copying</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and</w:t>
      </w:r>
      <w:r>
        <w:t xml:space="preserve"> </w:t>
      </w:r>
      <w:r>
        <w:t xml:space="preserve">it</w:t>
      </w:r>
      <w:r>
        <w:t xml:space="preserve"> </w:t>
      </w:r>
      <w:r>
        <w:t xml:space="preserve">pays</w:t>
      </w:r>
      <w:r>
        <w:t xml:space="preserve"> </w:t>
      </w:r>
      <w:r>
        <w:t xml:space="preserve">for</w:t>
      </w:r>
      <w:r>
        <w:t xml:space="preserve"> </w:t>
      </w:r>
      <w:r>
        <w:t xml:space="preserve">itself</w:t>
      </w:r>
      <w:r>
        <w:t xml:space="preserve"> </w:t>
      </w:r>
      <w:r>
        <w:t xml:space="preserve">after</w:t>
      </w:r>
      <w:r>
        <w:t xml:space="preserve"> </w:t>
      </w:r>
      <w:r>
        <w:t xml:space="preserve">sufficiently</w:t>
      </w:r>
      <w:r>
        <w:t xml:space="preserve"> </w:t>
      </w:r>
      <w:r>
        <w:t xml:space="preserve">large</w:t>
      </w:r>
      <w:r>
        <w:t xml:space="preserve"> </w:t>
      </w:r>
      <w:r>
        <w:t xml:space="preserve">upgrades</w:t>
      </w:r>
      <w:r>
        <w:t xml:space="preserve"> </w:t>
      </w:r>
      <w:r>
        <w:t xml:space="preserve">at</w:t>
      </w:r>
      <w:r>
        <w:t xml:space="preserve"> </w:t>
      </w:r>
      <w:r>
        <w:t xml:space="preserve">70</w:t>
      </w:r>
      <w:r>
        <w:t xml:space="preserve"> </w:t>
      </w:r>
      <w:r>
        <w:t xml:space="preserve">and</w:t>
      </w:r>
      <w:r>
        <w:t xml:space="preserve"> </w:t>
      </w:r>
      <w:r>
        <w:t xml:space="preserve">160</w:t>
      </w:r>
      <w:r>
        <w:t xml:space="preserve"> </w:t>
      </w:r>
      <w:r>
        <w:t xml:space="preserve">million</w:t>
      </w:r>
      <w:r>
        <w:t xml:space="preserve"> </w:t>
      </w:r>
      <w:r>
        <w:t xml:space="preserve">parameters</w:t>
      </w:r>
      <w:r>
        <w:t xml:space="preserve"> </w:t>
      </w:r>
      <w:r>
        <w:t xml:space="preserve">but</w:t>
      </w:r>
      <w:r>
        <w:t xml:space="preserve"> </w:t>
      </w:r>
      <w:r>
        <w:t xml:space="preserve">not</w:t>
      </w:r>
      <w:r>
        <w:t xml:space="preserve"> </w:t>
      </w:r>
      <w:r>
        <w:t xml:space="preserve">at</w:t>
      </w:r>
      <w:r>
        <w:t xml:space="preserve"> </w:t>
      </w:r>
      <w:r>
        <w:t xml:space="preserve">410</w:t>
      </w:r>
      <w:r>
        <w:t xml:space="preserve"> </w:t>
      </w:r>
      <w:r>
        <w:t xml:space="preserve">million.</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The</w:t>
      </w:r>
      <w:r>
        <w:t xml:space="preserve"> </w:t>
      </w:r>
      <w:r>
        <w:t xml:space="preserve">decision</w:t>
      </w:r>
      <w:r>
        <w:t xml:space="preserve"> </w:t>
      </w:r>
      <w:r>
        <w:t xml:space="preserve">rule</w:t>
      </w:r>
      <w:r>
        <w:t xml:space="preserve"> </w:t>
      </w:r>
      <w:r>
        <w:t xml:space="preserve">is</w:t>
      </w:r>
      <w:r>
        <w:t xml:space="preserve"> </w:t>
      </w:r>
      <w:r>
        <w:t xml:space="preserve">robust</w:t>
      </w:r>
      <w:r>
        <w:t xml:space="preserve"> </w:t>
      </w:r>
      <w:r>
        <w:t xml:space="preserve">to</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to</w:t>
      </w:r>
      <w:r>
        <w:t xml:space="preserve"> </w:t>
      </w:r>
      <w:r>
        <w:t xml:space="preserve">jump</w:t>
      </w:r>
      <w:r>
        <w:t xml:space="preserve"> </w:t>
      </w:r>
      <w:r>
        <w:t xml:space="preserve">risk.</w:t>
      </w:r>
    </w:p>
    <w:p>
      <w:pPr>
        <w:pStyle w:val="FirstParagraph"/>
      </w:pPr>
      <w:r>
        <w:rPr>
          <w:bCs/>
          <w:b/>
        </w:rPr>
        <w:t xml:space="preserve">Key words:</w:t>
      </w:r>
      <w:r>
        <w:t xml:space="preserve"> </w:t>
      </w:r>
      <w:r>
        <w:t xml:space="preserve">AI asset management, foundation model upgrades, parameter-efficient fine-tuning, maintenance policy, optimal stopping, decision support</w:t>
      </w:r>
    </w:p>
    <w:p>
      <w:pPr>
        <w:pStyle w:val="BodyText"/>
      </w:pPr>
      <w:r>
        <w:rPr>
          <w:bCs/>
          <w:b/>
        </w:rPr>
        <w:t xml:space="preserve">Funding:</w:t>
      </w:r>
      <w:r>
        <w:t xml:space="preserve"> </w:t>
      </w:r>
      <w:r>
        <w:rPr>
          <w:bCs/>
          <w:b/>
        </w:rPr>
        <w:t xml:space="preserve">[Author to confirm: state any funding, or that the research received no specific funding.]</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closed-form, label-free transfer method.</w:t>
      </w:r>
      <w:r>
        <w:t xml:space="preserve"> </w:t>
      </w:r>
      <w:r>
        <w:t xml:space="preserve">Anchored Calibration Transfer (ACT) corrects the input projection of each low-rank adapter module by a ridge regression on activation statistics of the source and target models, using only unlabeled task inputs. Section 5 gives the method, its complexity, and a cached implementation.</w:t>
      </w:r>
    </w:p>
    <w:p>
      <w:pPr>
        <w:numPr>
          <w:ilvl w:val="0"/>
          <w:numId w:val="1001"/>
        </w:numPr>
      </w:pPr>
      <w:r>
        <w:rPr>
          <w:iCs/>
          <w:i/>
        </w:rPr>
        <w:t xml:space="preserve">A cost analysis and a faster implementation.</w:t>
      </w:r>
      <w:r>
        <w:t xml:space="preserve"> </w:t>
      </w:r>
      <w:r>
        <w:t xml:space="preserve">A time profile shows that ACT’s cost grows faster than that of retraining because the straightforward implementation runs the network from the input once for every layer, which makes the number of layer passes quadratic in depth. Caching layer inputs makes it linear and leaves the output unchanged: on the same trained adapters the two versions select identical anchoring strengths and give identical held-out loss. The cached version is 1.4, 1.6, and 2.4 times faster at 70, 160, and 410 million parameters, and it lowers ACT’s compute time relative to retraining at 410 million parameters from 0.67 to 0.28.</w:t>
      </w:r>
    </w:p>
    <w:p>
      <w:pPr>
        <w:numPr>
          <w:ilvl w:val="0"/>
          <w:numId w:val="1001"/>
        </w:numPr>
      </w:pPr>
      <w:r>
        <w:rPr>
          <w:iCs/>
          <w:i/>
        </w:rPr>
        <w:t xml:space="preserve">A decision model that prices the method.</w:t>
      </w:r>
      <w:r>
        <w:t xml:space="preserve"> </w:t>
      </w:r>
      <w:r>
        <w:t xml:space="preserve">We cast the maintenance decision as an optimal stopping problem with Poisson upgrades and geometric Brownian motion (GBM) value, and derive the optimal retraining threshold in closed form (Propositions 1–3). 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 break-even recovery that can be checked before it is bought.</w:t>
      </w:r>
    </w:p>
    <w:p>
      <w:pPr>
        <w:numPr>
          <w:ilvl w:val="0"/>
          <w:numId w:val="1001"/>
        </w:numPr>
      </w:pPr>
      <w:r>
        <w:rPr>
          <w:iCs/>
          <w:i/>
        </w:rPr>
        <w:t xml:space="preserve">Evidence on open model pairs.</w:t>
      </w:r>
      <w:r>
        <w:t xml:space="preserve"> </w:t>
      </w:r>
      <w:r>
        <w:t xml:space="preserve">Copying the old adapter recovers 96% of the retraining benefit after a small upgrade, 55% after a larger one, and only 32% to 36% after the largest; after an instruction-tuning upgrade it recovers 71%. ACT’s gain over copying rises steadily with the size of the upgrade, reaching 0.33 to 0.40 after the largest at 160 million parameters (two seeds). It covers its cost after sufficiently large upgrades at 70 and 160 million parameters but not at 410 million, where its cost ratio of 0.28 remains above the break-even of 0.21.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 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p>
      <w:pPr>
        <w:pStyle w:val="BodyText"/>
      </w:pPr>
      <w:r>
        <w:rPr>
          <w:bCs/>
          <w:b/>
        </w:rPr>
        <w:t xml:space="preserve">Algorithm and complexity.</w:t>
      </w:r>
      <w:r>
        <w:t xml:space="preserve"> </w:t>
      </w:r>
      <w:r>
        <w:t xml:space="preserve">Let the model have</w:t>
      </w:r>
      <w:r>
        <w:t xml:space="preserve"> </w:t>
      </w:r>
      <m:oMath>
        <m:r>
          <m:t>L</m:t>
        </m:r>
      </m:oMath>
      <w:r>
        <w:t xml:space="preserve"> </w:t>
      </w:r>
      <w:r>
        <w:t xml:space="preserve">decoder layers, let</w:t>
      </w:r>
      <w:r>
        <w:t xml:space="preserve"> </w:t>
      </w:r>
      <m:oMath>
        <m:r>
          <m:t>N</m:t>
        </m:r>
      </m:oMath>
      <w:r>
        <w:t xml:space="preserve"> </w:t>
      </w:r>
      <w:r>
        <w:t xml:space="preserve">be the number of calibration tokens, and let</w:t>
      </w:r>
      <w:r>
        <w:t xml:space="preserve"> </w:t>
      </w:r>
      <m:oMath>
        <m:sSub>
          <m:e>
            <m:r>
              <m:t>d</m:t>
            </m:r>
          </m:e>
          <m:sub>
            <m:r>
              <m:rPr>
                <m:nor/>
                <m:sty m:val="p"/>
              </m:rPr>
              <m:t>in</m:t>
            </m:r>
          </m:sub>
        </m:sSub>
      </m:oMath>
      <w:r>
        <w:t xml:space="preserve"> </w:t>
      </w:r>
      <w:r>
        <w:t xml:space="preserve">be the input width of a module. The cached implementation proceeds as follows.</w:t>
      </w:r>
    </w:p>
    <w:p>
      <w:pPr>
        <w:numPr>
          <w:ilvl w:val="0"/>
          <w:numId w:val="1002"/>
        </w:numPr>
      </w:pPr>
      <w:r>
        <w:t xml:space="preserve">Run the source and the target model on each calibration batch up to the input of the first decoder layer, and cache the hidden states and the layer arguments (attention mask, position encodings), for the fit and the validation split.</w:t>
      </w:r>
    </w:p>
    <w:p>
      <w:pPr>
        <w:numPr>
          <w:ilvl w:val="0"/>
          <w:numId w:val="1002"/>
        </w:numPr>
      </w:pPr>
      <w:r>
        <w:t xml:space="preserve">For each layer</w:t>
      </w:r>
      <w:r>
        <w:t xml:space="preserve"> </w:t>
      </w:r>
      <m:oMath>
        <m:r>
          <m:t>l</m:t>
        </m:r>
        <m:r>
          <m:rPr>
            <m:sty m:val="p"/>
          </m:rPr>
          <m:t>=</m:t>
        </m:r>
        <m:r>
          <m:t>1</m:t>
        </m:r>
        <m:r>
          <m:rPr>
            <m:sty m:val="p"/>
          </m:rPr>
          <m:t>,</m:t>
        </m:r>
        <m:r>
          <m:rPr>
            <m:sty m:val="p"/>
          </m:rPr>
          <m:t>…</m:t>
        </m:r>
        <m:r>
          <m:rPr>
            <m:sty m:val="p"/>
          </m:rPr>
          <m:t>,</m:t>
        </m:r>
        <m:r>
          <m:t>L</m:t>
        </m:r>
      </m:oMath>
      <w:r>
        <w:t xml:space="preserve"> </w:t>
      </w:r>
      <w:r>
        <w:t xml:space="preserve">in order from the input side: (a) run layer</w:t>
      </w:r>
      <w:r>
        <w:t xml:space="preserve"> </w:t>
      </w:r>
      <m:oMath>
        <m:r>
          <m:t>l</m:t>
        </m:r>
      </m:oMath>
      <w:r>
        <w:t xml:space="preserve"> </w:t>
      </w:r>
      <w:r>
        <w:t xml:space="preserve">of the source model and of the target model on the cached inputs, with hooks on the adapter modules, and accumulate for every module the matrices</w:t>
      </w:r>
      <w:r>
        <w:t xml:space="preserve"> </w:t>
      </w:r>
      <m:oMath>
        <m:sSub>
          <m:e>
            <m:r>
              <m:t>X</m:t>
            </m:r>
          </m:e>
          <m:sub>
            <m:r>
              <m:t>t</m:t>
            </m:r>
          </m:sub>
        </m:sSub>
        <m:sSubSup>
          <m:e>
            <m:r>
              <m:t>X</m:t>
            </m:r>
          </m:e>
          <m:sub>
            <m:r>
              <m:t>t</m:t>
            </m:r>
          </m:sub>
          <m:sup>
            <m:r>
              <m:rPr>
                <m:sty m:val="p"/>
              </m:rPr>
              <m:t>⊤</m:t>
            </m:r>
          </m:sup>
        </m:sSubSup>
      </m:oMath>
      <w:r>
        <w:t xml:space="preserve"> </w:t>
      </w:r>
      <w:r>
        <w:t xml:space="preserve">and</w:t>
      </w:r>
      <w:r>
        <w:t xml:space="preserve"> </w:t>
      </w:r>
      <m:oMath>
        <m:sSub>
          <m:e>
            <m:r>
              <m:t>X</m:t>
            </m:r>
          </m:e>
          <m:sub>
            <m:r>
              <m:t>s</m:t>
            </m:r>
          </m:sub>
        </m:sSub>
        <m:sSubSup>
          <m:e>
            <m:r>
              <m:t>X</m:t>
            </m:r>
          </m:e>
          <m:sub>
            <m:r>
              <m:t>t</m:t>
            </m:r>
          </m:sub>
          <m:sup>
            <m:r>
              <m:rPr>
                <m:sty m:val="p"/>
              </m:rPr>
              <m:t>⊤</m:t>
            </m:r>
          </m:sup>
        </m:sSubSup>
      </m:oMath>
      <w:r>
        <w:t xml:space="preserve"> </w:t>
      </w:r>
      <w:r>
        <w:t xml:space="preserve">on the fit and the validation split and</w:t>
      </w:r>
      <w:r>
        <w:t xml:space="preserve"> </w:t>
      </w:r>
      <m:oMath>
        <m:sSub>
          <m:e>
            <m:r>
              <m:t>X</m:t>
            </m:r>
          </m:e>
          <m:sub>
            <m:r>
              <m:t>s</m:t>
            </m:r>
          </m:sub>
        </m:sSub>
        <m:sSubSup>
          <m:e>
            <m:r>
              <m:t>X</m:t>
            </m:r>
          </m:e>
          <m:sub>
            <m:r>
              <m:t>s</m:t>
            </m:r>
          </m:sub>
          <m:sup>
            <m:r>
              <m:rPr>
                <m:sty m:val="p"/>
              </m:rPr>
              <m:t>⊤</m:t>
            </m:r>
          </m:sup>
        </m:sSubSup>
      </m:oMath>
      <w:r>
        <w:t xml:space="preserve"> </w:t>
      </w:r>
      <w:r>
        <w:t xml:space="preserve">on the validation split; (b) for every module and each of</w:t>
      </w:r>
      <w:r>
        <w:t xml:space="preserve"> </w:t>
      </w:r>
      <m:oMath>
        <m:r>
          <m:t>K</m:t>
        </m:r>
        <m:r>
          <m:rPr>
            <m:sty m:val="p"/>
          </m:rPr>
          <m:t>=</m:t>
        </m:r>
        <m:r>
          <m:t>13</m:t>
        </m:r>
      </m:oMath>
      <w:r>
        <w:t xml:space="preserve"> </w:t>
      </w:r>
      <w:r>
        <w:t xml:space="preserve">values of</w:t>
      </w:r>
      <w:r>
        <w:t xml:space="preserve"> </w:t>
      </w:r>
      <m:oMath>
        <m:r>
          <m:t>α</m:t>
        </m:r>
      </m:oMath>
      <w:r>
        <w:t xml:space="preserve">, solve the ridge system on the fit matrices and score it by the validation error, which is evaluated from the accumulated matrices alone; (c) solve once more with the full matrices for the chosen</w:t>
      </w:r>
      <w:r>
        <w:t xml:space="preserve"> </w:t>
      </w:r>
      <m:oMath>
        <m:r>
          <m:t>α</m:t>
        </m:r>
      </m:oMath>
      <w:r>
        <w:t xml:space="preserve"> </w:t>
      </w:r>
      <w:r>
        <w:t xml:space="preserve">and overwrite</w:t>
      </w:r>
      <w:r>
        <w:t xml:space="preserve"> </w:t>
      </w:r>
      <m:oMath>
        <m:r>
          <m:t>A</m:t>
        </m:r>
      </m:oMath>
      <w:r>
        <w:t xml:space="preserve">; (d) run the corrected target layer once more to obtain the cached input of layer</w:t>
      </w:r>
      <w:r>
        <w:t xml:space="preserve"> </w:t>
      </w:r>
      <m:oMath>
        <m:r>
          <m:t>l</m:t>
        </m:r>
        <m:r>
          <m:rPr>
            <m:sty m:val="p"/>
          </m:rPr>
          <m:t>+</m:t>
        </m:r>
        <m:r>
          <m:t>1</m:t>
        </m:r>
      </m:oMath>
      <w:r>
        <w:t xml:space="preserve">, and take the source output of step (a) as the next source input.</w:t>
      </w:r>
    </w:p>
    <w:p>
      <w:pPr>
        <w:pStyle w:val="FirstParagraph"/>
      </w:pPr>
      <w:r>
        <w:t xml:space="preserve">Step 2 costs</w:t>
      </w:r>
      <w:r>
        <w:t xml:space="preserve"> </w:t>
      </w:r>
      <m:oMath>
        <m:r>
          <m:t>O</m:t>
        </m:r>
        <m:d>
          <m:dPr>
            <m:begChr m:val="("/>
            <m:endChr m:val=")"/>
            <m:sepChr m:val=""/>
            <m:grow/>
          </m:dPr>
          <m:e>
            <m:r>
              <m:t>N</m:t>
            </m:r>
            <m:sSubSup>
              <m:e>
                <m:r>
                  <m:t>d</m:t>
                </m:r>
              </m:e>
              <m:sub>
                <m:r>
                  <m:rPr>
                    <m:nor/>
                    <m:sty m:val="p"/>
                  </m:rPr>
                  <m:t>in</m:t>
                </m:r>
              </m:sub>
              <m:sup>
                <m:r>
                  <m:t>2</m:t>
                </m:r>
              </m:sup>
            </m:sSubSup>
          </m:e>
        </m:d>
      </m:oMath>
      <w:r>
        <w:t xml:space="preserve"> </w:t>
      </w:r>
      <w:r>
        <w:t xml:space="preserve">for the accumulation and</w:t>
      </w:r>
      <w:r>
        <w:t xml:space="preserve"> </w:t>
      </w:r>
      <m:oMath>
        <m:r>
          <m:t>K</m:t>
        </m:r>
        <m:r>
          <m:rPr>
            <m:sty m:val="p"/>
          </m:rPr>
          <m:t>+</m:t>
        </m:r>
        <m:r>
          <m:t>1</m:t>
        </m:r>
        <m:r>
          <m:rPr>
            <m:sty m:val="p"/>
          </m:rPr>
          <m:t>=</m:t>
        </m:r>
        <m:r>
          <m:t>14</m:t>
        </m:r>
      </m:oMath>
      <w:r>
        <w:t xml:space="preserve"> </w:t>
      </w:r>
      <w:r>
        <w:t xml:space="preserve">solves of cost</w:t>
      </w:r>
      <w:r>
        <w:t xml:space="preserve"> </w:t>
      </w:r>
      <m:oMath>
        <m:r>
          <m:t>O</m:t>
        </m:r>
        <m:d>
          <m:dPr>
            <m:begChr m:val="("/>
            <m:endChr m:val=")"/>
            <m:sepChr m:val=""/>
            <m:grow/>
          </m:dPr>
          <m:e>
            <m:sSubSup>
              <m:e>
                <m:r>
                  <m:t>d</m:t>
                </m:r>
              </m:e>
              <m:sub>
                <m:r>
                  <m:rPr>
                    <m:nor/>
                    <m:sty m:val="p"/>
                  </m:rPr>
                  <m:t>in</m:t>
                </m:r>
              </m:sub>
              <m:sup>
                <m:r>
                  <m:t>3</m:t>
                </m:r>
              </m:sup>
            </m:sSubSup>
          </m:e>
        </m:d>
      </m:oMath>
      <w:r>
        <w:t xml:space="preserve"> </w:t>
      </w:r>
      <w:r>
        <w:t xml:space="preserve">per module, and the cached version makes</w:t>
      </w:r>
      <w:r>
        <w:t xml:space="preserve"> </w:t>
      </w:r>
      <m:oMath>
        <m:r>
          <m:t>3</m:t>
        </m:r>
        <m:r>
          <m:t>L</m:t>
        </m:r>
        <m:r>
          <m:rPr>
            <m:sty m:val="p"/>
          </m:rPr>
          <m:t>−</m:t>
        </m:r>
        <m:r>
          <m:t>1</m:t>
        </m:r>
      </m:oMath>
      <w:r>
        <w:t xml:space="preserve"> </w:t>
      </w:r>
      <w:r>
        <w:t xml:space="preserve">passes through a layer per calibration batch. The straightforward implementation instead re-runs both models from the input up to layer</w:t>
      </w:r>
      <w:r>
        <w:t xml:space="preserve"> </w:t>
      </w:r>
      <m:oMath>
        <m:r>
          <m:t>l</m:t>
        </m:r>
      </m:oMath>
      <w:r>
        <w:t xml:space="preserve"> </w:t>
      </w:r>
      <w:r>
        <w:t xml:space="preserve">for every</w:t>
      </w:r>
      <w:r>
        <w:t xml:space="preserve"> </w:t>
      </w:r>
      <m:oMath>
        <m:r>
          <m:t>l</m:t>
        </m:r>
      </m:oMath>
      <w:r>
        <w:t xml:space="preserve">, which makes</w:t>
      </w:r>
      <w:r>
        <w:t xml:space="preserve"> </w:t>
      </w:r>
      <m:oMath>
        <m:r>
          <m:t>L</m:t>
        </m:r>
        <m:d>
          <m:dPr>
            <m:begChr m:val="("/>
            <m:endChr m:val=")"/>
            <m:sepChr m:val=""/>
            <m:grow/>
          </m:dPr>
          <m:e>
            <m:r>
              <m:t>L</m:t>
            </m:r>
            <m:r>
              <m:rPr>
                <m:sty m:val="p"/>
              </m:rPr>
              <m:t>+</m:t>
            </m:r>
            <m:r>
              <m:t>1</m:t>
            </m:r>
          </m:e>
        </m:d>
      </m:oMath>
      <w:r>
        <w:t xml:space="preserve"> </w:t>
      </w:r>
      <w:r>
        <w:t xml:space="preserve">layer passes per batch, so that the passes grow with</w:t>
      </w:r>
      <w:r>
        <w:t xml:space="preserve"> </w:t>
      </w:r>
      <m:oMath>
        <m:sSup>
          <m:e>
            <m:r>
              <m:t>L</m:t>
            </m:r>
          </m:e>
          <m:sup>
            <m:r>
              <m:t>2</m:t>
            </m:r>
          </m:sup>
        </m:sSup>
      </m:oMath>
      <w:r>
        <w:t xml:space="preserve">, whereas one gradient step of retraining passes each layer once and grows with</w:t>
      </w:r>
      <w:r>
        <w:t xml:space="preserve"> </w:t>
      </w:r>
      <m:oMath>
        <m:r>
          <m:t>L</m:t>
        </m:r>
      </m:oMath>
      <w:r>
        <w:t xml:space="preserve">. This explains why ACT’s cost relative to retraining rises with depth in the straightforward implementation (Section 7). On random models of three architectures (Llama, Qwen2, GPT-NeoX) and on trained adapters at three sizes, the cached version selected the same</w:t>
      </w:r>
      <w:r>
        <w:t xml:space="preserve"> </w:t>
      </w:r>
      <m:oMath>
        <m:r>
          <m:t>α</m:t>
        </m:r>
      </m:oMath>
      <w:r>
        <w:t xml:space="preserve"> </w:t>
      </w:r>
      <w:r>
        <w:t xml:space="preserve">for every module and gave the same held-out loss as the straightforward one.</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 A more efficient implementation, described below, lowers this cost ratio to 0.28 without changing the result, which is closer to the break-even but still above it.</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We therefore implemented the obvious remedy: the inputs of each layer are cached, so that each layer is run once per model to collect statistics and once more through the corrected target model to produce the next layer’s input, which makes the number of layer passes grow linearly with depth. On the same trained adapters the cached version selects the same anchoring strength for every module and gives the same held-out NLL as the original, to the digits reported, and it is faster by 1.35, 1.62, and 2.37 times at 70, 160, and 410 million parameters, lowering the cost ratio from 0.16, 0.33, and 0.67 to 0.12, 0.21, and 0.28 (Table 8). The speed-up grows with model size, as the profile predicts. At 410 million parameters the cost ratio is still above the break-even of 0.21, so ACT does not pay there, but the gap is 0.07 rather than 0.46. We did not profile the cached version, so we cannot say what dominates its remaining cost.</w:t>
      </w:r>
      <w:r>
        <w:t xml:space="preserve"> </w:t>
      </w:r>
      <w:r>
        <w:t xml:space="preserve">The result also shows that a transfer method’s gain and its cost have to be measured at the scale at which it will be used. The 410-million run is a single upgrade with a single seed, and its drift (0.46) is lower than that of the 160-million run it is compared with (0.60).</w:t>
      </w:r>
    </w:p>
    <w:p>
      <w:pPr>
        <w:pStyle w:val="TableCaption"/>
      </w:pPr>
      <w:r>
        <w:t xml:space="preserve">Original and cached ACT on the same trained adapters (Pythia, step 73k to 143k; new runs, so recoveries differ slightly from Table 6).</w:t>
      </w:r>
      <w:r>
        <w:t xml:space="preserve"> </w:t>
      </w:r>
      <m:oMath>
        <m:r>
          <m:t>Γ</m:t>
        </m:r>
      </m:oMath>
      <w:r>
        <w:t xml:space="preserve"> </w:t>
      </w:r>
      <w:r>
        <w:t xml:space="preserve">and the ACT-optimal range use the cached cost ratio.</w:t>
      </w:r>
    </w:p>
    <w:tbl>
      <w:tblPr>
        <w:tblStyle w:val="Table"/>
        <w:tblW w:type="dxa" w:w="9360"/>
        <w:tblLook w:firstRow="1" w:lastRow="0" w:firstColumn="0" w:lastColumn="0" w:noHBand="0" w:noVBand="0" w:val="0020"/>
        <w:jc w:val="start"/>
        <w:tblCaption w:val="Original and cached ACT on the same trained adapters (Pythia, step 73k to 143k; new runs, so recoveries differ slightly from Table 6). \Gamma and the ACT-optimal range use the cached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time (s),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r>
              <w:rPr>
                <w:rFonts w:ascii="Times New Roman" w:hAnsi="Times New Roman"/>
                <w:sz w:val="20"/>
              </w:rPr>
              <w:t xml:space="preserve">,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w:t>
            </w:r>
          </w:p>
        </w:tc>
        <w:tc>
          <w:tcPr>
            <w:tcW w:type="dxa" w:w="984"/>
          </w:tcPr>
          <w:p>
            <w:pPr>
              <w:pStyle w:val="Compact"/>
              <w:spacing w:line="240" w:lineRule="auto"/>
              <w:jc w:val="center"/>
            </w:pPr>
            <w:r>
              <w:rPr>
                <w:rFonts w:ascii="Times New Roman" w:hAnsi="Times New Roman"/>
                <w:sz w:val="20"/>
              </w:rPr>
              <w:t xml:space="preserve">0.645</w:t>
            </w:r>
          </w:p>
        </w:tc>
        <w:tc>
          <w:tcPr>
            <w:tcW w:type="dxa" w:w="984"/>
          </w:tcPr>
          <w:p>
            <w:pPr>
              <w:pStyle w:val="Compact"/>
              <w:spacing w:line="240" w:lineRule="auto"/>
              <w:jc w:val="center"/>
            </w:pPr>
            <w:r>
              <w:rPr>
                <w:rFonts w:ascii="Times New Roman" w:hAnsi="Times New Roman"/>
                <w:sz w:val="20"/>
              </w:rPr>
              <w:t xml:space="preserve">0.809</w:t>
            </w:r>
          </w:p>
        </w:tc>
        <w:tc>
          <w:tcPr>
            <w:tcW w:type="dxa" w:w="984"/>
          </w:tcPr>
          <w:p>
            <w:pPr>
              <w:pStyle w:val="Compact"/>
              <w:spacing w:line="240" w:lineRule="auto"/>
              <w:jc w:val="center"/>
            </w:pPr>
            <w:r>
              <w:rPr>
                <w:rFonts w:ascii="Times New Roman" w:hAnsi="Times New Roman"/>
                <w:sz w:val="20"/>
              </w:rPr>
              <w:t xml:space="preserve">32 / 23</w:t>
            </w:r>
          </w:p>
        </w:tc>
        <w:tc>
          <w:tcPr>
            <w:tcW w:type="dxa" w:w="984"/>
          </w:tcPr>
          <w:p>
            <w:pPr>
              <w:pStyle w:val="Compact"/>
              <w:spacing w:line="240" w:lineRule="auto"/>
              <w:jc w:val="center"/>
            </w:pPr>
            <w:r>
              <w:rPr>
                <w:rFonts w:ascii="Times New Roman" w:hAnsi="Times New Roman"/>
                <w:sz w:val="20"/>
              </w:rPr>
              <w:t xml:space="preserve">0.16 / 0.12</w:t>
            </w:r>
          </w:p>
        </w:tc>
        <w:tc>
          <w:tcPr>
            <w:tcW w:type="dxa" w:w="984"/>
          </w:tcPr>
          <w:p>
            <w:pPr>
              <w:pStyle w:val="Compact"/>
              <w:spacing w:line="240" w:lineRule="auto"/>
              <w:jc w:val="center"/>
            </w:pPr>
            <w:r>
              <w:rPr>
                <w:rFonts w:ascii="Times New Roman" w:hAnsi="Times New Roman"/>
                <w:sz w:val="20"/>
              </w:rPr>
              <w:t xml:space="preserve">0.38</w:t>
            </w:r>
          </w:p>
        </w:tc>
        <w:tc>
          <w:tcPr>
            <w:tcW w:type="dxa" w:w="984"/>
          </w:tcPr>
          <w:p>
            <w:pPr>
              <w:pStyle w:val="Compact"/>
              <w:spacing w:line="240" w:lineRule="auto"/>
              <w:jc w:val="center"/>
            </w:pPr>
            <w:r>
              <w:rPr>
                <w:rFonts w:ascii="Times New Roman" w:hAnsi="Times New Roman"/>
                <w:sz w:val="20"/>
              </w:rPr>
              <w:t xml:space="preserve">[1.4, 9.6)</w:t>
            </w:r>
          </w:p>
        </w:tc>
      </w:tr>
      <w:tr>
        <w:tc>
          <w:tcPr>
            <w:tcW w:type="dxa" w:w="3456"/>
          </w:tcPr>
          <w:p>
            <w:pPr>
              <w:pStyle w:val="Compact"/>
              <w:spacing w:line="240" w:lineRule="auto"/>
              <w:jc w:val="left"/>
            </w:pPr>
            <w:r>
              <w:rPr>
                <w:rFonts w:ascii="Times New Roman" w:hAnsi="Times New Roman"/>
                <w:sz w:val="20"/>
              </w:rPr>
              <w:t xml:space="preserve">160M</w:t>
            </w:r>
          </w:p>
        </w:tc>
        <w:tc>
          <w:tcPr>
            <w:tcW w:type="dxa" w:w="984"/>
          </w:tcPr>
          <w:p>
            <w:pPr>
              <w:pStyle w:val="Compact"/>
              <w:spacing w:line="240" w:lineRule="auto"/>
              <w:jc w:val="center"/>
            </w:pPr>
            <w:r>
              <w:rPr>
                <w:rFonts w:ascii="Times New Roman" w:hAnsi="Times New Roman"/>
                <w:sz w:val="20"/>
              </w:rPr>
              <w:t xml:space="preserve">0.390</w:t>
            </w:r>
          </w:p>
        </w:tc>
        <w:tc>
          <w:tcPr>
            <w:tcW w:type="dxa" w:w="984"/>
          </w:tcPr>
          <w:p>
            <w:pPr>
              <w:pStyle w:val="Compact"/>
              <w:spacing w:line="240" w:lineRule="auto"/>
              <w:jc w:val="center"/>
            </w:pPr>
            <w:r>
              <w:rPr>
                <w:rFonts w:ascii="Times New Roman" w:hAnsi="Times New Roman"/>
                <w:sz w:val="20"/>
              </w:rPr>
              <w:t xml:space="preserve">0.768</w:t>
            </w:r>
          </w:p>
        </w:tc>
        <w:tc>
          <w:tcPr>
            <w:tcW w:type="dxa" w:w="984"/>
          </w:tcPr>
          <w:p>
            <w:pPr>
              <w:pStyle w:val="Compact"/>
              <w:spacing w:line="240" w:lineRule="auto"/>
              <w:jc w:val="center"/>
            </w:pPr>
            <w:r>
              <w:rPr>
                <w:rFonts w:ascii="Times New Roman" w:hAnsi="Times New Roman"/>
                <w:sz w:val="20"/>
              </w:rPr>
              <w:t xml:space="preserve">151 / 94</w:t>
            </w:r>
          </w:p>
        </w:tc>
        <w:tc>
          <w:tcPr>
            <w:tcW w:type="dxa" w:w="984"/>
          </w:tcPr>
          <w:p>
            <w:pPr>
              <w:pStyle w:val="Compact"/>
              <w:spacing w:line="240" w:lineRule="auto"/>
              <w:jc w:val="center"/>
            </w:pPr>
            <w:r>
              <w:rPr>
                <w:rFonts w:ascii="Times New Roman" w:hAnsi="Times New Roman"/>
                <w:sz w:val="20"/>
              </w:rPr>
              <w:t xml:space="preserve">0.33 / 0.21</w:t>
            </w:r>
          </w:p>
        </w:tc>
        <w:tc>
          <w:tcPr>
            <w:tcW w:type="dxa" w:w="984"/>
          </w:tcPr>
          <w:p>
            <w:pPr>
              <w:pStyle w:val="Compact"/>
              <w:spacing w:line="240" w:lineRule="auto"/>
              <w:jc w:val="center"/>
            </w:pPr>
            <w:r>
              <w:rPr>
                <w:rFonts w:ascii="Times New Roman" w:hAnsi="Times New Roman"/>
                <w:sz w:val="20"/>
              </w:rPr>
              <w:t xml:space="preserve">0.54</w:t>
            </w:r>
          </w:p>
        </w:tc>
        <w:tc>
          <w:tcPr>
            <w:tcW w:type="dxa" w:w="984"/>
          </w:tcPr>
          <w:p>
            <w:pPr>
              <w:pStyle w:val="Compact"/>
              <w:spacing w:line="240" w:lineRule="auto"/>
              <w:jc w:val="center"/>
            </w:pPr>
            <w:r>
              <w:rPr>
                <w:rFonts w:ascii="Times New Roman" w:hAnsi="Times New Roman"/>
                <w:sz w:val="20"/>
              </w:rPr>
              <w:t xml:space="preserve">[1.0, 6.9)</w:t>
            </w:r>
          </w:p>
        </w:tc>
      </w:tr>
      <w:tr>
        <w:tc>
          <w:tcPr>
            <w:tcW w:type="dxa" w:w="3456"/>
          </w:tcPr>
          <w:p>
            <w:pPr>
              <w:pStyle w:val="Compact"/>
              <w:spacing w:line="240" w:lineRule="auto"/>
              <w:jc w:val="left"/>
            </w:pPr>
            <w:r>
              <w:rPr>
                <w:rFonts w:ascii="Times New Roman" w:hAnsi="Times New Roman"/>
                <w:sz w:val="20"/>
              </w:rPr>
              <w:t xml:space="preserve">410M</w:t>
            </w:r>
          </w:p>
        </w:tc>
        <w:tc>
          <w:tcPr>
            <w:tcW w:type="dxa" w:w="984"/>
          </w:tcPr>
          <w:p>
            <w:pPr>
              <w:pStyle w:val="Compact"/>
              <w:spacing w:line="240" w:lineRule="auto"/>
              <w:jc w:val="center"/>
            </w:pPr>
            <w:r>
              <w:rPr>
                <w:rFonts w:ascii="Times New Roman" w:hAnsi="Times New Roman"/>
                <w:sz w:val="20"/>
              </w:rPr>
              <w:t xml:space="preserve">0.492</w:t>
            </w:r>
          </w:p>
        </w:tc>
        <w:tc>
          <w:tcPr>
            <w:tcW w:type="dxa" w:w="984"/>
          </w:tcPr>
          <w:p>
            <w:pPr>
              <w:pStyle w:val="Compact"/>
              <w:spacing w:line="240" w:lineRule="auto"/>
              <w:jc w:val="center"/>
            </w:pPr>
            <w:r>
              <w:rPr>
                <w:rFonts w:ascii="Times New Roman" w:hAnsi="Times New Roman"/>
                <w:sz w:val="20"/>
              </w:rPr>
              <w:t xml:space="preserve">0.637</w:t>
            </w:r>
          </w:p>
        </w:tc>
        <w:tc>
          <w:tcPr>
            <w:tcW w:type="dxa" w:w="984"/>
          </w:tcPr>
          <w:p>
            <w:pPr>
              <w:pStyle w:val="Compact"/>
              <w:spacing w:line="240" w:lineRule="auto"/>
              <w:jc w:val="center"/>
            </w:pPr>
            <w:r>
              <w:rPr>
                <w:rFonts w:ascii="Times New Roman" w:hAnsi="Times New Roman"/>
                <w:sz w:val="20"/>
              </w:rPr>
              <w:t xml:space="preserve">763 / 322</w:t>
            </w:r>
          </w:p>
        </w:tc>
        <w:tc>
          <w:tcPr>
            <w:tcW w:type="dxa" w:w="984"/>
          </w:tcPr>
          <w:p>
            <w:pPr>
              <w:pStyle w:val="Compact"/>
              <w:spacing w:line="240" w:lineRule="auto"/>
              <w:jc w:val="center"/>
            </w:pPr>
            <w:r>
              <w:rPr>
                <w:rFonts w:ascii="Times New Roman" w:hAnsi="Times New Roman"/>
                <w:sz w:val="20"/>
              </w:rPr>
              <w:t xml:space="preserve">0.67 / 0.28</w:t>
            </w:r>
          </w:p>
        </w:tc>
        <w:tc>
          <w:tcPr>
            <w:tcW w:type="dxa" w:w="984"/>
          </w:tcPr>
          <w:p>
            <w:pPr>
              <w:pStyle w:val="Compact"/>
              <w:spacing w:line="240" w:lineRule="auto"/>
              <w:jc w:val="center"/>
            </w:pPr>
            <w:r>
              <w:rPr>
                <w:rFonts w:ascii="Times New Roman" w:hAnsi="Times New Roman"/>
                <w:sz w:val="20"/>
              </w:rPr>
              <w:t xml:space="preserve">0.21</w:t>
            </w:r>
          </w:p>
        </w:tc>
        <w:tc>
          <w:tcPr>
            <w:tcW w:type="dxa" w:w="984"/>
          </w:tcPr>
          <w:p>
            <w:pPr>
              <w:pStyle w:val="Compact"/>
              <w:spacing w:line="240" w:lineRule="auto"/>
              <w:jc w:val="center"/>
            </w:pPr>
            <w:r>
              <w:rPr>
                <w:rFonts w:ascii="Times New Roman" w:hAnsi="Times New Roman"/>
                <w:sz w:val="20"/>
              </w:rPr>
              <w:t xml:space="preserve">never</w:t>
            </w:r>
          </w:p>
        </w:tc>
      </w:tr>
    </w:tbl>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9),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3"/>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3"/>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3"/>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3"/>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first implementation ACT’s rose from 0.14 to 0.70 between 70 and 410 million parameters, and with cached layer inputs from 0.12 to 0.28),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was 0.70 (0.28 with cached layer inputs, still above its break-even of 0.21),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first implementation; caching layer inputs reduces the rise (0.12, 0.21, and 0.28 at 70, 160, and 410 million parameters) but does not remove it (Section 7).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acknowledgments"/>
    <w:p>
      <w:pPr>
        <w:pStyle w:val="Heading1"/>
      </w:pPr>
      <w:r>
        <w:t xml:space="preserve">Acknowledgments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1"/>
    <w:bookmarkStart w:id="32" w:name="data-and-software-availability"/>
    <w:p>
      <w:pPr>
        <w:pStyle w:val="Heading1"/>
      </w:pPr>
      <w:r>
        <w:t xml:space="preserve">Data and Software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2"/>
    <w:bookmarkStart w:id="33"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3"/>
    <w:bookmarkStart w:id="34"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4"/>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2026-10-11T02:57:59Z</dcterms:created>
  <dcterms:modified xsi:type="dcterms:W3CDTF">2026-10-11T02:57:59Z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study this decision from a computational angle. We propose Anchored Calibration Transfer (ACT), a closed-form, label-free correction of a low-rank adapter that needs one pass over unlabeled task inputs and a set of ridge solves, and we show that a straightforward implementation re-runs the network once for every layer, so that its cost grows with the square of the depth. Caching layer inputs removes this repetition without changing the output: on the same trained adapters the two implementations select identical anchoring strengths and give identical held-out loss, and the cached version is 1.4 to 2.4 times faster at 70 to 410 million parameters, which lowers ACT’s compute time relative to retraining at 410 million parameters from 0.67 to 0.28. To judge when such a method is worth its cost, we embed it in an optimal stopping model with stochastic upgrades, which gives a closed-form retraining threshold and a break-even recovery. On open model pairs, copying the old adapter restores 96 percent of the retraining benefit after a small upgrade but only 32 to 36 percent after the largest. ACT’s gain over copying rises steadily with the size of the upgrade, and it pays for itself after sufficiently large upgrades at 70 and 160 million parameters but not at 410 million. On an instruction-tuned pair it gives no gain, for a reason we could not identify. The decision rule is robust to clustered and regular release schedules and to jump risk.</vt:lpwstr>
  </property>
  <property fmtid="{D5CDD505-2E9C-101B-9397-08002B2CF9AE}" pid="3" name="date">
    <vt:lpwstr/>
  </property>
</Properties>
</file>