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Times New Roman" w:cs="Times New Roman" w:eastAsia="Times New Roman" w:hAnsi="Times New Roman"/>
          <w:sz w:val="24"/>
          <w:szCs w:val="24"/>
        </w:rPr>
        <w:t xml:space="preserve">Dear Editor,</w:t>
      </w:r>
    </w:p>
    <w:p>
      <w:pPr>
        <w:spacing w:after="160" w:before="0" w:line="276"/>
      </w:pPr>
      <w:r>
        <w:rPr>
          <w:rFonts w:ascii="Times New Roman" w:cs="Times New Roman" w:eastAsia="Times New Roman" w:hAnsi="Times New Roman"/>
          <w:sz w:val="24"/>
          <w:szCs w:val="24"/>
        </w:rPr>
        <w:t xml:space="preserve">We submit the enclosed manuscript, "Do Loss Frames Make LLM Operators Skip Verification? Goal Visibility and Reasoning in a Maintenance Environment," for consideration in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The manuscript file is prepared for double-anonymous review: it contains no author information, and the link to the replication package is withheld. This letter contains the contribution statement required by the journal and is kept separate from the anonymized manuscript.</w:t>
      </w:r>
    </w:p>
    <w:p>
      <w:pPr>
        <w:keepNext/>
        <w:spacing w:after="120" w:before="120"/>
      </w:pPr>
      <w:r>
        <w:rPr>
          <w:rFonts w:ascii="Times New Roman" w:cs="Times New Roman" w:eastAsia="Times New Roman" w:hAnsi="Times New Roman"/>
          <w:b/>
          <w:bCs/>
          <w:sz w:val="24"/>
          <w:szCs w:val="24"/>
        </w:rPr>
        <w:t xml:space="preserve">Contribution statement</w:t>
      </w:r>
    </w:p>
    <w:p>
      <w:pPr>
        <w:spacing w:after="160" w:before="0" w:line="276"/>
      </w:pPr>
      <w:r>
        <w:rPr>
          <w:rFonts w:ascii="Times New Roman" w:cs="Times New Roman" w:eastAsia="Times New Roman" w:hAnsi="Times New Roman"/>
          <w:sz w:val="24"/>
          <w:szCs w:val="24"/>
        </w:rPr>
        <w:t xml:space="preserve">Organizations are beginning to consider large language models (LLMs) as operators of other AI systems: deciding when to patch, redeploy, roll back, or skip regression tests. The behavioral-economics prediction is loss chasing, in which an operator that codes an outcome as a loss takes more risk to recover it. It has been tested in one-shot economic tasks and in text generation, not in a repeated operational loop, and it has not been separated from a competing explanation in which a visible goal, not a loss, pushes an operator toward shortcuts.</w:t>
      </w:r>
    </w:p>
    <w:p>
      <w:pPr>
        <w:spacing w:after="160" w:before="0" w:line="276"/>
      </w:pPr>
      <w:r>
        <w:rPr>
          <w:rFonts w:ascii="Times New Roman" w:cs="Times New Roman" w:eastAsia="Times New Roman" w:hAnsi="Times New Roman"/>
          <w:sz w:val="24"/>
          <w:szCs w:val="24"/>
        </w:rPr>
        <w:t xml:space="preserve">The paper contributes in four ways. First, it formalizes LLM maintenance as a repeated prospect-theoretic choice, defines loss chasing through three jointly necessary conditions, one of which requires the chosen action to be inferior in expected value, and builds a six-action environment in which skipping tests is dominated by its verified counterpart. It also identifies a measurement problem: when a rollback option recovers a realized loss at positive expected value, a rational operator lowers its risk after failures, so the natural "risk rises after failures" test is invalid. We propose excess risk over an expected-value benchmark together with test-skipping. Second, it shows that a framing claim needs the wording as its unit of replication, and it provides a design with 16 independently generated wordings per frame in which the frame effect, the wording effect, and their interaction can be separated. Third, it separates loss accounting from goal visibility with a 2 x 2 design. In the commercial model that skips, stating the target in the headline raises test-skipping by 54 percentage points, whereas loss text lowers it by 13 points, so the shortcut is a goal-directed response and not loss chasing. Fourth, it shows that the behavior depends on reasoning: enabling extended thinking cuts skipping from 27.2% to 9.7%, and two larger commercial models that reason by default never skip in 4,320 first choices each.</w:t>
      </w:r>
    </w:p>
    <w:p>
      <w:pPr>
        <w:spacing w:after="160" w:before="0" w:line="276"/>
      </w:pPr>
      <w:r>
        <w:rPr>
          <w:rFonts w:ascii="Times New Roman" w:cs="Times New Roman" w:eastAsia="Times New Roman" w:hAnsi="Times New Roman"/>
          <w:sz w:val="24"/>
          <w:szCs w:val="24"/>
        </w:rPr>
        <w:t xml:space="preserve">The registered protocol executed on three models does not support the loss-chasing hypothesis, and we report that result first. The four studies that follow were designed after it and are not registered; we state this where each is reported. The contribution is therefore not a claim that LLM operators chase losses, but evidence that where an operator takes a dominated shortcut, what moves it is the visibility of the goal, the time left, and whether it reasons, together with a design and a measurement argument for how such claims should be tested.</w:t>
      </w:r>
    </w:p>
    <w:p>
      <w:pPr>
        <w:spacing w:after="160" w:before="0" w:line="276"/>
      </w:pPr>
      <w:r>
        <w:rPr>
          <w:rFonts w:ascii="Times New Roman" w:cs="Times New Roman" w:eastAsia="Times New Roman" w:hAnsi="Times New Roman"/>
          <w:sz w:val="24"/>
          <w:szCs w:val="24"/>
        </w:rPr>
        <w:t xml:space="preserve">For practice and policy, the results support auditing a specific operator model on the organization’s own payoff structure, with many wordings of each message and with the reasoning setting fixed as it will be deployed, and treating status text, including how prominently a target is shown, as controlled configuration. We state the limits plainly: one model that skips, a commercial ladder in which tier is confounded with reasoning and sampling control, and unregistered follow-up studies.</w:t>
      </w:r>
    </w:p>
    <w:p>
      <w:pPr>
        <w:keepNext/>
        <w:spacing w:after="120" w:before="120"/>
      </w:pPr>
      <w:r>
        <w:rPr>
          <w:rFonts w:ascii="Times New Roman" w:cs="Times New Roman" w:eastAsia="Times New Roman" w:hAnsi="Times New Roman"/>
          <w:b/>
          <w:bCs/>
          <w:sz w:val="24"/>
          <w:szCs w:val="24"/>
        </w:rPr>
        <w:t xml:space="preserve">Relation to prior work</w:t>
      </w:r>
    </w:p>
    <w:p>
      <w:pPr>
        <w:spacing w:after="160" w:before="0" w:line="276"/>
      </w:pPr>
      <w:r>
        <w:rPr>
          <w:rFonts w:ascii="Times New Roman" w:cs="Times New Roman" w:eastAsia="Times New Roman" w:hAnsi="Times New Roman"/>
          <w:sz w:val="24"/>
          <w:szCs w:val="24"/>
        </w:rPr>
        <w:t xml:space="preserve">The study builds on the registered protocol for an evaluation of LLM maintenance decisions, executed in the first study of the manuscript, and extends it with three further studies. The manuscript adds the executed runs, the measurement argument about excess risk and floor effects, the wording design, and the discussion for information systems practice.</w:t>
      </w:r>
    </w:p>
    <w:p>
      <w:pPr>
        <w:spacing w:after="160" w:before="0" w:line="276"/>
      </w:pPr>
      <w:r>
        <w:rPr>
          <w:rFonts w:ascii="Times New Roman" w:cs="Times New Roman" w:eastAsia="Times New Roman" w:hAnsi="Times New Roman"/>
          <w:sz w:val="24"/>
          <w:szCs w:val="24"/>
        </w:rPr>
        <w:t xml:space="preserve">Sincerely,</w:t>
      </w:r>
    </w:p>
    <w:p>
      <w:pPr>
        <w:spacing w:after="160" w:before="0" w:line="276"/>
      </w:pPr>
      <w:r>
        <w:rPr>
          <w:rFonts w:ascii="Times New Roman" w:cs="Times New Roman" w:eastAsia="Times New Roman" w:hAnsi="Times New Roman"/>
          <w:sz w:val="24"/>
          <w:szCs w:val="24"/>
        </w:rPr>
        <w:t xml:space="preserve">The authors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lastModifiedBy>Un-named</cp:lastModifiedBy>
  <cp:revision>1</cp:revision>
  <dcterms:created xsi:type="dcterms:W3CDTF">2026-10-01T08:42:18.353Z</dcterms:created>
  <dcterms:modified xsi:type="dcterms:W3CDTF">2026-10-01T08:42:18.353Z</dcterms:modified>
</cp:coreProperties>
</file>

<file path=docProps/custom.xml><?xml version="1.0" encoding="utf-8"?>
<Properties xmlns="http://schemas.openxmlformats.org/officeDocument/2006/custom-properties" xmlns:vt="http://schemas.openxmlformats.org/officeDocument/2006/docPropsVTypes"/>
</file>