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"Do Loss Frames Make LLM Operators Skip Verification? Goal Visibility and Reasoning in a Maintenance Environment,"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replication package is withheld.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The behavioral-economics prediction is loss chasing, in which an operator that codes an outcome as a loss takes more risk to recover it. It has been tested in one-shot tasks, not in a repeated operational loop, and not against the competing account that a visible goal, not a loss, pushes an operator toward shortcuts.</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defines loss chasing through three jointly necessary conditions, one of which requires the chosen action to be inferior in expected value, and builds a six-action environment in which skipping tests is dominated by its verified counterpart. It also identifies a measurement problem: when a rollback option recovers a realized loss at positive expected value, a rational operator lowers its risk after failures, so the natural "risk rises after failures" test is not diagnostic. We propose excess risk over an expected-value benchmark together with test-skipping. Second, it argues that a framing claim needs the wording as its unit of replication, and it provides a design with 16 independently generated wordings per frame in which the frame effect, the wording effect, and their interaction can be separated. Third, it separates loss accounting from goal visibility with a 2 x 2 design. In the commercial model that skips, stating the target in the headline raises test-skipping by 54 percentage points, whereas loss text lowers it by 13 points, which is more consistent with a goal-directed response than with loss chasing. Fourth, it finds that skipping is lower with reasoning: enabling extended thinking lowered skipping from 27.2% to 9.7%, and two larger commercial models that reason by default did not skip in any of 4,320 first choices each. Stating each option’s expected quality change lowered skipping further but did not remove it.</w:t>
      </w:r>
    </w:p>
    <w:p>
      <w:pPr>
        <w:spacing w:after="160" w:before="0" w:line="276"/>
      </w:pPr>
      <w:r>
        <w:rPr>
          <w:rFonts w:ascii="Times New Roman" w:cs="Times New Roman" w:eastAsia="Times New Roman" w:hAnsi="Times New Roman"/>
          <w:sz w:val="24"/>
          <w:szCs w:val="24"/>
        </w:rPr>
        <w:t xml:space="preserve">The registered protocol executed on three models does not support the loss-chasing hypothesis, and we report that result first. The four studies that follow were designed after it and are not registered; we state this where each is reported. The contribution is therefore not a claim that LLM operators chase losses, but evidence that where an operator takes a dominated shortcut, what is associated with it is the visibility of the goal, the time left, and whether it reasons, together with a design and a measurement argument for how such claims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operator model on the organization’s own payoff structure, with many wordings of each message and with the reasoning setting fixed as it will be deployed, and treating status text, including how prominently a target is shown, as controlled configuration. We state the limits plainly: one model that skips, a commercial ladder in which tier is confounded with reasoning and sampling control, and unregistered follow-up studies.</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builds on the registered protocol for an evaluation of LLM maintenance decisions, executed in the first study of the manuscript, and extends it with four further studies. The manuscript adds the executed runs, the measurement argument about excess risk and floor effects, the wording design,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2026-10-01T09:49:03.789Z</dcterms:created>
  <dcterms:modified xsi:type="dcterms:W3CDTF">2026-10-01T09:49:03.789Z</dcterms:modified>
</cp:coreProperties>
</file>

<file path=docProps/custom.xml><?xml version="1.0" encoding="utf-8"?>
<Properties xmlns="http://schemas.openxmlformats.org/officeDocument/2006/custom-properties" xmlns:vt="http://schemas.openxmlformats.org/officeDocument/2006/docPropsVTypes"/>
</file>