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5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Two larger commercial models (Sonnet 5.5 and Opus 5.5) did not skip in any of 4,320 first choices each. Enabling extended thinking in the fast model lowered skipping to 9.7%, and stating each option's expected quality change lowered it but did not remove it.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and a fifth study, designed after Study 4, asks whether the skipping persists when the dominance of verification is made visible.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two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9 report the five studies. Section 10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commercial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three commercial models: Haiku 4.5 (temperature 0.7), Sonnet 5.5, and Opus 5.5; Studies 3 and 4 used Haiku 4.5. The Sonnet and Opus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5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and Opus 5.5,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Because the contrast cannot be estimated, these models neither support nor contradict a frame effect; this environment elicited no skipping from them under any of the 48 sentences.</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and Opus 5.5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Discussion</w:t>
      </w:r>
    </w:p>
    <w:p>
      <w:pPr>
        <w:pStyle w:val="Heading2"/>
        <w:keepNext/>
        <w:spacing w:after="0" w:before="0" w:line="480"/>
      </w:pPr>
      <w:r>
        <w:rPr>
          <w:rFonts w:ascii="Times New Roman" w:cs="Times New Roman" w:eastAsia="Times New Roman" w:hAnsi="Times New Roman"/>
          <w:b/>
          <w:bCs/>
          <w:i/>
          <w:iCs/>
          <w:sz w:val="24"/>
          <w:szCs w:val="24"/>
        </w:rPr>
        <w:t xml:space="preserve">10.1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three commercial tiers of Study 2, or in the fast tier with thinking or with the target manipulated in Studies 3 and 4. Where skipping occurs, it is associated with a visible target under time pressure, loss text goes with less of it, reasoning removes most of it, and stating the expected quality change of each option lowers it without removing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10.2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10.3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10.4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and Opus 5.5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5 were designed after Study 1 and were not registered. Their analysis scripts were written before the runs and their contrasts are descriptive, but the questions they answer were shaped by earlier output, the four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in Studies 1 to 4 the operator sees only qualitative option descriptions, so the dominance of verification is visible to the designer but not to the operator, and part of the skipping may be a defensible trade-off from the operator's information. Study 5 shows that skipping persists at 17% to 25% in the target-stating frames when the expected quality change is stated, but it also lowers it substantially, and the added text may act as a cue; the baseline and expected-value runs share a design but not their sampling draws.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10.5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Five studies, four of them with independently generated wordings and registered analysis scripts, suggest that, in the fast commercial model that skips, the shortcut is associated with a visible target under time pressure, is lower under loss text, and is largely absent with reasoning, and that two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 In Study 5 each option description ends with its expected quality change (for example, "Expected quality change: -2.20 points" for wide_skip).</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 5)</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1, 2, 4, 5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and Study 5 (expected values shown) after Study 4. The analysis scripts for Studies 2 to 5 were committed before the runs they analyze. Studies 2 to 5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e99db501ccbe3e1c9a3dfd8b3d8bc36b797f2c9.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2026-10-01T09:49:13.604Z</dcterms:created>
  <dcterms:modified xsi:type="dcterms:W3CDTF">2026-10-01T09:49:13.605Z</dcterms:modified>
</cp:coreProperties>
</file>

<file path=docProps/custom.xml><?xml version="1.0" encoding="utf-8"?>
<Properties xmlns="http://schemas.openxmlformats.org/officeDocument/2006/custom-properties" xmlns:vt="http://schemas.openxmlformats.org/officeDocument/2006/docPropsVTypes"/>
</file>