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b/>
          <w:i w:val="0"/>
          <w:sz w:val="22"/>
        </w:rPr>
        <w:t>Title Page</w:t>
      </w:r>
    </w:p>
    <w:p>
      <w:pPr>
        <w:spacing w:line="276" w:lineRule="auto" w:after="240" w:before="0"/>
        <w:jc w:val="center"/>
      </w:pPr>
      <w:r>
        <w:rPr>
          <w:b/>
          <w:i w:val="0"/>
          <w:sz w:val="30"/>
        </w:rPr>
        <w:t>Combining Detectors That Fail Differently Defends Screens for Machine-Written Scholarly Text Against Adaptive Authors</w:t>
      </w:r>
    </w:p>
    <w:p>
      <w:pPr>
        <w:spacing w:after="40" w:before="0"/>
        <w:jc w:val="center"/>
      </w:pPr>
      <w:r>
        <w:rPr>
          <w:b w:val="0"/>
          <w:i w:val="0"/>
          <w:sz w:val="24"/>
        </w:rPr>
        <w:t>Ook Lee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Department of Information Systems, Hanyang University, Seoul, Republic of Korea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Corresponding author: Ook Lee (e-mail: ooklee@hanyang.ac.kr)</w:t>
      </w:r>
    </w:p>
    <w:p>
      <w:pPr>
        <w:spacing w:after="240" w:before="0"/>
        <w:jc w:val="center"/>
      </w:pPr>
      <w:r>
        <w:rPr>
          <w:b w:val="0"/>
          <w:i w:val="0"/>
          <w:sz w:val="22"/>
        </w:rPr>
        <w:t>ORCID: [to be added]</w:t>
      </w:r>
    </w:p>
    <w:p>
      <w:pPr>
        <w:spacing w:after="80" w:before="0"/>
      </w:pPr>
      <w:r>
        <w:rPr>
          <w:b/>
          <w:i w:val="0"/>
          <w:sz w:val="22"/>
        </w:rPr>
        <w:t>Manuscript type</w:t>
      </w:r>
      <w:r>
        <w:rPr>
          <w:b w:val="0"/>
          <w:i w:val="0"/>
          <w:sz w:val="22"/>
        </w:rPr>
        <w:t xml:space="preserve"> Regular paper</w:t>
      </w:r>
    </w:p>
    <w:p>
      <w:pPr>
        <w:spacing w:after="80" w:before="0"/>
        <w:jc w:val="both"/>
      </w:pPr>
      <w:r>
        <w:rPr>
          <w:b/>
          <w:i w:val="0"/>
          <w:sz w:val="22"/>
        </w:rPr>
        <w:t>Index Terms</w:t>
      </w:r>
      <w:r>
        <w:rPr>
          <w:b w:val="0"/>
          <w:i w:val="0"/>
          <w:sz w:val="22"/>
        </w:rPr>
        <w:t xml:space="preserve"> Adversarial robustness, AI-generated text detection, ensemble methods, large language models, research integrity, zero-shot detection.</w:t>
      </w:r>
    </w:p>
    <w:p>
      <w:pPr>
        <w:spacing w:after="240" w:before="0"/>
      </w:pPr>
      <w:r>
        <w:rPr>
          <w:b/>
          <w:i w:val="0"/>
          <w:sz w:val="22"/>
        </w:rPr>
        <w:t>Length</w:t>
      </w:r>
      <w:r>
        <w:rPr>
          <w:b w:val="0"/>
          <w:i w:val="0"/>
          <w:sz w:val="22"/>
        </w:rPr>
        <w:t xml:space="preserve"> 6 pages in the IEEE two-column format; 5 tables, 2 figures, 37 references; supplementary material (6 pages).</w:t>
      </w:r>
    </w:p>
    <w:p>
      <w:pPr>
        <w:keepNext/>
        <w:spacing w:line="276" w:lineRule="auto" w:after="80" w:before="160"/>
      </w:pPr>
      <w:r>
        <w:rPr>
          <w:b/>
          <w:i/>
        </w:rPr>
        <w:t>Declarations</w:t>
      </w:r>
    </w:p>
    <w:p>
      <w:pPr>
        <w:spacing w:after="80" w:before="0"/>
        <w:jc w:val="both"/>
      </w:pPr>
      <w:r>
        <w:rPr>
          <w:b/>
          <w:i w:val="0"/>
          <w:sz w:val="22"/>
        </w:rPr>
        <w:t>Funding</w:t>
      </w:r>
      <w:r>
        <w:rPr>
          <w:b w:val="0"/>
          <w:i w:val="0"/>
          <w:sz w:val="22"/>
        </w:rPr>
        <w:t xml:space="preserve"> This research received no specific grant.</w:t>
      </w:r>
    </w:p>
    <w:p>
      <w:pPr>
        <w:spacing w:after="80" w:before="0"/>
        <w:jc w:val="both"/>
      </w:pPr>
      <w:r>
        <w:rPr>
          <w:b/>
          <w:i w:val="0"/>
          <w:sz w:val="22"/>
        </w:rPr>
        <w:t>Conflict of interest</w:t>
      </w:r>
      <w:r>
        <w:rPr>
          <w:b w:val="0"/>
          <w:i w:val="0"/>
          <w:sz w:val="22"/>
        </w:rPr>
        <w:t xml:space="preserve"> The author declares no competing interests.</w:t>
      </w:r>
    </w:p>
    <w:p>
      <w:pPr>
        <w:spacing w:after="80" w:before="0"/>
        <w:jc w:val="both"/>
      </w:pPr>
      <w:r>
        <w:rPr>
          <w:b/>
          <w:i w:val="0"/>
          <w:sz w:val="22"/>
        </w:rPr>
        <w:t>Ethics</w:t>
      </w:r>
      <w:r>
        <w:rPr>
          <w:b w:val="0"/>
          <w:i w:val="0"/>
          <w:sz w:val="22"/>
        </w:rPr>
        <w:t xml:space="preserve"> Not applicable. No human participants or personal data were involved; all human texts are published papers.</w:t>
      </w:r>
    </w:p>
    <w:p>
      <w:pPr>
        <w:spacing w:after="80" w:before="0"/>
        <w:jc w:val="both"/>
      </w:pPr>
      <w:r>
        <w:rPr>
          <w:b/>
          <w:i w:val="0"/>
          <w:sz w:val="22"/>
        </w:rPr>
        <w:t>Data and code availability</w:t>
      </w:r>
      <w:r>
        <w:rPr>
          <w:b w:val="0"/>
          <w:i w:val="0"/>
          <w:sz w:val="22"/>
        </w:rPr>
        <w:t xml:space="preserve"> Code, machine-generated corpora, per-document scores and result tables are available on Zenodo (https://doi.org/10.5281/zenodo.23664508, version 2).</w:t>
      </w:r>
    </w:p>
    <w:p>
      <w:pPr>
        <w:spacing w:after="80" w:before="0"/>
        <w:jc w:val="both"/>
      </w:pPr>
      <w:r>
        <w:rPr>
          <w:b/>
          <w:i w:val="0"/>
          <w:sz w:val="22"/>
        </w:rPr>
        <w:t>Prior submission</w:t>
      </w:r>
      <w:r>
        <w:rPr>
          <w:b w:val="0"/>
          <w:i w:val="0"/>
          <w:sz w:val="22"/>
        </w:rPr>
        <w:t xml:space="preserve"> An earlier version was submitted to Nature Machine Intelligence and declined without review on grounds of fit.</w:t>
      </w:r>
    </w:p>
    <w:p>
      <w:pPr>
        <w:spacing w:after="80" w:before="0"/>
        <w:jc w:val="both"/>
      </w:pPr>
      <w:r>
        <w:rPr>
          <w:b/>
          <w:i w:val="0"/>
          <w:sz w:val="22"/>
        </w:rPr>
        <w:t>Use of generative AI</w:t>
      </w:r>
      <w:r>
        <w:rPr>
          <w:b w:val="0"/>
          <w:i w:val="0"/>
          <w:sz w:val="22"/>
        </w:rPr>
        <w:t xml:space="preserve"> The machine-written papers studied were produced by GPT-4o, Claude Sonnet 5.5, Llama 3.3 70B Instruct and DeepSeek V4.1 Flash, and Gemini 2.5 Pro served as a judge. An AI coding assistant (Claude Code) was used to write and run the analysis code and to draft and edit the manuscript text; the author reviewed the results and takes responsibility for the content.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