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Revised</w:t>
      </w:r>
      <w:r>
        <w:t xml:space="preserve"> </w:t>
      </w:r>
      <w:r>
        <w:t xml:space="preserve">Abstract,</w:t>
      </w:r>
      <w:r>
        <w:t xml:space="preserve"> </w:t>
      </w:r>
      <w:r>
        <w:t xml:space="preserve">Introduction</w:t>
      </w:r>
      <w:r>
        <w:t xml:space="preserve"> </w:t>
      </w:r>
      <w:r>
        <w:t xml:space="preserve">and</w:t>
      </w:r>
      <w:r>
        <w:t xml:space="preserve"> </w:t>
      </w:r>
      <w:r>
        <w:t xml:space="preserve">Theoretical</w:t>
      </w:r>
      <w:r>
        <w:t xml:space="preserve"> </w:t>
      </w:r>
      <w:r>
        <w:t xml:space="preserve">Background</w:t>
      </w:r>
      <w:r>
        <w:t xml:space="preserve"> </w:t>
      </w:r>
      <w:r>
        <w:t xml:space="preserve">(draft</w:t>
      </w:r>
      <w:r>
        <w:t xml:space="preserve"> </w:t>
      </w:r>
      <w:r>
        <w:t xml:space="preserve">5)</w:t>
      </w:r>
    </w:p>
    <w:bookmarkStart w:id="20" w:name="abstract"/>
    <w:p>
      <w:pPr>
        <w:pStyle w:val="Heading1"/>
      </w:pPr>
      <w:r>
        <w:t xml:space="preserve">Abstract</w:t>
      </w:r>
    </w:p>
    <w:p>
      <w:pPr>
        <w:pStyle w:val="FirstParagraph"/>
      </w:pPr>
      <w:r>
        <w:t xml:space="preserve">Organizations are beginning to let networks of large language model (LLM) agents allocate scarce resources among themselves, yet little is known about how the governance rules built into such systems shape who ends up in control. IT governance theory assumes that a decision right and its exercise are separable, with the gap filled by human norms and interests. We ask what fills that gap when the right holders are agents, and contrast a capture logic, in which office converts into advantage and entrenchment, with a specification logic, in which stated incentives and model dispositions govern behavior. In a controlled simulation of 168 agent worlds, we varied binding allocation authority, the rewards attached to office, the election rule, and the model composition of the population, and computed every outcome from logged events rather than agent discourse. Office rents sharply increased candidacy and competition, but not inequality of access. Binding authority made allocation more equal than chance, because holders favored agents with fewer tasks and less energy and gave themselves less, not more. Election rules made no detectable difference. Model family and capability predicted who stood for office, more than who won. Contest for office did not convert into capture of access, which bounds the capture logic in this environment. The specification account was developed after the main results and awaits replication.</w:t>
      </w:r>
    </w:p>
    <w:p>
      <w:pPr>
        <w:pStyle w:val="BodyText"/>
      </w:pPr>
      <w:r>
        <w:t xml:space="preserve">Keywords: agentic information systems; IT governance; decision rights; large language model agents; multi-agent simulation; office rents</w:t>
      </w:r>
    </w:p>
    <w:bookmarkEnd w:id="20"/>
    <w:bookmarkStart w:id="21" w:name="introduction"/>
    <w:p>
      <w:pPr>
        <w:pStyle w:val="Heading1"/>
      </w:pPr>
      <w:r>
        <w:t xml:space="preserve">1. Introduction</w:t>
      </w:r>
    </w:p>
    <w:p>
      <w:pPr>
        <w:pStyle w:val="FirstParagraph"/>
      </w:pPr>
      <w:r>
        <w:t xml:space="preserve">Organizations are beginning to let networks of large language model (LLM) agents allocate scarce resources among themselves, such as task queues, service capacity, or negotiating slots. In these systems the governance rules are not a backdrop to behavior. They are the specification the agents execute. Who may decide, what deciding is worth, and how deciders are chosen are design choices made before any agent acts. Whether those choices yield an even distribution of access or a pattern of control that perpetuates itself is therefore a question about information systems design, and not only about agent behavior.</w:t>
      </w:r>
    </w:p>
    <w:p>
      <w:pPr>
        <w:pStyle w:val="BodyText"/>
      </w:pPr>
      <w:r>
        <w:t xml:space="preserve">The IT governance literature gives designers a central lever for this problem: the assignment of decision rights (Weill and Ross 2004; Sambamurthy and Zmud 1999). That literature rests on an assumption that is rarely stated because it is rarely violated. A decision right and its exercise are separable, and the gap between them is filled by the holder’s interests, norms, and reputation. Formal authority therefore does not translate mechanically into advantage. Research on agentic information systems has begun to theorize what changes when decisions are delegated to artifacts (Baird and Maruping 2021; Berente et al. 2021), but it has concentrated on delegation from humans to agents. When agents hold rights over other agents, little theory says what fills the gap between right and exercise. Early evidence shows that LLM agents placed in a minimal executable world form economic relations without being instructed to, including exchanges of votes for future access (Zhang and Shang 2026). Their setting was built to show that such relations can emerge, not to ask whether they harden into durable control. Work on LLM-based economic simulation has asked whether a governance procedure converges on a socially desirable outcome (Karten et al. 2025). We ask a complementary question: when agents hold allocation authority over scarce resources, how do they come to hold it, how do they use it, and does using it entrench them?</w:t>
      </w:r>
    </w:p>
    <w:p>
      <w:pPr>
        <w:pStyle w:val="BodyText"/>
      </w:pPr>
      <w:r>
        <w:t xml:space="preserve">We approach this question by contrasting two accounts of what fills the gap between right and exercise among agents. The</w:t>
      </w:r>
      <w:r>
        <w:t xml:space="preserve"> </w:t>
      </w:r>
      <w:r>
        <w:rPr>
          <w:iCs/>
          <w:i/>
        </w:rPr>
        <w:t xml:space="preserve">capture logic</w:t>
      </w:r>
      <w:r>
        <w:t xml:space="preserve"> </w:t>
      </w:r>
      <w:r>
        <w:t xml:space="preserve">extends cumulative-advantage and institutional-capture arguments (Merton 1968; Arthur 1989; Acemoglu and Robinson 2012) to agent systems. Office is valuable, holders convert authority into advantage for themselves and their supporters, and that advantage helps them keep office. The</w:t>
      </w:r>
      <w:r>
        <w:t xml:space="preserve"> </w:t>
      </w:r>
      <w:r>
        <w:rPr>
          <w:iCs/>
          <w:i/>
        </w:rPr>
        <w:t xml:space="preserve">specification logic</w:t>
      </w:r>
      <w:r>
        <w:t xml:space="preserve"> </w:t>
      </w:r>
      <w:r>
        <w:t xml:space="preserve">holds that agents have no norms or reputational stakes to supply. What fills the gap instead is what the system specification states, such as the rewards attached to a role, together with the dispositions of the underlying model. The two accounts agree that rewards for office should draw candidates. They diverge on whether holding binding authority produces concentration of access and on whether control persists. This divergence makes the results informative whichever way they fall. We separate three stages of the process, namely selection into office, exercise of authority, and entrenchment, and ask where, if anywhere, the chain from office to control breaks.</w:t>
      </w:r>
    </w:p>
    <w:p>
      <w:pPr>
        <w:pStyle w:val="BodyText"/>
      </w:pPr>
      <w:r>
        <w:t xml:space="preserve">Our evidence is a controlled simulation of 168 agent worlds in which four design features were varied: whether allocation authority is binding, whether office carries rewards (office rents), the election rule, and the model composition of the population. Every outcome is computed from logged state-changing events and not from agent discourse. We report three main findings. First, rewards attached to office determine whether agents compete for it at all; without them most elections drew no candidate. Second, binding authority did not concentrate access; it made allocation more even than a lottery would, because holders favored agents with fewer tasks and less energy and gave themselves less, not more. Third, who took office depended strongly on model family and, within a family, on capability, but mostly through the decision to stand and much less through winning once standing. Contest for office was therefore real, but it did not convert into capture of access.</w:t>
      </w:r>
    </w:p>
    <w:p>
      <w:pPr>
        <w:pStyle w:val="BodyText"/>
      </w:pPr>
      <w:r>
        <w:t xml:space="preserve">The paper makes three contributions. First, we offer a stage-based account of how decision rights are exercised among agents. It separates contest, capture, and entrenchment, and identifies the conversion of office into advantage as the link on which cumulative-advantage and capture arguments depend. In our setting this link was weak, and the paper documents the conditions under which that happened. Second, we specify office rents and authority binding as design-level constructs and derive propositions from competing logics. We state which propositions preceded the data and which were sharpened after the main results. Third, we provide an identification strategy that works from behavioral traces, with a placebo comparison for vote-for-access claims, and we report where concentration did and did not appear. The findings are bounded by a small simulated environment (Section 5.3), and we present them as boundary conditions on the capture logic and as hypotheses for replication, not as general laws of agent governance.</w:t>
      </w:r>
    </w:p>
    <w:p>
      <w:pPr>
        <w:pStyle w:val="BodyText"/>
      </w:pPr>
      <w:r>
        <w:t xml:space="preserve">The paper proceeds as follows. Section 2 develops the two logics and the propositions. Section 3 describes the environment, design, and measures. Section 4 reports results, Section 5 discusses implications and limits, and Section 6 concludes.</w:t>
      </w:r>
    </w:p>
    <w:bookmarkEnd w:id="21"/>
    <w:bookmarkStart w:id="28" w:name="theoretical-background-and-propositions"/>
    <w:p>
      <w:pPr>
        <w:pStyle w:val="Heading1"/>
      </w:pPr>
      <w:r>
        <w:t xml:space="preserve">2. Theoretical Background and Propositions</w:t>
      </w:r>
    </w:p>
    <w:bookmarkStart w:id="22" w:name="decision-rights-and-the-exercise-gap"/>
    <w:p>
      <w:pPr>
        <w:pStyle w:val="Heading2"/>
      </w:pPr>
      <w:r>
        <w:t xml:space="preserve">2.1 Decision rights and the exercise gap</w:t>
      </w:r>
    </w:p>
    <w:p>
      <w:pPr>
        <w:pStyle w:val="FirstParagraph"/>
      </w:pPr>
      <w:r>
        <w:t xml:space="preserve">IT governance research defines governance as the specification of decision rights and accountability structures that encourage desirable behavior in the use of IT (Weill and Ross 2004). Arrangements for who decides produce systematic differences in how organizations use technology (Sambamurthy and Zmud 1999), and in platform ecosystems governance mechanisms shape participant behavior and platform evolution (Tiwana et al. 2010). A shared premise is that a right and its exercise are separable. Holding a decision right is one thing; what the holder does with it depends on incentives and social context. We call the space between the two the</w:t>
      </w:r>
      <w:r>
        <w:t xml:space="preserve"> </w:t>
      </w:r>
      <w:r>
        <w:rPr>
          <w:iCs/>
          <w:i/>
        </w:rPr>
        <w:t xml:space="preserve">exercise gap</w:t>
      </w:r>
      <w:r>
        <w:t xml:space="preserve">. In human organizations the exercise gap is filled by the holder’s own interests, by professional and social norms, and by reputation, which together moderate how far formal authority is turned into advantage.</w:t>
      </w:r>
    </w:p>
    <w:bookmarkEnd w:id="22"/>
    <w:bookmarkStart w:id="23" w:name="delegation-to-and-among-agentic-systems"/>
    <w:p>
      <w:pPr>
        <w:pStyle w:val="Heading2"/>
      </w:pPr>
      <w:r>
        <w:t xml:space="preserve">2.2 Delegation to and among agentic systems</w:t>
      </w:r>
    </w:p>
    <w:p>
      <w:pPr>
        <w:pStyle w:val="FirstParagraph"/>
      </w:pPr>
      <w:r>
        <w:t xml:space="preserve">Agency theory frames delegation as a problem of aligning an agent’s actions with a principal’s interests under information asymmetry (Jensen and Meckling 1976; Eisenhardt 1989). Research on agentic IS artifacts extends delegation to systems that act with autonomy on behalf of users (Baird and Maruping 2021), and work on the management of AI examines how organizations govern such systems (Berente et al. 2021). Multi-agent settings add a layer these accounts do not address. When one agent controls allocation, the others are in effect subject to its authority, and the question becomes the distribution of control among agents and not the alignment of an agent with a human principal. Research on machine behavior argues that such collective outcomes must be studied in their own right (Rahwan et al. 2019), and LLMs have begun to be used as simulated economic agents, subject to the usual caveats about validity (Horton 2023).</w:t>
      </w:r>
    </w:p>
    <w:p>
      <w:pPr>
        <w:pStyle w:val="BodyText"/>
      </w:pPr>
      <w:r>
        <w:t xml:space="preserve">The theoretical issue is what fills the exercise gap when the right holders are LLM agents. Two candidate fillers can be distinguished. One is the set of incentives that the system specification states explicitly. The other is the dispositions that the underlying model brings to the task, which vary across model families and capability levels. Agents have no career, no standing in a community, and few loyalties beyond those the system records. Whether the human fillers of the gap are replaced by these two, or whether agents reproduce the dynamics that human accounts predict, is the open question this paper addresses.</w:t>
      </w:r>
    </w:p>
    <w:bookmarkEnd w:id="23"/>
    <w:bookmarkStart w:id="24" w:name="two-logics-of-control-among-agents"/>
    <w:p>
      <w:pPr>
        <w:pStyle w:val="Heading2"/>
      </w:pPr>
      <w:r>
        <w:t xml:space="preserve">2.3 Two logics of control among agents</w:t>
      </w:r>
    </w:p>
    <w:p>
      <w:pPr>
        <w:pStyle w:val="FirstParagraph"/>
      </w:pPr>
      <w:r>
        <w:rPr>
          <w:bCs/>
          <w:b/>
        </w:rPr>
        <w:t xml:space="preserve">The capture logic.</w:t>
      </w:r>
      <w:r>
        <w:t xml:space="preserve"> </w:t>
      </w:r>
      <w:r>
        <w:t xml:space="preserve">Cumulative-advantage accounts show how early positional gains can feed on themselves (Merton 1968) and how small early differences can lock in outcomes under increasing returns (Arthur 1989). Institutional accounts add that when holders of political power can steer economic opportunity toward their supporters, and economic advantage helps them retain power, institutions become self-perpetuating (Acemoglu and Robinson 2012). Applied to agent systems, the capture logic runs as a chain. Office has value, which draws candidates. Holders with binding authority convert it into access for themselves or their supporters. Access improves their position, and the improved position helps them retain office. Each link can be strengthened by design, for example by raising the value of office or by lowering the cost of assembling a majority.</w:t>
      </w:r>
    </w:p>
    <w:p>
      <w:pPr>
        <w:pStyle w:val="BodyText"/>
      </w:pPr>
      <w:r>
        <w:rPr>
          <w:bCs/>
          <w:b/>
        </w:rPr>
        <w:t xml:space="preserve">The specification logic.</w:t>
      </w:r>
      <w:r>
        <w:t xml:space="preserve"> </w:t>
      </w:r>
      <w:r>
        <w:t xml:space="preserve">If the exercise gap is filled by the specification and by model dispositions, three things follow. Agents should respond to the rewards that the specification attaches to roles, so contest follows incentives. Absent any directive to pursue its own gain, a holder with binding authority should apply simple fairness heuristics available to the model and should not favor itself, so the conversion link in the capture chain is weak. And mechanisms that pay off only through coalition reasoning, such as election rules and exchanges of votes for access, should matter only to the extent that agents reason about coalitions. We note that Ostrom (1990) documents rule configurations under which shared resources are governed without capture. The specification logic offers a different route to the same end, in which governance outcomes arise from the interaction of the specification with the models and not from institutions that evolve among agents.</w:t>
      </w:r>
    </w:p>
    <w:p>
      <w:pPr>
        <w:pStyle w:val="BodyText"/>
      </w:pPr>
      <w:r>
        <w:rPr>
          <w:bCs/>
          <w:b/>
        </w:rPr>
        <w:t xml:space="preserve">Where the logics agree and diverge.</w:t>
      </w:r>
      <w:r>
        <w:t xml:space="preserve"> </w:t>
      </w:r>
      <w:r>
        <w:t xml:space="preserve">Both logics predict that rewards for office draw candidates, and both predict that model characteristics shape who stands. They diverge on exercise (does binding authority concentrate access?), on whether rents amplify that effect, and on entrenchment (do election rules affect persistence of control?). We therefore treat the exercise and entrenchment stages as the diagnostic ones. We stated the capture-logic propositions below before examining the outcomes. The specification logic was developed more fully after the main results, and Section 3.5 and Section 5.1 identify which analyses were exploratory.</w:t>
      </w:r>
    </w:p>
    <w:bookmarkEnd w:id="24"/>
    <w:bookmarkStart w:id="25" w:name="constructs"/>
    <w:p>
      <w:pPr>
        <w:pStyle w:val="Heading2"/>
      </w:pPr>
      <w:r>
        <w:t xml:space="preserve">2.4 Constructs</w:t>
      </w:r>
    </w:p>
    <w:p>
      <w:pPr>
        <w:pStyle w:val="FirstParagraph"/>
      </w:pPr>
      <w:r>
        <w:t xml:space="preserve">Three design-level constructs organize the propositions.</w:t>
      </w:r>
    </w:p>
    <w:p>
      <w:pPr>
        <w:pStyle w:val="BodyText"/>
      </w:pPr>
      <w:r>
        <w:rPr>
          <w:iCs/>
          <w:i/>
        </w:rPr>
        <w:t xml:space="preserve">Office rents</w:t>
      </w:r>
      <w:r>
        <w:t xml:space="preserve"> </w:t>
      </w:r>
      <w:r>
        <w:t xml:space="preserve">are the value attached to holding a position. Whether anyone competes for office, and whether holding it can reinforce itself, depends on whether such rents exist. In our environment, rents take the form of extra energy per day in office, which is received by holding the position and not by the act of allocating.</w:t>
      </w:r>
    </w:p>
    <w:p>
      <w:pPr>
        <w:pStyle w:val="BodyText"/>
      </w:pPr>
      <w:r>
        <w:rPr>
          <w:iCs/>
          <w:i/>
        </w:rPr>
        <w:t xml:space="preserve">Authority binding</w:t>
      </w:r>
      <w:r>
        <w:t xml:space="preserve"> </w:t>
      </w:r>
      <w:r>
        <w:t xml:space="preserve">is the degree to which an officeholder’s allocation decision is executed without further approval. Where authority is not binding, office carries symbolic status but no control, and the right is separated from its exercise by design.</w:t>
      </w:r>
    </w:p>
    <w:p>
      <w:pPr>
        <w:pStyle w:val="BodyText"/>
      </w:pPr>
      <w:r>
        <w:rPr>
          <w:iCs/>
          <w:i/>
        </w:rPr>
        <w:t xml:space="preserve">Rights convertibility</w:t>
      </w:r>
      <w:r>
        <w:t xml:space="preserve"> </w:t>
      </w:r>
      <w:r>
        <w:t xml:space="preserve">is the extent to which one right, such as a vote, can be exchanged for another benefit, such as future access. We treat it as a within-world phenomenon and not a manipulated factor, and Section 4.5 reports a placebo test of it.</w:t>
      </w:r>
    </w:p>
    <w:p>
      <w:pPr>
        <w:pStyle w:val="BodyText"/>
      </w:pPr>
      <w:r>
        <w:t xml:space="preserve">Agent capability and model family, which determine the dispositions agents bring to the task, enter as the fourth design feature.</w:t>
      </w:r>
    </w:p>
    <w:bookmarkEnd w:id="25"/>
    <w:bookmarkStart w:id="26" w:name="a-three-stage-model-and-propositions"/>
    <w:p>
      <w:pPr>
        <w:pStyle w:val="Heading2"/>
      </w:pPr>
      <w:r>
        <w:t xml:space="preserve">2.5 A three-stage model and propositions</w:t>
      </w:r>
    </w:p>
    <w:p>
      <w:pPr>
        <w:pStyle w:val="FirstParagraph"/>
      </w:pPr>
      <w:r>
        <w:t xml:space="preserve">We organize the argument into three stages and assign each proposition to the stage it concerns. Figure 1 depicts the model.</w:t>
      </w:r>
    </w:p>
    <w:p>
      <w:pPr>
        <w:pStyle w:val="BodyText"/>
      </w:pPr>
      <w:r>
        <w:rPr>
          <w:iCs/>
          <w:i/>
        </w:rPr>
        <w:t xml:space="preserve">Stage 1: Selection into office (contest).</w:t>
      </w:r>
      <w:r>
        <w:t xml:space="preserve"> </w:t>
      </w:r>
      <w:r>
        <w:t xml:space="preserve">Whether and by whom office is sought.</w:t>
      </w:r>
    </w:p>
    <w:p>
      <w:pPr>
        <w:pStyle w:val="BodyText"/>
      </w:pPr>
      <w:r>
        <w:rPr>
          <w:iCs/>
          <w:i/>
        </w:rPr>
        <w:t xml:space="preserve">P1 (Office rents and candidacy).</w:t>
      </w:r>
      <w:r>
        <w:t xml:space="preserve"> </w:t>
      </w:r>
      <w:r>
        <w:t xml:space="preserve">Office rents increase candidacy and electoral competition. Without them, agents have little reason to bear the costs of standing. Both logics predict this.</w:t>
      </w:r>
    </w:p>
    <w:p>
      <w:pPr>
        <w:pStyle w:val="BodyText"/>
      </w:pPr>
      <w:r>
        <w:rPr>
          <w:iCs/>
          <w:i/>
        </w:rPr>
        <w:t xml:space="preserve">P5 (Capability and selection).</w:t>
      </w:r>
      <w:r>
        <w:t xml:space="preserve"> </w:t>
      </w:r>
      <w:r>
        <w:t xml:space="preserve">More capable agents are more likely to hold office, whether through greater willingness to stand or through greater success when standing. We also expect resources and incumbency to raise the willingness to stand, because agents that already hold resources or office bear a lower cost from a failed bid and gain a platform from a successful one (Merton 1968; Arthur 1989). We examine this as an additional test in Section 4.4 and do not state it as a separate proposition.</w:t>
      </w:r>
    </w:p>
    <w:p>
      <w:pPr>
        <w:pStyle w:val="BodyText"/>
      </w:pPr>
      <w:r>
        <w:rPr>
          <w:iCs/>
          <w:i/>
        </w:rPr>
        <w:t xml:space="preserve">Stage 2: Exercise of authority (capture).</w:t>
      </w:r>
      <w:r>
        <w:t xml:space="preserve"> </w:t>
      </w:r>
      <w:r>
        <w:t xml:space="preserve">Whether holders turn authority into advantage in access.</w:t>
      </w:r>
    </w:p>
    <w:p>
      <w:pPr>
        <w:pStyle w:val="BodyText"/>
      </w:pPr>
      <w:r>
        <w:rPr>
          <w:iCs/>
          <w:i/>
        </w:rPr>
        <w:t xml:space="preserve">P2 (Authority binding and access).</w:t>
      </w:r>
      <w:r>
        <w:t xml:space="preserve"> </w:t>
      </w:r>
      <w:r>
        <w:t xml:space="preserve">Binding authority increases the officeholder’s ability to concentrate access, so inequality of access is greater under binding than under advisory authority. The capture logic predicts this; the specification logic predicts no increase. We treat P2 as a test that could fail.</w:t>
      </w:r>
    </w:p>
    <w:p>
      <w:pPr>
        <w:pStyle w:val="BodyText"/>
      </w:pPr>
      <w:r>
        <w:rPr>
          <w:iCs/>
          <w:i/>
        </w:rPr>
        <w:t xml:space="preserve">P3 (Interaction).</w:t>
      </w:r>
      <w:r>
        <w:t xml:space="preserve"> </w:t>
      </w:r>
      <w:r>
        <w:t xml:space="preserve">The effect of binding authority on inequality of access is larger when office rents are present, because rents give holders a reason to use authority for their own advantage. The specification logic predicts no amplification, since rents are received by holding office and not by allocating.</w:t>
      </w:r>
    </w:p>
    <w:p>
      <w:pPr>
        <w:pStyle w:val="BodyText"/>
      </w:pPr>
      <w:r>
        <w:rPr>
          <w:iCs/>
          <w:i/>
        </w:rPr>
        <w:t xml:space="preserve">Stage 3: Entrenchment (persistence).</w:t>
      </w:r>
      <w:r>
        <w:t xml:space="preserve"> </w:t>
      </w:r>
      <w:r>
        <w:t xml:space="preserve">Whether control, once held, perpetuates itself.</w:t>
      </w:r>
    </w:p>
    <w:p>
      <w:pPr>
        <w:pStyle w:val="BodyText"/>
      </w:pPr>
      <w:r>
        <w:rPr>
          <w:iCs/>
          <w:i/>
        </w:rPr>
        <w:t xml:space="preserve">P4 (Election rules).</w:t>
      </w:r>
      <w:r>
        <w:t xml:space="preserve"> </w:t>
      </w:r>
      <w:r>
        <w:t xml:space="preserve">Rules that raise the cost of assembling a decisive majority (ranked-choice, relative to plurality) reduce the persistence of control. Under the specification logic this effect appears only to the extent that agents reason about coalitions.</w:t>
      </w:r>
    </w:p>
    <w:p>
      <w:pPr>
        <w:pStyle w:val="BodyText"/>
      </w:pPr>
      <w:r>
        <w:t xml:space="preserve">Figure 1 shows the manipulated factors on the left: office rents, authority binding, the election rule, and the capability or family of the model that drives each agent. The central construct for Stage 1 is candidacy and electoral competition (P1, P5). Authority binding is expected to raise inequality of access to tasks in Stage 2 (P2), with the dotted arrow showing the moderation by office rents (P3). The election rule is expected to shorten the persistence of control in Stage 3 (P4). The model treats the three outcomes (persistence, inequality, and identity of the holder) as separate and contains no mediating variables beyond candidacy. The link from contest to persistence is inferred from the main effects and is not estimated.</w:t>
      </w:r>
    </w:p>
    <w:p>
      <w:pPr>
        <w:pStyle w:val="BodyText"/>
      </w:pPr>
      <w:r>
        <w:t xml:space="preserve">[Path diagram of the conceptual model, arranged in three stages: office rents and agent capability or family lead to candidacy (Stage 1); authority binding, moderated by office rents, leads to inequality of access (Stage 2); the election rule leads to persistence of control (Stage 3). A note beneath each stage names the capture-logic and specification-logic prediction.]</w:t>
      </w:r>
    </w:p>
    <w:p>
      <w:pPr>
        <w:pStyle w:val="BodyText"/>
      </w:pPr>
      <w:r>
        <w:t xml:space="preserve">Figure 1. Conceptual model and propositions. Solid arrows are main-effect propositions; the dotted arrow is the moderation of the authority effect by office rents (P3). Signs show the direction predicted by the capture logic.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Stage</w:t>
            </w:r>
          </w:p>
        </w:tc>
        <w:tc>
          <w:tcPr/>
          <w:p>
            <w:pPr>
              <w:pStyle w:val="Compact"/>
              <w:jc w:val="left"/>
            </w:pPr>
            <w:r>
              <w:t xml:space="preserve">Capture logic predicts</w:t>
            </w:r>
          </w:p>
        </w:tc>
        <w:tc>
          <w:tcPr/>
          <w:p>
            <w:pPr>
              <w:pStyle w:val="Compact"/>
              <w:jc w:val="left"/>
            </w:pPr>
            <w:r>
              <w:t xml:space="preserve">Specification logic predicts</w:t>
            </w:r>
          </w:p>
        </w:tc>
      </w:tr>
      <w:tr>
        <w:tc>
          <w:tcPr/>
          <w:p>
            <w:pPr>
              <w:pStyle w:val="Compact"/>
              <w:jc w:val="left"/>
            </w:pPr>
            <w:r>
              <w:t xml:space="preserve">P1 Rents and candidacy</w:t>
            </w:r>
          </w:p>
        </w:tc>
        <w:tc>
          <w:tcPr/>
          <w:p>
            <w:pPr>
              <w:pStyle w:val="Compact"/>
              <w:jc w:val="left"/>
            </w:pPr>
            <w:r>
              <w:t xml:space="preserve">Selection</w:t>
            </w:r>
          </w:p>
        </w:tc>
        <w:tc>
          <w:tcPr/>
          <w:p>
            <w:pPr>
              <w:pStyle w:val="Compact"/>
              <w:jc w:val="left"/>
            </w:pPr>
            <w:r>
              <w:t xml:space="preserve">Rents raise candidacy</w:t>
            </w:r>
          </w:p>
        </w:tc>
        <w:tc>
          <w:tcPr/>
          <w:p>
            <w:pPr>
              <w:pStyle w:val="Compact"/>
              <w:jc w:val="left"/>
            </w:pPr>
            <w:r>
              <w:t xml:space="preserve">Rents raise candidacy</w:t>
            </w:r>
          </w:p>
        </w:tc>
      </w:tr>
      <w:tr>
        <w:tc>
          <w:tcPr/>
          <w:p>
            <w:pPr>
              <w:pStyle w:val="Compact"/>
              <w:jc w:val="left"/>
            </w:pPr>
            <w:r>
              <w:t xml:space="preserve">P5 Capability and selection</w:t>
            </w:r>
          </w:p>
        </w:tc>
        <w:tc>
          <w:tcPr/>
          <w:p>
            <w:pPr>
              <w:pStyle w:val="Compact"/>
              <w:jc w:val="left"/>
            </w:pPr>
            <w:r>
              <w:t xml:space="preserve">Selection</w:t>
            </w:r>
          </w:p>
        </w:tc>
        <w:tc>
          <w:tcPr/>
          <w:p>
            <w:pPr>
              <w:pStyle w:val="Compact"/>
              <w:jc w:val="left"/>
            </w:pPr>
            <w:r>
              <w:t xml:space="preserve">More capable agents hold office</w:t>
            </w:r>
          </w:p>
        </w:tc>
        <w:tc>
          <w:tcPr/>
          <w:p>
            <w:pPr>
              <w:pStyle w:val="Compact"/>
              <w:jc w:val="left"/>
            </w:pPr>
            <w:r>
              <w:t xml:space="preserve">Capability and family shift who stands, more than who wins</w:t>
            </w:r>
          </w:p>
        </w:tc>
      </w:tr>
      <w:tr>
        <w:tc>
          <w:tcPr/>
          <w:p>
            <w:pPr>
              <w:pStyle w:val="Compact"/>
              <w:jc w:val="left"/>
            </w:pPr>
            <w:r>
              <w:t xml:space="preserve">P2 Authority and access</w:t>
            </w:r>
          </w:p>
        </w:tc>
        <w:tc>
          <w:tcPr/>
          <w:p>
            <w:pPr>
              <w:pStyle w:val="Compact"/>
              <w:jc w:val="left"/>
            </w:pPr>
            <w:r>
              <w:t xml:space="preserve">Exercise</w:t>
            </w:r>
          </w:p>
        </w:tc>
        <w:tc>
          <w:tcPr/>
          <w:p>
            <w:pPr>
              <w:pStyle w:val="Compact"/>
              <w:jc w:val="left"/>
            </w:pPr>
            <w:r>
              <w:t xml:space="preserve">Binding increases inequality of access</w:t>
            </w:r>
          </w:p>
        </w:tc>
        <w:tc>
          <w:tcPr/>
          <w:p>
            <w:pPr>
              <w:pStyle w:val="Compact"/>
              <w:jc w:val="left"/>
            </w:pPr>
            <w:r>
              <w:t xml:space="preserve">No increase (holders apply fairness heuristics)</w:t>
            </w:r>
          </w:p>
        </w:tc>
      </w:tr>
      <w:tr>
        <w:tc>
          <w:tcPr/>
          <w:p>
            <w:pPr>
              <w:pStyle w:val="Compact"/>
              <w:jc w:val="left"/>
            </w:pPr>
            <w:r>
              <w:t xml:space="preserve">P3 Authority by rents</w:t>
            </w:r>
          </w:p>
        </w:tc>
        <w:tc>
          <w:tcPr/>
          <w:p>
            <w:pPr>
              <w:pStyle w:val="Compact"/>
              <w:jc w:val="left"/>
            </w:pPr>
            <w:r>
              <w:t xml:space="preserve">Exercise</w:t>
            </w:r>
          </w:p>
        </w:tc>
        <w:tc>
          <w:tcPr/>
          <w:p>
            <w:pPr>
              <w:pStyle w:val="Compact"/>
              <w:jc w:val="left"/>
            </w:pPr>
            <w:r>
              <w:t xml:space="preserve">Effect larger with rents</w:t>
            </w:r>
          </w:p>
        </w:tc>
        <w:tc>
          <w:tcPr/>
          <w:p>
            <w:pPr>
              <w:pStyle w:val="Compact"/>
              <w:jc w:val="left"/>
            </w:pPr>
            <w:r>
              <w:t xml:space="preserve">No amplification</w:t>
            </w:r>
          </w:p>
        </w:tc>
      </w:tr>
      <w:tr>
        <w:tc>
          <w:tcPr/>
          <w:p>
            <w:pPr>
              <w:pStyle w:val="Compact"/>
              <w:jc w:val="left"/>
            </w:pPr>
            <w:r>
              <w:t xml:space="preserve">P4 Election rule</w:t>
            </w:r>
          </w:p>
        </w:tc>
        <w:tc>
          <w:tcPr/>
          <w:p>
            <w:pPr>
              <w:pStyle w:val="Compact"/>
              <w:jc w:val="left"/>
            </w:pPr>
            <w:r>
              <w:t xml:space="preserve">Entrenchment</w:t>
            </w:r>
          </w:p>
        </w:tc>
        <w:tc>
          <w:tcPr/>
          <w:p>
            <w:pPr>
              <w:pStyle w:val="Compact"/>
              <w:jc w:val="left"/>
            </w:pPr>
            <w:r>
              <w:t xml:space="preserve">Ranked-choice reduces persistence</w:t>
            </w:r>
          </w:p>
        </w:tc>
        <w:tc>
          <w:tcPr/>
          <w:p>
            <w:pPr>
              <w:pStyle w:val="Compact"/>
              <w:jc w:val="left"/>
            </w:pPr>
            <w:r>
              <w:t xml:space="preserve">No effect unless agents reason about coalitions</w:t>
            </w:r>
          </w:p>
        </w:tc>
      </w:tr>
    </w:tbl>
    <w:p>
      <w:pPr>
        <w:pStyle w:val="BodyText"/>
      </w:pPr>
      <w:r>
        <w:t xml:space="preserve">Table A. Predictions of the two logics for each proposition.</w:t>
      </w:r>
    </w:p>
    <w:bookmarkEnd w:id="26"/>
    <w:bookmarkStart w:id="27" w:name="mechanism-statements-post-hoc"/>
    <w:p>
      <w:pPr>
        <w:pStyle w:val="Heading2"/>
      </w:pPr>
      <w:r>
        <w:t xml:space="preserve">2.6 Mechanism statements (post hoc)</w:t>
      </w:r>
    </w:p>
    <w:p>
      <w:pPr>
        <w:pStyle w:val="FirstParagraph"/>
      </w:pPr>
      <w:r>
        <w:t xml:space="preserve">The results in Section 4 led us to four more specific statements of the specification logic, which we state here so that they can be tested outside the data that suggested them. They were developed after the main results were examined and should be read as hypotheses and not as findings.</w:t>
      </w:r>
    </w:p>
    <w:p>
      <w:pPr>
        <w:pStyle w:val="BodyText"/>
      </w:pPr>
      <w:r>
        <w:rPr>
          <w:iCs/>
          <w:i/>
        </w:rPr>
        <w:t xml:space="preserve">Incentive responsiveness:</w:t>
      </w:r>
      <w:r>
        <w:t xml:space="preserve"> </w:t>
      </w:r>
      <w:r>
        <w:t xml:space="preserve">whether agents stand for office depends on whether the specification attaches a reward to it.</w:t>
      </w:r>
      <w:r>
        <w:t xml:space="preserve"> </w:t>
      </w:r>
      <w:r>
        <w:rPr>
          <w:iCs/>
          <w:i/>
        </w:rPr>
        <w:t xml:space="preserve">Equity default:</w:t>
      </w:r>
      <w:r>
        <w:t xml:space="preserve"> </w:t>
      </w:r>
      <w:r>
        <w:t xml:space="preserve">when nothing in the prompt directs the holder to pursue its own gain, a holder with binding authority applies simple fairness heuristics, favoring agents who have received less and have less, and does not favor itself.</w:t>
      </w:r>
      <w:r>
        <w:t xml:space="preserve"> </w:t>
      </w:r>
      <w:r>
        <w:rPr>
          <w:iCs/>
          <w:i/>
        </w:rPr>
        <w:t xml:space="preserve">Dispositional selection:</w:t>
      </w:r>
      <w:r>
        <w:t xml:space="preserve"> </w:t>
      </w:r>
      <w:r>
        <w:t xml:space="preserve">who stands depends on the model’s disposition to take on roles, which varies with model family and capability, more than on the model’s success in the vote.</w:t>
      </w:r>
      <w:r>
        <w:t xml:space="preserve"> </w:t>
      </w:r>
      <w:r>
        <w:rPr>
          <w:iCs/>
          <w:i/>
        </w:rPr>
        <w:t xml:space="preserve">Limited strategic depth:</w:t>
      </w:r>
      <w:r>
        <w:t xml:space="preserve"> </w:t>
      </w:r>
      <w:r>
        <w:t xml:space="preserve">election rules and vote-for-access exchange matter only to the extent that agents reason about coalitions, and the agents in our setting, which answered directly without hidden reasoning, did so little.</w:t>
      </w:r>
    </w:p>
    <w:p>
      <w:pPr>
        <w:pStyle w:val="BodyText"/>
      </w:pPr>
      <w:r>
        <w:t xml:space="preserve">Each statement can fail. The first fails if rewards for office do not raise candidacy across model families. The second fails if holders favor themselves or past benefactors once the prompt makes their own interest salient. The third fails if differences between models appear mainly in success among candidates. The fourth fails if enabling reasoning makes election rules or vote-for-access exchange matter. Section 5.1 reports how far the data support each statement.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Abstract, Introduction and Theoretical Background (draft 5)</dc:title>
  <dc:creator/>
  <cp:keywords/>
  <dcterms:created xsi:type="dcterms:W3CDTF">2026-10-19T02:57:33Z</dcterms:created>
  <dcterms:modified xsi:type="dcterms:W3CDTF">2026-10-19T02:57:33Z</dcterms:modified>
</cp:coreProperties>
</file>

<file path=docProps/custom.xml><?xml version="1.0" encoding="utf-8"?>
<Properties xmlns="http://schemas.openxmlformats.org/officeDocument/2006/custom-properties" xmlns:vt="http://schemas.openxmlformats.org/officeDocument/2006/docPropsVTypes"/>
</file>