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which is the no-deterrence counterpart of scoring-based audit rules (Dionne et al. 2009) and is not claimed as new in form,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[AUTHORS: verify author lists and venues of these two entries].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In image-classification experiments, an AI that delegated uncertain cases to people improved on the AI alone, whereas people who delegated to the AI did not, because they could not judge accurately which cases they would get wrong (Fügener et al. 2022). Baird and Maruping (2021) argue that IS use research should treat information systems as agents to which people delegate tasks and responsibilities, and they name monitoring and accountability among the mechanisms that coordinate such delegation. Deciding how much of a model’s output to check is a monitoring decision of this kind, which their framework does not analyze quantitatively.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 Audit selection has also been studied as an algorithm-design problem in information systems research: scoring models rank providers or claims by suspicion, and when audited parties respond, the objective is extended to include the deterrence that an audit produces (Bouayad et al. 2019). Scoring-based audit theory likewise yields threshold rules, including under a budget constraint (Dionne et al. 2009). Our setting has the scoring but, absent retraining on audit outcomes, not the deterrence, because the verified content is produced by a model that does not respond to being checked.</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[AUTHORS: verify]. Explanations can reduce overreliance when they are cheap to check (Vasconcelos et al. 2023). A recent economic analysis frames the effects of AI progress as a race between cheap automation and costly human verification (Catalini et al. 2026) [AUTHORS: working paper; verify status].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[AUTHORS: the figures we cite from this study were obtained through a machine-assisted extraction of the paper’s full text and must be checked against the published tables before submission.]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randomized and exists to deter misreporting. When a score of suspicion is available, the optimal audit rule becomes a deterministic</w:t>
      </w:r>
      <w:r>
        <w:t xml:space="preserve"> </w:t>
      </w:r>
      <w:r>
        <w:t xml:space="preserve">“</w:t>
      </w:r>
      <w:r>
        <w:t xml:space="preserve">red flags</w:t>
      </w:r>
      <w:r>
        <w:t xml:space="preserve">”</w:t>
      </w:r>
      <w:r>
        <w:t xml:space="preserve"> </w:t>
      </w:r>
      <w:r>
        <w:t xml:space="preserve">threshold from the auditor’s viewpoint, and deterrence can justify auditing cases whose direct expected gain is negative (Dionne et al. 2009). A language model does not respond strategically to being checked. Its errors arise from a random process whose intensity the organization can estimate, and with no deterrence to produce, the optimal policy is the direct benefit-cost threshold rule (Proposition 4), the counterpart of the scoring-based rule in which every audit must pay for itself. Audit-selection algorithms in information systems research likewise rely on scores that rank items by estimated risk and, when audited parties respond, add deterrence to the objective (Bouayad et al. 2019); our problem retains the scoring and loses the deterrence.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p>
      <w:pPr>
        <w:pStyle w:val="BodyText"/>
      </w:pPr>
      <w:r>
        <w:t xml:space="preserve">Provenance metadata kept to route review should not be confused with labels shown to audiences, because disclosure can change the behavior of those who produce content. In creative work with a text-to-image tool, creators who anticipated that their use of generative AI would be disclosed to an audience largely withdrew from the process and left image generation to the tool; the authors suggest that more nuanced, process-level provenance records, in the manner of content-provenance standards, may mitigate this, and they leave open whether the effect extends to writing and to more technical tasks (Jussupow et al. 2026). Whether recording which model produced a text changes how its authors use the tool is, in our setting, an open question that an experiment would have to answer.</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Explanations attached to a flag are not neutral either: in two experiments with a prediction task, feature-based explanations changed how users weighted information and lowered the investment performance of laypeople relative to opaque predictions, with users updating more toward explanations that confirmed their prior beliefs (Bauer et al. 2023). Those tasks were numerical prediction, not review of generated text, so we treat the result as a reason to test, not to assume, that adding explanations to flags helps reviewers. A related caution concerns redundancy. In image-classification experiments, giving people AI advice raised individual accuracy but made their answers more alike and so reduced the unique knowledge a group of people could contribute (Fügener et al. 2021). If several reviewers see the same machine flag, their misses may become correlated, which would lower the value of a second independent check; we have not modeled this. Our model suggests where such designs matter most: for units of high predicted risk, where the cost of an accepted false flag or a missed error is largest and where direct human verification may dominate screening. Evidence on the limits of self-assessment points the same way: in image-classification experiments, people who chose which cases to delegate to an AI did not improve on working alone, because they misjudged which cases they would classify wrongly (Fügener et al. 2022). This supports routing review by externally recorded signals such as the generating model rather than by the reviewer’s own sense of where errors lie, although those experiments concerned image classification, not checking generated text, and we have no direct test. Experimental work on delegation to an image classifier found that a probability-of-correctness signal shown before a decision and feedback on outcomes shown afterwards helped users judge when to rely on the machine only in combination, each alone having no effect or a negative effect on combined performance (Taudien et al. 2026). The authors caution that such signals help only if they reflect actual performance and vary meaningfully across tasks. The analogue in our setting is the predicted risk of a unit, whose usefulness depends on its calibration and on its dispersion (Proposition 2), with the results of earlier checks playing the role of outcome feedback.</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rPr>
          <w:iCs/>
          <w:i/>
        </w:rPr>
        <w:t xml:space="preserve">Prediction 5.</w:t>
      </w:r>
      <w:r>
        <w:t xml:space="preserve"> </w:t>
      </w:r>
      <w:r>
        <w:t xml:space="preserve">Showing reviewers the predicted risk of each unit together with the outcomes of their earlier checks improves their allocation of effort more than showing either alone. This extends to verification the finding that certainty and outcome information help users decide when to rely on a machine only in combination (Taudien et al. 2026).</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[AUTHORS: every entry must be verified against the original source. Format follows the pattern of reference lists in published ISR articles (surname and initials, year in parentheses, abbreviated journal names); the official INFORMS reference-style guide has not been read, so abbreviations may need adjustment.]</w:t>
      </w:r>
    </w:p>
    <w:p>
      <w:pPr>
        <w:pStyle w:val="BodyText"/>
      </w:pPr>
      <w:r>
        <w:t xml:space="preserve">Baird A, Maruping LM (2021) The next generation of research on IS use: A theoretical framework of delegation to and from agentic IS artifacts.</w:t>
      </w:r>
      <w:r>
        <w:t xml:space="preserve"> </w:t>
      </w:r>
      <w:r>
        <w:rPr>
          <w:iCs/>
          <w:i/>
        </w:rPr>
        <w:t xml:space="preserve">MIS Quart.</w:t>
      </w:r>
      <w:r>
        <w:t xml:space="preserve"> </w:t>
      </w:r>
      <w:r>
        <w:t xml:space="preserve">45(1):315–341.</w:t>
      </w:r>
    </w:p>
    <w:p>
      <w:pPr>
        <w:pStyle w:val="BodyText"/>
      </w:pPr>
      <w:r>
        <w:t xml:space="preserve">Bauer K, von Zahn M, Hinz O (2023) Expl(AI)ned: The impact of explainable artificial intelligence on users’ information processing.</w:t>
      </w:r>
      <w:r>
        <w:t xml:space="preserve"> </w:t>
      </w:r>
      <w:r>
        <w:rPr>
          <w:iCs/>
          <w:i/>
        </w:rPr>
        <w:t xml:space="preserve">Inform. Systems Res.</w:t>
      </w:r>
      <w:r>
        <w:t xml:space="preserve"> </w:t>
      </w:r>
      <w:r>
        <w:t xml:space="preserve">34(4):1582–1602.</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Bouayad L, Padmanabhan B, Chari K (2019) Audit policies under the sentinel effect: Deterrence-driven algorithms.</w:t>
      </w:r>
      <w:r>
        <w:t xml:space="preserve"> </w:t>
      </w:r>
      <w:r>
        <w:rPr>
          <w:iCs/>
          <w:i/>
        </w:rPr>
        <w:t xml:space="preserve">Inform. Systems Res.</w:t>
      </w:r>
      <w:r>
        <w:t xml:space="preserve"> </w:t>
      </w:r>
      <w:r>
        <w:t xml:space="preserve">30(2):466–485.</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 [AUTHORS: verify authors and status.]</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Dionne G, Giuliano F, Picard P (2009) Optimal auditing with scoring: Theory and application to insurance fraud.</w:t>
      </w:r>
      <w:r>
        <w:t xml:space="preserve"> </w:t>
      </w:r>
      <w:r>
        <w:rPr>
          <w:iCs/>
          <w:i/>
        </w:rPr>
        <w:t xml:space="preserve">Management Sci.</w:t>
      </w:r>
      <w:r>
        <w:t xml:space="preserve"> </w:t>
      </w:r>
      <w:r>
        <w:t xml:space="preserve">55(1):58–70.</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Jussupow E, Bauer K, Heigl RM, Vogt B, Hinz O (2026) The indirect disclosure effect: How disclosing generative AI use impacts human creative collaboration with AI.</w:t>
      </w:r>
      <w:r>
        <w:t xml:space="preserve"> </w:t>
      </w:r>
      <w:r>
        <w:rPr>
          <w:iCs/>
          <w:i/>
        </w:rPr>
        <w:t xml:space="preserve">Inform. Systems Res.</w:t>
      </w:r>
      <w:r>
        <w:t xml:space="preserve"> </w:t>
      </w:r>
      <w:r>
        <w:t xml:space="preserve">Published online ahead of print August 27, https://doi.org/10.1287/isre.2024.0951.</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et al.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 [AUTHORS: complete author list and venue.]</w:t>
      </w:r>
    </w:p>
    <w:p>
      <w:pPr>
        <w:pStyle w:val="BodyText"/>
      </w:pPr>
      <w:r>
        <w:t xml:space="preserve">Taudien A, Fügener A, Gupta A, Ketter W (2026) Enhancing AI use: How complementary system information drives delegation frequency and effectiveness.</w:t>
      </w:r>
      <w:r>
        <w:t xml:space="preserve"> </w:t>
      </w:r>
      <w:r>
        <w:rPr>
          <w:iCs/>
          <w:i/>
        </w:rPr>
        <w:t xml:space="preserve">Inform. Systems Res.</w:t>
      </w:r>
      <w:r>
        <w:t xml:space="preserve"> </w:t>
      </w:r>
      <w:r>
        <w:t xml:space="preserve">Published online ahead of print September 4, https://doi.org/10.1287/isre.2024.1330. [AUTHORS: update volume and pages if the article has appeared in an issue.]</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et al. (2025) Investigating factuality in long-form text generation: The roles of self-known and self-unknown.</w:t>
      </w:r>
      <w:r>
        <w:t xml:space="preserve"> </w:t>
      </w:r>
      <w:r>
        <w:rPr>
          <w:iCs/>
          <w:i/>
        </w:rPr>
        <w:t xml:space="preserve">Proc. 2025 Conf. Empirical Methods Natural Language Processing</w:t>
      </w:r>
      <w:r>
        <w:t xml:space="preserve">. arXiv:2411.15993. [AUTHORS: complete author list.]</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et al. (2024) Long-form factuality in large language models.</w:t>
      </w:r>
      <w:r>
        <w:t xml:space="preserve"> </w:t>
      </w:r>
      <w:r>
        <w:rPr>
          <w:iCs/>
          <w:i/>
        </w:rPr>
        <w:t xml:space="preserve">Adv. Neural Inform. Processing Systems</w:t>
      </w:r>
      <w:r>
        <w:t xml:space="preserve">, vol. 37. arXiv:2403.18802. [AUTHORS: complete author list.]</w:t>
      </w:r>
    </w:p>
    <w:p>
      <w:pPr>
        <w:pStyle w:val="BodyText"/>
      </w:pPr>
      <w:r>
        <w:t xml:space="preserve">Yang, et al. (2025) Hallucinate at the last in long response generation: A case study on long document summarization. Preprint, arXiv:2505.15291. [AUTHORS: complete author list and venue.]</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2026-10-28T13:14:36Z</dcterms:created>
  <dcterms:modified xsi:type="dcterms:W3CDTF">2026-10-28T13:14:36Z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