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17b4b5727381af4ae5ecb9060347b5f35de9e03"/>
    <w:p>
      <w:pPr>
        <w:pStyle w:val="Heading1"/>
      </w:pPr>
      <w:r>
        <w:t xml:space="preserve">Online Appendix to</w:t>
      </w:r>
      <w:r>
        <w:t xml:space="preserve"> </w:t>
      </w:r>
      <w:r>
        <w:t xml:space="preserve">“</w:t>
      </w:r>
      <w:r>
        <w:t xml:space="preserve">Where to Look First: Heterogeneity, Position, and the Value of Targeted Verification of Language-Model Output</w:t>
      </w:r>
      <w:r>
        <w:t xml:space="preserve">”</w:t>
      </w:r>
    </w:p>
    <w:bookmarkStart w:id="20" w:name="online-appendix-a.-proofs"/>
    <w:p>
      <w:pPr>
        <w:pStyle w:val="Heading2"/>
      </w:pPr>
      <w:r>
        <w:t xml:space="preserve">Online Appendix A. Proofs</w:t>
      </w:r>
    </w:p>
    <w:p>
      <w:pPr>
        <w:pStyle w:val="FirstParagraph"/>
      </w:pPr>
      <w:r>
        <w:rPr>
          <w:bCs/>
          <w:b/>
        </w:rPr>
        <w:t xml:space="preserve">Proof of Lemma 1.</w:t>
      </w:r>
      <w:r>
        <w:t xml:space="preserve"> </w:t>
      </w:r>
      <w:r>
        <w:t xml:space="preserve">By conditional independence given (</w:t>
      </w:r>
      <w:r>
        <w:rPr>
          <w:iCs/>
          <w:i/>
        </w:rPr>
        <w:t xml:space="preserve">x</w:t>
      </w:r>
      <w:r>
        <w:t xml:space="preserve">, Θ), Var(</w:t>
      </w:r>
      <w:r>
        <w:rPr>
          <w:iCs/>
          <w:i/>
        </w:rPr>
        <w:t xml:space="preserve">N</w:t>
      </w:r>
      <w:r>
        <w:t xml:space="preserve">) = E[Var(</w:t>
      </w:r>
      <w:r>
        <w:rPr>
          <w:iCs/>
          <w:i/>
        </w:rPr>
        <w:t xml:space="preserve">N</w:t>
      </w:r>
      <w:r>
        <w:t xml:space="preserve"> </w:t>
      </w:r>
      <w:r>
        <w:t xml:space="preserve">| Θ)] + Var(E[</w:t>
      </w:r>
      <w:r>
        <w:rPr>
          <w:iCs/>
          <w:i/>
        </w:rPr>
        <w:t xml:space="preserve">N</w:t>
      </w:r>
      <w:r>
        <w:t xml:space="preserve"> </w:t>
      </w:r>
      <w:r>
        <w:t xml:space="preserve">| Θ]) = Σ E[</w:t>
      </w:r>
      <w:r>
        <w:rPr>
          <w:iCs/>
          <w:i/>
        </w:rPr>
        <w:t xml:space="preserve">p</w:t>
      </w:r>
      <w:r>
        <w:rPr>
          <w:vertAlign w:val="subscript"/>
          <w:iCs/>
          <w:i/>
        </w:rPr>
        <w:t xml:space="preserve">t</w:t>
      </w:r>
      <w:r>
        <w:t xml:space="preserve">(1 −</w:t>
      </w:r>
      <w:r>
        <w:t xml:space="preserve"> </w:t>
      </w:r>
      <w:r>
        <w:rPr>
          <w:iCs/>
          <w:i/>
        </w:rPr>
        <w:t xml:space="preserve">p</w:t>
      </w:r>
      <w:r>
        <w:rPr>
          <w:vertAlign w:val="subscript"/>
          <w:iCs/>
          <w:i/>
        </w:rPr>
        <w:t xml:space="preserve">t</w:t>
      </w:r>
      <w:r>
        <w:t xml:space="preserve">)] + Var(Σ</w:t>
      </w:r>
      <w:r>
        <w:t xml:space="preserve"> </w:t>
      </w:r>
      <w:r>
        <w:rPr>
          <w:iCs/>
          <w:i/>
        </w:rPr>
        <w:t xml:space="preserve">p</w:t>
      </w:r>
      <w:r>
        <w:rPr>
          <w:vertAlign w:val="subscript"/>
          <w:iCs/>
          <w:i/>
        </w:rPr>
        <w:t xml:space="preserve">t</w:t>
      </w:r>
      <w:r>
        <w:t xml:space="preserve">). Now E[</w:t>
      </w:r>
      <w:r>
        <w:rPr>
          <w:iCs/>
          <w:i/>
        </w:rPr>
        <w:t xml:space="preserve">p</w:t>
      </w:r>
      <w:r>
        <w:rPr>
          <w:vertAlign w:val="subscript"/>
          <w:iCs/>
          <w:i/>
        </w:rPr>
        <w:t xml:space="preserve">t</w:t>
      </w:r>
      <w:r>
        <w:t xml:space="preserve">(1 −</w:t>
      </w:r>
      <w:r>
        <w:t xml:space="preserve"> </w:t>
      </w:r>
      <w:r>
        <w:rPr>
          <w:iCs/>
          <w:i/>
        </w:rPr>
        <w:t xml:space="preserve">p</w:t>
      </w:r>
      <w:r>
        <w:rPr>
          <w:vertAlign w:val="subscript"/>
          <w:iCs/>
          <w:i/>
        </w:rPr>
        <w:t xml:space="preserve">t</w:t>
      </w:r>
      <w:r>
        <w:t xml:space="preserve">)] =</w:t>
      </w:r>
      <w:r>
        <w:t xml:space="preserve"> </w:t>
      </w:r>
      <w:r>
        <w:rPr>
          <w:iCs/>
          <w:i/>
        </w:rPr>
        <w:t xml:space="preserve">p̄</w:t>
      </w:r>
      <w:r>
        <w:rPr>
          <w:vertAlign w:val="subscript"/>
          <w:iCs/>
          <w:i/>
        </w:rPr>
        <w:t xml:space="preserve">t</w:t>
      </w:r>
      <w:r>
        <w:t xml:space="preserve"> </w:t>
      </w:r>
      <w:r>
        <w:t xml:space="preserve">− E[</w:t>
      </w:r>
      <w:r>
        <w:rPr>
          <w:iCs/>
          <w:i/>
        </w:rPr>
        <w:t xml:space="preserve">p</w:t>
      </w:r>
      <w:r>
        <w:rPr>
          <w:vertAlign w:val="subscript"/>
          <w:iCs/>
          <w:i/>
        </w:rPr>
        <w:t xml:space="preserve">t</w:t>
      </w:r>
      <w:r>
        <w:t xml:space="preserve">²] =</w:t>
      </w:r>
      <w:r>
        <w:t xml:space="preserve"> </w:t>
      </w:r>
      <w:r>
        <w:rPr>
          <w:iCs/>
          <w:i/>
        </w:rPr>
        <w:t xml:space="preserve">p̄</w:t>
      </w:r>
      <w:r>
        <w:rPr>
          <w:vertAlign w:val="subscript"/>
          <w:iCs/>
          <w:i/>
        </w:rPr>
        <w:t xml:space="preserve">t</w:t>
      </w:r>
      <w:r>
        <w:t xml:space="preserve">(1 −</w:t>
      </w:r>
      <w:r>
        <w:t xml:space="preserve"> </w:t>
      </w:r>
      <w:r>
        <w:rPr>
          <w:iCs/>
          <w:i/>
        </w:rPr>
        <w:t xml:space="preserve">p̄</w:t>
      </w:r>
      <w:r>
        <w:rPr>
          <w:vertAlign w:val="subscript"/>
          <w:iCs/>
          <w:i/>
        </w:rPr>
        <w:t xml:space="preserve">t</w:t>
      </w:r>
      <w:r>
        <w:t xml:space="preserve">) − Var(</w:t>
      </w:r>
      <w:r>
        <w:rPr>
          <w:iCs/>
          <w:i/>
        </w:rPr>
        <w:t xml:space="preserve">p</w:t>
      </w:r>
      <w:r>
        <w:rPr>
          <w:vertAlign w:val="subscript"/>
          <w:iCs/>
          <w:i/>
        </w:rPr>
        <w:t xml:space="preserve">t</w:t>
      </w:r>
      <w:r>
        <w:t xml:space="preserve">), and Var(Σ</w:t>
      </w:r>
      <w:r>
        <w:t xml:space="preserve"> </w:t>
      </w:r>
      <w:r>
        <w:rPr>
          <w:iCs/>
          <w:i/>
        </w:rPr>
        <w:t xml:space="preserve">p</w:t>
      </w:r>
      <w:r>
        <w:rPr>
          <w:vertAlign w:val="subscript"/>
          <w:iCs/>
          <w:i/>
        </w:rPr>
        <w:t xml:space="preserve">t</w:t>
      </w:r>
      <w:r>
        <w:t xml:space="preserve">) = Σ Var(</w:t>
      </w:r>
      <w:r>
        <w:rPr>
          <w:iCs/>
          <w:i/>
        </w:rPr>
        <w:t xml:space="preserve">p</w:t>
      </w:r>
      <w:r>
        <w:rPr>
          <w:vertAlign w:val="subscript"/>
          <w:iCs/>
          <w:i/>
        </w:rPr>
        <w:t xml:space="preserve">t</w:t>
      </w:r>
      <w:r>
        <w:t xml:space="preserve">) + Σ</w:t>
      </w:r>
      <w:r>
        <w:rPr>
          <w:vertAlign w:val="subscript"/>
        </w:rPr>
        <w:t xml:space="preserve">s≠t</w:t>
      </w:r>
      <w:r>
        <w:t xml:space="preserve"> </w:t>
      </w:r>
      <w:r>
        <w:t xml:space="preserve">Cov(</w:t>
      </w:r>
      <w:r>
        <w:rPr>
          <w:iCs/>
          <w:i/>
        </w:rPr>
        <w:t xml:space="preserve">p</w:t>
      </w:r>
      <w:r>
        <w:rPr>
          <w:vertAlign w:val="subscript"/>
          <w:iCs/>
          <w:i/>
        </w:rPr>
        <w:t xml:space="preserve">s</w:t>
      </w:r>
      <w:r>
        <w:t xml:space="preserve">,</w:t>
      </w:r>
      <w:r>
        <w:t xml:space="preserve"> </w:t>
      </w:r>
      <w:r>
        <w:rPr>
          <w:iCs/>
          <w:i/>
        </w:rPr>
        <w:t xml:space="preserve">p</w:t>
      </w:r>
      <w:r>
        <w:rPr>
          <w:vertAlign w:val="subscript"/>
          <w:iCs/>
          <w:i/>
        </w:rPr>
        <w:t xml:space="preserve">t</w:t>
      </w:r>
      <w:r>
        <w:t xml:space="preserve">). Adding the two expressions cancels the variances. ∎</w:t>
      </w:r>
    </w:p>
    <w:p>
      <w:pPr>
        <w:pStyle w:val="BodyText"/>
      </w:pPr>
      <w:r>
        <w:rPr>
          <w:bCs/>
          <w:b/>
        </w:rPr>
        <w:t xml:space="preserve">Proof of Proposition 1.</w:t>
      </w:r>
      <w:r>
        <w:t xml:space="preserve"> </w:t>
      </w:r>
      <w:r>
        <w:t xml:space="preserve">With equal costs the objective is linear in</w:t>
      </w:r>
      <w:r>
        <w:t xml:space="preserve"> </w:t>
      </w:r>
      <w:r>
        <w:rPr>
          <w:bCs/>
          <w:b/>
        </w:rPr>
        <w:t xml:space="preserve">v</w:t>
      </w:r>
      <w:r>
        <w:t xml:space="preserve">, so the optimal plan verifies the</w:t>
      </w:r>
      <w:r>
        <w:t xml:space="preserve"> </w:t>
      </w:r>
      <w:r>
        <w:rPr>
          <w:iCs/>
          <w:i/>
        </w:rPr>
        <w:t xml:space="preserve">B</w:t>
      </w:r>
      <w:r>
        <w:t xml:space="preserve"> </w:t>
      </w:r>
      <w:r>
        <w:t xml:space="preserve">units with the largest</w:t>
      </w:r>
      <w:r>
        <w:t xml:space="preserve"> </w:t>
      </w:r>
      <w:r>
        <w:rPr>
          <w:iCs/>
          <w:i/>
        </w:rPr>
        <w:t xml:space="preserve">q</w:t>
      </w:r>
      <w:r>
        <w:t xml:space="preserve">. Since</w:t>
      </w:r>
      <w:r>
        <w:t xml:space="preserve"> </w:t>
      </w:r>
      <w:r>
        <w:rPr>
          <w:iCs/>
          <w:i/>
        </w:rPr>
        <w:t xml:space="preserve">h</w:t>
      </w:r>
      <w:r>
        <w:t xml:space="preserve"> </w:t>
      </w:r>
      <w:r>
        <w:t xml:space="preserve">is increasing, the ranking of</w:t>
      </w:r>
      <w:r>
        <w:t xml:space="preserve"> </w:t>
      </w:r>
      <w:r>
        <w:rPr>
          <w:iCs/>
          <w:i/>
        </w:rPr>
        <w:t xml:space="preserve">q</w:t>
      </w:r>
      <w:r>
        <w:t xml:space="preserve"> </w:t>
      </w:r>
      <w:r>
        <w:t xml:space="preserve">equals the ranking of</w:t>
      </w:r>
      <w:r>
        <w:t xml:space="preserve"> </w:t>
      </w:r>
      <w:r>
        <w:rPr>
          <w:iCs/>
          <w:i/>
        </w:rPr>
        <w:t xml:space="preserve">u</w:t>
      </w:r>
      <w:r>
        <w:t xml:space="preserve">, so the verified set is {</w:t>
      </w:r>
      <w:r>
        <w:rPr>
          <w:iCs/>
          <w:i/>
        </w:rPr>
        <w:t xml:space="preserve">u</w:t>
      </w:r>
      <w:r>
        <w:t xml:space="preserve"> </w:t>
      </w:r>
      <w:r>
        <w:t xml:space="preserve">≥ threshold}. If</w:t>
      </w:r>
      <w:r>
        <w:t xml:space="preserve"> </w:t>
      </w:r>
      <w:r>
        <w:rPr>
          <w:iCs/>
          <w:i/>
        </w:rPr>
        <w:t xml:space="preserve">f</w:t>
      </w:r>
      <w:r>
        <w:t xml:space="preserve"> </w:t>
      </w:r>
      <w:r>
        <w:t xml:space="preserve">is quasi-convex, then for a fixed</w:t>
      </w:r>
      <w:r>
        <w:t xml:space="preserve"> </w:t>
      </w:r>
      <w:r>
        <w:rPr>
          <w:iCs/>
          <w:i/>
        </w:rPr>
        <w:t xml:space="preserve">a</w:t>
      </w:r>
      <w:r>
        <w:rPr>
          <w:vertAlign w:val="subscript"/>
          <w:iCs/>
          <w:i/>
        </w:rPr>
        <w:t xml:space="preserve">d</w:t>
      </w:r>
      <w:r>
        <w:t xml:space="preserve"> </w:t>
      </w:r>
      <w:r>
        <w:t xml:space="preserve">= β′</w:t>
      </w:r>
      <w:r>
        <w:rPr>
          <w:iCs/>
          <w:i/>
        </w:rPr>
        <w:t xml:space="preserve">x</w:t>
      </w:r>
      <w:r>
        <w:rPr>
          <w:vertAlign w:val="subscript"/>
          <w:iCs/>
          <w:i/>
        </w:rPr>
        <w:t xml:space="preserve">d</w:t>
      </w:r>
      <w:r>
        <w:t xml:space="preserve"> </w:t>
      </w:r>
      <w:r>
        <w:t xml:space="preserve">the set {</w:t>
      </w:r>
      <w:r>
        <w:rPr>
          <w:iCs/>
          <w:i/>
        </w:rPr>
        <w:t xml:space="preserve">t</w:t>
      </w:r>
      <w:r>
        <w:t xml:space="preserve"> </w:t>
      </w:r>
      <w:r>
        <w:t xml:space="preserve">:</w:t>
      </w:r>
      <w:r>
        <w:t xml:space="preserve"> </w:t>
      </w:r>
      <w:r>
        <w:rPr>
          <w:iCs/>
          <w:i/>
        </w:rPr>
        <w:t xml:space="preserve">f</w:t>
      </w:r>
      <w:r>
        <w:t xml:space="preserve">(</w:t>
      </w:r>
      <w:r>
        <w:rPr>
          <w:iCs/>
          <w:i/>
        </w:rPr>
        <w:t xml:space="preserve">t</w:t>
      </w:r>
      <w:r>
        <w:t xml:space="preserve">) +</w:t>
      </w:r>
      <w:r>
        <w:t xml:space="preserve"> </w:t>
      </w:r>
      <w:r>
        <w:rPr>
          <w:iCs/>
          <w:i/>
        </w:rPr>
        <w:t xml:space="preserve">a</w:t>
      </w:r>
      <w:r>
        <w:rPr>
          <w:vertAlign w:val="subscript"/>
          <w:iCs/>
          <w:i/>
        </w:rPr>
        <w:t xml:space="preserve">d</w:t>
      </w:r>
      <w:r>
        <w:t xml:space="preserve"> </w:t>
      </w:r>
      <w:r>
        <w:t xml:space="preserve">≥</w:t>
      </w:r>
      <w:r>
        <w:t xml:space="preserve"> </w:t>
      </w:r>
      <w:r>
        <w:rPr>
          <w:iCs/>
          <w:i/>
        </w:rPr>
        <w:t xml:space="preserve">c</w:t>
      </w:r>
      <w:r>
        <w:t xml:space="preserve">} is the complement of an interval, that is, an initial block together with a final block. The blocks widen as the threshold falls. ∎</w:t>
      </w:r>
    </w:p>
    <w:p>
      <w:pPr>
        <w:pStyle w:val="BodyText"/>
      </w:pPr>
      <w:r>
        <w:rPr>
          <w:bCs/>
          <w:b/>
        </w:rPr>
        <w:t xml:space="preserve">Proof of Proposition 2.</w:t>
      </w:r>
      <w:r>
        <w:t xml:space="preserve"> </w:t>
      </w:r>
      <w:r>
        <w:t xml:space="preserve">The sum of the</w:t>
      </w:r>
      <w:r>
        <w:t xml:space="preserve"> </w:t>
      </w:r>
      <w:r>
        <w:rPr>
          <w:iCs/>
          <w:i/>
        </w:rPr>
        <w:t xml:space="preserve">k</w:t>
      </w:r>
      <w:r>
        <w:t xml:space="preserve"> </w:t>
      </w:r>
      <w:r>
        <w:t xml:space="preserve">largest entries of a vector is the maximum, over all subsets of size</w:t>
      </w:r>
      <w:r>
        <w:t xml:space="preserve"> </w:t>
      </w:r>
      <w:r>
        <w:rPr>
          <w:iCs/>
          <w:i/>
        </w:rPr>
        <w:t xml:space="preserve">k</w:t>
      </w:r>
      <w:r>
        <w:t xml:space="preserve">, of a linear function of the vector, and it is symmetric in its arguments; hence it is Schur-convex (Marshall et al. 2011). The term (</w:t>
      </w:r>
      <w:r>
        <w:rPr>
          <w:iCs/>
          <w:i/>
        </w:rPr>
        <w:t xml:space="preserve">k</w:t>
      </w:r>
      <w:r>
        <w:t xml:space="preserve">/</w:t>
      </w:r>
      <w:r>
        <w:rPr>
          <w:iCs/>
          <w:i/>
        </w:rPr>
        <w:t xml:space="preserve">N</w:t>
      </w:r>
      <w:r>
        <w:t xml:space="preserve">) Σ</w:t>
      </w:r>
      <w:r>
        <w:t xml:space="preserve"> </w:t>
      </w:r>
      <w:r>
        <w:rPr>
          <w:iCs/>
          <w:i/>
        </w:rPr>
        <w:t xml:space="preserve">q</w:t>
      </w:r>
      <w:r>
        <w:rPr>
          <w:vertAlign w:val="subscript"/>
          <w:iCs/>
          <w:i/>
        </w:rPr>
        <w:t xml:space="preserve">i</w:t>
      </w:r>
      <w:r>
        <w:t xml:space="preserve"> </w:t>
      </w:r>
      <w:r>
        <w:t xml:space="preserve">is constant for vectors with a common sum. If all entries are equal, the top-</w:t>
      </w:r>
      <w:r>
        <w:rPr>
          <w:iCs/>
          <w:i/>
        </w:rPr>
        <w:t xml:space="preserve">k</w:t>
      </w:r>
      <w:r>
        <w:t xml:space="preserve"> </w:t>
      </w:r>
      <w:r>
        <w:t xml:space="preserve">sum equals (</w:t>
      </w:r>
      <w:r>
        <w:rPr>
          <w:iCs/>
          <w:i/>
        </w:rPr>
        <w:t xml:space="preserve">k</w:t>
      </w:r>
      <w:r>
        <w:t xml:space="preserve">/</w:t>
      </w:r>
      <w:r>
        <w:rPr>
          <w:iCs/>
          <w:i/>
        </w:rPr>
        <w:t xml:space="preserve">N</w:t>
      </w:r>
      <w:r>
        <w:t xml:space="preserve">) Σ</w:t>
      </w:r>
      <w:r>
        <w:t xml:space="preserve"> </w:t>
      </w:r>
      <w:r>
        <w:rPr>
          <w:iCs/>
          <w:i/>
        </w:rPr>
        <w:t xml:space="preserve">q</w:t>
      </w:r>
      <w:r>
        <w:rPr>
          <w:vertAlign w:val="subscript"/>
          <w:iCs/>
          <w:i/>
        </w:rPr>
        <w:t xml:space="preserve">i</w:t>
      </w:r>
      <w:r>
        <w:t xml:space="preserve">. ∎</w:t>
      </w:r>
    </w:p>
    <w:p>
      <w:pPr>
        <w:pStyle w:val="BodyText"/>
      </w:pPr>
      <w:r>
        <w:rPr>
          <w:bCs/>
          <w:b/>
        </w:rPr>
        <w:t xml:space="preserve">Proof of Proposition 3.</w:t>
      </w:r>
      <w:r>
        <w:t xml:space="preserve"> </w:t>
      </w:r>
      <w:r>
        <w:t xml:space="preserve">Fix any posterior of</w:t>
      </w:r>
      <w:r>
        <w:t xml:space="preserve"> </w:t>
      </w:r>
      <w:r>
        <w:rPr>
          <w:iCs/>
          <w:i/>
        </w:rPr>
        <w:t xml:space="preserve">Z</w:t>
      </w:r>
      <w:r>
        <w:rPr>
          <w:vertAlign w:val="subscript"/>
          <w:iCs/>
          <w:i/>
        </w:rPr>
        <w:t xml:space="preserve">d</w:t>
      </w:r>
      <w:r>
        <w:t xml:space="preserve">. The posterior predictive probability of unit</w:t>
      </w:r>
      <w:r>
        <w:t xml:space="preserve"> </w:t>
      </w:r>
      <w:r>
        <w:rPr>
          <w:iCs/>
          <w:i/>
        </w:rPr>
        <w:t xml:space="preserve">t</w:t>
      </w:r>
      <w:r>
        <w:t xml:space="preserve"> </w:t>
      </w:r>
      <w:r>
        <w:t xml:space="preserve">is E[σ(</w:t>
      </w:r>
      <w:r>
        <w:rPr>
          <w:iCs/>
          <w:i/>
        </w:rPr>
        <w:t xml:space="preserve">f</w:t>
      </w:r>
      <w:r>
        <w:t xml:space="preserve">(</w:t>
      </w:r>
      <w:r>
        <w:rPr>
          <w:iCs/>
          <w:i/>
        </w:rPr>
        <w:t xml:space="preserve">t</w:t>
      </w:r>
      <w:r>
        <w:t xml:space="preserve">) + β′</w:t>
      </w:r>
      <w:r>
        <w:rPr>
          <w:iCs/>
          <w:i/>
        </w:rPr>
        <w:t xml:space="preserve">x</w:t>
      </w:r>
      <w:r>
        <w:rPr>
          <w:vertAlign w:val="subscript"/>
          <w:iCs/>
          <w:i/>
        </w:rPr>
        <w:t xml:space="preserve">d</w:t>
      </w:r>
      <w:r>
        <w:t xml:space="preserve"> </w:t>
      </w:r>
      <w:r>
        <w:t xml:space="preserve">+</w:t>
      </w:r>
      <w:r>
        <w:t xml:space="preserve"> </w:t>
      </w:r>
      <w:r>
        <w:rPr>
          <w:iCs/>
          <w:i/>
        </w:rPr>
        <w:t xml:space="preserve">Z</w:t>
      </w:r>
      <w:r>
        <w:rPr>
          <w:vertAlign w:val="subscript"/>
          <w:iCs/>
          <w:i/>
        </w:rPr>
        <w:t xml:space="preserve">d</w:t>
      </w:r>
      <w:r>
        <w:t xml:space="preserve">) | data], which is increasing in</w:t>
      </w:r>
      <w:r>
        <w:t xml:space="preserve"> </w:t>
      </w:r>
      <w:r>
        <w:rPr>
          <w:iCs/>
          <w:i/>
        </w:rPr>
        <w:t xml:space="preserve">f</w:t>
      </w:r>
      <w:r>
        <w:t xml:space="preserve">(</w:t>
      </w:r>
      <w:r>
        <w:rPr>
          <w:iCs/>
          <w:i/>
        </w:rPr>
        <w:t xml:space="preserve">t</w:t>
      </w:r>
      <w:r>
        <w:t xml:space="preserve">) + β′</w:t>
      </w:r>
      <w:r>
        <w:rPr>
          <w:iCs/>
          <w:i/>
        </w:rPr>
        <w:t xml:space="preserve">x</w:t>
      </w:r>
      <w:r>
        <w:rPr>
          <w:vertAlign w:val="subscript"/>
          <w:iCs/>
          <w:i/>
        </w:rPr>
        <w:t xml:space="preserve">d</w:t>
      </w:r>
      <w:r>
        <w:t xml:space="preserve"> </w:t>
      </w:r>
      <w:r>
        <w:t xml:space="preserve">for every posterior because σ is increasing. The units of one document share the posterior and β′</w:t>
      </w:r>
      <w:r>
        <w:rPr>
          <w:iCs/>
          <w:i/>
        </w:rPr>
        <w:t xml:space="preserve">x</w:t>
      </w:r>
      <w:r>
        <w:rPr>
          <w:vertAlign w:val="subscript"/>
          <w:iCs/>
          <w:i/>
        </w:rPr>
        <w:t xml:space="preserve">d</w:t>
      </w:r>
      <w:r>
        <w:t xml:space="preserve">, so their order by posterior predictive probability is the order of</w:t>
      </w:r>
      <w:r>
        <w:t xml:space="preserve"> </w:t>
      </w:r>
      <w:r>
        <w:rPr>
          <w:iCs/>
          <w:i/>
        </w:rPr>
        <w:t xml:space="preserve">f</w:t>
      </w:r>
      <w:r>
        <w:t xml:space="preserve">(</w:t>
      </w:r>
      <w:r>
        <w:rPr>
          <w:iCs/>
          <w:i/>
        </w:rPr>
        <w:t xml:space="preserve">t</w:t>
      </w:r>
      <w:r>
        <w:t xml:space="preserve">). With per-document budgets an adaptive policy therefore verifies the same units as a static one. Between documents the posterior means of</w:t>
      </w:r>
      <w:r>
        <w:t xml:space="preserve"> </w:t>
      </w:r>
      <w:r>
        <w:rPr>
          <w:iCs/>
          <w:i/>
        </w:rPr>
        <w:t xml:space="preserve">Z</w:t>
      </w:r>
      <w:r>
        <w:rPr>
          <w:vertAlign w:val="subscript"/>
          <w:iCs/>
          <w:i/>
        </w:rPr>
        <w:t xml:space="preserve">d</w:t>
      </w:r>
      <w:r>
        <w:t xml:space="preserve"> </w:t>
      </w:r>
      <w:r>
        <w:t xml:space="preserve">differ and can reverse the order of units, which is the only source of gain. ∎</w:t>
      </w:r>
    </w:p>
    <w:p>
      <w:pPr>
        <w:pStyle w:val="BodyText"/>
      </w:pPr>
      <w:r>
        <w:rPr>
          <w:bCs/>
          <w:b/>
        </w:rPr>
        <w:t xml:space="preserve">Proof of Proposition 4.</w:t>
      </w:r>
      <w:r>
        <w:t xml:space="preserve"> </w:t>
      </w:r>
      <w:r>
        <w:t xml:space="preserve">The cost is separable and linear in each</w:t>
      </w:r>
      <w:r>
        <w:t xml:space="preserve"> </w:t>
      </w:r>
      <w:r>
        <w:rPr>
          <w:iCs/>
          <w:i/>
        </w:rPr>
        <w:t xml:space="preserve">v</w:t>
      </w:r>
      <w:r>
        <w:rPr>
          <w:vertAlign w:val="subscript"/>
          <w:iCs/>
          <w:i/>
        </w:rPr>
        <w:t xml:space="preserve">t</w:t>
      </w:r>
      <w:r>
        <w:t xml:space="preserve">, so the rule is a unit-by-unit comparison of δ</w:t>
      </w:r>
      <w:r>
        <w:t xml:space="preserve"> </w:t>
      </w:r>
      <w:r>
        <w:rPr>
          <w:iCs/>
          <w:i/>
        </w:rPr>
        <w:t xml:space="preserve">L q</w:t>
      </w:r>
      <w:r>
        <w:rPr>
          <w:vertAlign w:val="subscript"/>
          <w:iCs/>
          <w:i/>
        </w:rPr>
        <w:t xml:space="preserve">t</w:t>
      </w:r>
      <w:r>
        <w:t xml:space="preserve"> </w:t>
      </w:r>
      <w:r>
        <w:t xml:space="preserve">with</w:t>
      </w:r>
      <w:r>
        <w:t xml:space="preserve"> </w:t>
      </w:r>
      <w:r>
        <w:rPr>
          <w:iCs/>
          <w:i/>
        </w:rPr>
        <w:t xml:space="preserve">c</w:t>
      </w:r>
      <w:r>
        <w:t xml:space="preserve">. For uniform verification of a fraction φ, the expected benefit is φ Σ</w:t>
      </w:r>
      <w:r>
        <w:t xml:space="preserve"> </w:t>
      </w:r>
      <w:r>
        <w:rPr>
          <w:iCs/>
          <w:i/>
        </w:rPr>
        <w:t xml:space="preserve">a</w:t>
      </w:r>
      <w:r>
        <w:rPr>
          <w:vertAlign w:val="subscript"/>
          <w:iCs/>
          <w:i/>
        </w:rPr>
        <w:t xml:space="preserve">t</w:t>
      </w:r>
      <w:r>
        <w:t xml:space="preserve">, maximized at φ ∈ {0, 1}, giving (Σ</w:t>
      </w:r>
      <w:r>
        <w:t xml:space="preserve"> </w:t>
      </w:r>
      <w:r>
        <w:rPr>
          <w:iCs/>
          <w:i/>
        </w:rPr>
        <w:t xml:space="preserve">a</w:t>
      </w:r>
      <w:r>
        <w:rPr>
          <w:vertAlign w:val="subscript"/>
          <w:iCs/>
          <w:i/>
        </w:rPr>
        <w:t xml:space="preserve">t</w:t>
      </w:r>
      <w:r>
        <w:t xml:space="preserve">)⁺. The identity Σ</w:t>
      </w:r>
      <w:r>
        <w:t xml:space="preserve"> </w:t>
      </w:r>
      <w:r>
        <w:rPr>
          <w:iCs/>
          <w:i/>
        </w:rPr>
        <w:t xml:space="preserve">a</w:t>
      </w:r>
      <w:r>
        <w:rPr>
          <w:vertAlign w:val="subscript"/>
          <w:iCs/>
          <w:i/>
        </w:rPr>
        <w:t xml:space="preserve">t</w:t>
      </w:r>
      <w:r>
        <w:t xml:space="preserve">⁺ − (Σ</w:t>
      </w:r>
      <w:r>
        <w:t xml:space="preserve"> </w:t>
      </w:r>
      <w:r>
        <w:rPr>
          <w:iCs/>
          <w:i/>
        </w:rPr>
        <w:t xml:space="preserve">a</w:t>
      </w:r>
      <w:r>
        <w:rPr>
          <w:vertAlign w:val="subscript"/>
          <w:iCs/>
          <w:i/>
        </w:rPr>
        <w:t xml:space="preserve">t</w:t>
      </w:r>
      <w:r>
        <w:t xml:space="preserve">)⁺ = Σ</w:t>
      </w:r>
      <w:r>
        <w:t xml:space="preserve"> </w:t>
      </w:r>
      <w:r>
        <w:rPr>
          <w:iCs/>
          <w:i/>
        </w:rPr>
        <w:t xml:space="preserve">a</w:t>
      </w:r>
      <w:r>
        <w:rPr>
          <w:vertAlign w:val="subscript"/>
          <w:iCs/>
          <w:i/>
        </w:rPr>
        <w:t xml:space="preserve">t</w:t>
      </w:r>
      <w:r>
        <w:t xml:space="preserve">⁺ − (Σ</w:t>
      </w:r>
      <w:r>
        <w:t xml:space="preserve"> </w:t>
      </w:r>
      <w:r>
        <w:rPr>
          <w:iCs/>
          <w:i/>
        </w:rPr>
        <w:t xml:space="preserve">a</w:t>
      </w:r>
      <w:r>
        <w:rPr>
          <w:vertAlign w:val="subscript"/>
          <w:iCs/>
          <w:i/>
        </w:rPr>
        <w:t xml:space="preserve">t</w:t>
      </w:r>
      <w:r>
        <w:t xml:space="preserve">⁺ − Σ</w:t>
      </w:r>
      <w:r>
        <w:t xml:space="preserve"> </w:t>
      </w:r>
      <w:r>
        <w:rPr>
          <w:iCs/>
          <w:i/>
        </w:rPr>
        <w:t xml:space="preserve">a</w:t>
      </w:r>
      <w:r>
        <w:rPr>
          <w:vertAlign w:val="subscript"/>
          <w:iCs/>
          <w:i/>
        </w:rPr>
        <w:t xml:space="preserve">t</w:t>
      </w:r>
      <w:r>
        <w:t xml:space="preserve">⁻)⁺ = min(Σ</w:t>
      </w:r>
      <w:r>
        <w:t xml:space="preserve"> </w:t>
      </w:r>
      <w:r>
        <w:rPr>
          <w:iCs/>
          <w:i/>
        </w:rPr>
        <w:t xml:space="preserve">a</w:t>
      </w:r>
      <w:r>
        <w:rPr>
          <w:vertAlign w:val="subscript"/>
          <w:iCs/>
          <w:i/>
        </w:rPr>
        <w:t xml:space="preserve">t</w:t>
      </w:r>
      <w:r>
        <w:t xml:space="preserve">⁺, Σ</w:t>
      </w:r>
      <w:r>
        <w:t xml:space="preserve"> </w:t>
      </w:r>
      <w:r>
        <w:rPr>
          <w:iCs/>
          <w:i/>
        </w:rPr>
        <w:t xml:space="preserve">a</w:t>
      </w:r>
      <w:r>
        <w:rPr>
          <w:vertAlign w:val="subscript"/>
          <w:iCs/>
          <w:i/>
        </w:rPr>
        <w:t xml:space="preserve">t</w:t>
      </w:r>
      <w:r>
        <w:t xml:space="preserve">⁻) completes the proof. ∎</w:t>
      </w:r>
    </w:p>
    <w:p>
      <w:pPr>
        <w:pStyle w:val="BodyText"/>
      </w:pPr>
      <w:r>
        <w:rPr>
          <w:bCs/>
          <w:b/>
        </w:rPr>
        <w:t xml:space="preserve">Proof of Proposition 5.</w:t>
      </w:r>
      <w:r>
        <w:t xml:space="preserve"> </w:t>
      </w:r>
      <w:r>
        <w:rPr>
          <w:iCs/>
          <w:i/>
        </w:rPr>
        <w:t xml:space="preserve">N</w:t>
      </w:r>
      <w:r>
        <w:t xml:space="preserve">,</w:t>
      </w:r>
      <w:r>
        <w:t xml:space="preserve"> </w:t>
      </w:r>
      <w:r>
        <w:rPr>
          <w:iCs/>
          <w:i/>
        </w:rPr>
        <w:t xml:space="preserve">H</w:t>
      </w:r>
      <w:r>
        <w:t xml:space="preserve">, and</w:t>
      </w:r>
      <w:r>
        <w:t xml:space="preserve"> </w:t>
      </w:r>
      <w:r>
        <w:rPr>
          <w:iCs/>
          <w:i/>
        </w:rPr>
        <w:t xml:space="preserve">S</w:t>
      </w:r>
      <w:r>
        <w:t xml:space="preserve"> </w:t>
      </w:r>
      <w:r>
        <w:t xml:space="preserve">are linear in</w:t>
      </w:r>
      <w:r>
        <w:t xml:space="preserve"> </w:t>
      </w:r>
      <w:r>
        <w:rPr>
          <w:iCs/>
          <w:i/>
        </w:rPr>
        <w:t xml:space="preserve">q</w:t>
      </w:r>
      <w:r>
        <w:t xml:space="preserve">, with slopes 0, δ₂</w:t>
      </w:r>
      <w:r>
        <w:t xml:space="preserve"> </w:t>
      </w:r>
      <w:r>
        <w:rPr>
          <w:iCs/>
          <w:i/>
        </w:rPr>
        <w:t xml:space="preserve">L</w:t>
      </w:r>
      <w:r>
        <w:t xml:space="preserve">, and δ₁δ₂</w:t>
      </w:r>
      <w:r>
        <w:t xml:space="preserve"> </w:t>
      </w:r>
      <w:r>
        <w:rPr>
          <w:iCs/>
          <w:i/>
        </w:rPr>
        <w:t xml:space="preserve">L</w:t>
      </w:r>
      <w:r>
        <w:t xml:space="preserve"> </w:t>
      </w:r>
      <w:r>
        <w:t xml:space="preserve">−</w:t>
      </w:r>
      <w:r>
        <w:t xml:space="preserve"> </w:t>
      </w:r>
      <w:r>
        <w:rPr>
          <w:iCs/>
          <w:i/>
        </w:rPr>
        <w:t xml:space="preserve">c₂</w:t>
      </w:r>
      <w:r>
        <w:t xml:space="preserve">(δ₁ −</w:t>
      </w:r>
      <w:r>
        <w:t xml:space="preserve"> </w:t>
      </w:r>
      <w:r>
        <w:rPr>
          <w:iCs/>
          <w:i/>
        </w:rPr>
        <w:t xml:space="preserve">f</w:t>
      </w:r>
      <w:r>
        <w:t xml:space="preserve">₁). The slope of</w:t>
      </w:r>
      <w:r>
        <w:t xml:space="preserve"> </w:t>
      </w:r>
      <w:r>
        <w:rPr>
          <w:iCs/>
          <w:i/>
        </w:rPr>
        <w:t xml:space="preserve">H</w:t>
      </w:r>
      <w:r>
        <w:t xml:space="preserve"> </w:t>
      </w:r>
      <w:r>
        <w:t xml:space="preserve">exceeds that of</w:t>
      </w:r>
      <w:r>
        <w:t xml:space="preserve"> </w:t>
      </w:r>
      <w:r>
        <w:rPr>
          <w:iCs/>
          <w:i/>
        </w:rPr>
        <w:t xml:space="preserve">S</w:t>
      </w:r>
      <w:r>
        <w:t xml:space="preserve"> </w:t>
      </w:r>
      <w:r>
        <w:t xml:space="preserve">by δ₂</w:t>
      </w:r>
      <w:r>
        <w:t xml:space="preserve"> </w:t>
      </w:r>
      <w:r>
        <w:rPr>
          <w:iCs/>
          <w:i/>
        </w:rPr>
        <w:t xml:space="preserve">L</w:t>
      </w:r>
      <w:r>
        <w:t xml:space="preserve">(1 − δ₁) +</w:t>
      </w:r>
      <w:r>
        <w:t xml:space="preserve"> </w:t>
      </w:r>
      <w:r>
        <w:rPr>
          <w:iCs/>
          <w:i/>
        </w:rPr>
        <w:t xml:space="preserve">c₂</w:t>
      </w:r>
      <w:r>
        <w:t xml:space="preserve">(δ₁ −</w:t>
      </w:r>
      <w:r>
        <w:t xml:space="preserve"> </w:t>
      </w:r>
      <w:r>
        <w:rPr>
          <w:iCs/>
          <w:i/>
        </w:rPr>
        <w:t xml:space="preserve">f</w:t>
      </w:r>
      <w:r>
        <w:t xml:space="preserve">₁) &gt; 0, and the slope of</w:t>
      </w:r>
      <w:r>
        <w:t xml:space="preserve"> </w:t>
      </w:r>
      <w:r>
        <w:rPr>
          <w:iCs/>
          <w:i/>
        </w:rPr>
        <w:t xml:space="preserve">S</w:t>
      </w:r>
      <w:r>
        <w:t xml:space="preserve"> </w:t>
      </w:r>
      <w:r>
        <w:t xml:space="preserve">is positive when screening is ever useful. The upper envelope of three lines with ordered slopes consists of the lines in that order, and the middle line contributes if and only if it lies above the intersection of the outer two. That intersection is at</w:t>
      </w:r>
      <w:r>
        <w:t xml:space="preserve"> </w:t>
      </w:r>
      <w:r>
        <w:rPr>
          <w:iCs/>
          <w:i/>
        </w:rPr>
        <w:t xml:space="preserve">q</w:t>
      </w:r>
      <w:r>
        <w:rPr>
          <w:vertAlign w:val="subscript"/>
          <w:iCs/>
          <w:i/>
        </w:rPr>
        <w:t xml:space="preserve">h</w:t>
      </w:r>
      <w:r>
        <w:t xml:space="preserve"> </w:t>
      </w:r>
      <w:r>
        <w:t xml:space="preserve">=</w:t>
      </w:r>
      <w:r>
        <w:t xml:space="preserve"> </w:t>
      </w:r>
      <w:r>
        <w:rPr>
          <w:iCs/>
          <w:i/>
        </w:rPr>
        <w:t xml:space="preserve">c₂</w:t>
      </w:r>
      <w:r>
        <w:t xml:space="preserve">/(δ₂</w:t>
      </w:r>
      <w:r>
        <w:t xml:space="preserve"> </w:t>
      </w:r>
      <w:r>
        <w:rPr>
          <w:iCs/>
          <w:i/>
        </w:rPr>
        <w:t xml:space="preserve">L</w:t>
      </w:r>
      <w:r>
        <w:t xml:space="preserve">), where</w:t>
      </w:r>
      <w:r>
        <w:t xml:space="preserve"> </w:t>
      </w:r>
      <w:r>
        <w:rPr>
          <w:iCs/>
          <w:i/>
        </w:rPr>
        <w:t xml:space="preserve">S</w:t>
      </w:r>
      <w:r>
        <w:t xml:space="preserve">(</w:t>
      </w:r>
      <w:r>
        <w:rPr>
          <w:iCs/>
          <w:i/>
        </w:rPr>
        <w:t xml:space="preserve">q</w:t>
      </w:r>
      <w:r>
        <w:rPr>
          <w:vertAlign w:val="subscript"/>
          <w:iCs/>
          <w:i/>
        </w:rPr>
        <w:t xml:space="preserve">h</w:t>
      </w:r>
      <w:r>
        <w:t xml:space="preserve">) =</w:t>
      </w:r>
      <w:r>
        <w:t xml:space="preserve"> </w:t>
      </w:r>
      <w:r>
        <w:rPr>
          <w:iCs/>
          <w:i/>
        </w:rPr>
        <w:t xml:space="preserve">c₂</w:t>
      </w:r>
      <w:r>
        <w:t xml:space="preserve"> </w:t>
      </w:r>
      <w:r>
        <w:t xml:space="preserve">δ₁(1 −</w:t>
      </w:r>
      <w:r>
        <w:t xml:space="preserve"> </w:t>
      </w:r>
      <w:r>
        <w:rPr>
          <w:iCs/>
          <w:i/>
        </w:rPr>
        <w:t xml:space="preserve">q</w:t>
      </w:r>
      <w:r>
        <w:rPr>
          <w:vertAlign w:val="subscript"/>
          <w:iCs/>
          <w:i/>
        </w:rPr>
        <w:t xml:space="preserve">h</w:t>
      </w:r>
      <w:r>
        <w:t xml:space="preserve">) −</w:t>
      </w:r>
      <w:r>
        <w:t xml:space="preserve"> </w:t>
      </w:r>
      <w:r>
        <w:rPr>
          <w:iCs/>
          <w:i/>
        </w:rPr>
        <w:t xml:space="preserve">c₂</w:t>
      </w:r>
      <w:r>
        <w:t xml:space="preserve"> </w:t>
      </w:r>
      <w:r>
        <w:rPr>
          <w:iCs/>
          <w:i/>
        </w:rPr>
        <w:t xml:space="preserve">f</w:t>
      </w:r>
      <w:r>
        <w:t xml:space="preserve">₁(1 −</w:t>
      </w:r>
      <w:r>
        <w:t xml:space="preserve"> </w:t>
      </w:r>
      <w:r>
        <w:rPr>
          <w:iCs/>
          <w:i/>
        </w:rPr>
        <w:t xml:space="preserve">q</w:t>
      </w:r>
      <w:r>
        <w:rPr>
          <w:vertAlign w:val="subscript"/>
          <w:iCs/>
          <w:i/>
        </w:rPr>
        <w:t xml:space="preserve">h</w:t>
      </w:r>
      <w:r>
        <w:t xml:space="preserve">) −</w:t>
      </w:r>
      <w:r>
        <w:t xml:space="preserve"> </w:t>
      </w:r>
      <w:r>
        <w:rPr>
          <w:iCs/>
          <w:i/>
        </w:rPr>
        <w:t xml:space="preserve">c₁</w:t>
      </w:r>
      <w:r>
        <w:t xml:space="preserve"> </w:t>
      </w:r>
      <w:r>
        <w:t xml:space="preserve">=</w:t>
      </w:r>
      <w:r>
        <w:t xml:space="preserve"> </w:t>
      </w:r>
      <w:r>
        <w:rPr>
          <w:iCs/>
          <w:i/>
        </w:rPr>
        <w:t xml:space="preserve">c₂</w:t>
      </w:r>
      <w:r>
        <w:t xml:space="preserve">(δ₁ −</w:t>
      </w:r>
      <w:r>
        <w:t xml:space="preserve"> </w:t>
      </w:r>
      <w:r>
        <w:rPr>
          <w:iCs/>
          <w:i/>
        </w:rPr>
        <w:t xml:space="preserve">f</w:t>
      </w:r>
      <w:r>
        <w:t xml:space="preserve">₁)(1 −</w:t>
      </w:r>
      <w:r>
        <w:t xml:space="preserve"> </w:t>
      </w:r>
      <w:r>
        <w:rPr>
          <w:iCs/>
          <w:i/>
        </w:rPr>
        <w:t xml:space="preserve">q</w:t>
      </w:r>
      <w:r>
        <w:rPr>
          <w:vertAlign w:val="subscript"/>
          <w:iCs/>
          <w:i/>
        </w:rPr>
        <w:t xml:space="preserve">h</w:t>
      </w:r>
      <w:r>
        <w:t xml:space="preserve">) −</w:t>
      </w:r>
      <w:r>
        <w:t xml:space="preserve"> </w:t>
      </w:r>
      <w:r>
        <w:rPr>
          <w:iCs/>
          <w:i/>
        </w:rPr>
        <w:t xml:space="preserve">c₁</w:t>
      </w:r>
      <w:r>
        <w:t xml:space="preserve">. ∎</w:t>
      </w:r>
    </w:p>
    <w:bookmarkEnd w:id="20"/>
    <w:bookmarkStart w:id="21" w:name="Xef7840ec5507eca38ff82d476be03e88ff996b6"/>
    <w:p>
      <w:pPr>
        <w:pStyle w:val="Heading2"/>
      </w:pPr>
      <w:r>
        <w:t xml:space="preserve">Online Appendix B. Supplementary Evidence</w:t>
      </w:r>
    </w:p>
    <w:p>
      <w:pPr>
        <w:pStyle w:val="FirstParagraph"/>
      </w:pPr>
      <w:r>
        <w:rPr>
          <w:bCs/>
          <w:b/>
        </w:rPr>
        <w:t xml:space="preserve">B.1 Validation of the language-model judges against human labels.</w:t>
      </w:r>
      <w:r>
        <w:t xml:space="preserve"> </w:t>
      </w:r>
      <w:r>
        <w:t xml:space="preserve">On the FActScore annotations (3,549 to 3,654 sentences, depending on the judge), pooled over the three systems:</w:t>
      </w:r>
    </w:p>
    <w:tbl>
      <w:tblPr>
        <w:tblStyle w:val="Table"/>
        <w:tblW w:type="dxa" w:w="9360"/>
        <w:tblLayout w:type="fixed"/>
        <w:tblLook w:firstRow="1" w:lastRow="0" w:firstColumn="0" w:lastColumn="0" w:noHBand="0" w:noVBand="0" w:val="0020"/>
        <w:jc w:val="start"/>
        <w:tblBorders>
          <w:top w:val="single" w:sz="4" w:color="808080"/>
          <w:bottom w:val="single" w:sz="4" w:color="808080"/>
          <w:insideH w:val="single" w:sz="4" w:color="808080"/>
        </w:tblBorders>
      </w:tblPr>
      <w:tblGrid>
        <w:gridCol w:w="3182"/>
        <w:gridCol w:w="1236"/>
        <w:gridCol w:w="1236"/>
        <w:gridCol w:w="1236"/>
        <w:gridCol w:w="1236"/>
        <w:gridCol w:w="1236"/>
      </w:tblGrid>
      <w:tr>
        <w:trPr>
          <w:tblHeader w:val="true"/>
        </w:trPr>
        <w:tc>
          <w:tcPr>
            <w:tcW w:type="dxa" w:w="3182"/>
          </w:tcPr>
          <w:p>
            <w:pPr>
              <w:pStyle w:val="Compact"/>
              <w:spacing w:line="240" w:lineRule="auto"/>
              <w:jc w:val="left"/>
            </w:pPr>
            <w:r>
              <w:rPr>
                <w:rFonts w:ascii="Times New Roman" w:hAnsi="Times New Roman"/>
                <w:sz w:val="22"/>
              </w:rPr>
              <w:t xml:space="preserve">Judge, event</w:t>
            </w:r>
          </w:p>
        </w:tc>
        <w:tc>
          <w:tcPr>
            <w:tcW w:type="dxa" w:w="1236"/>
          </w:tcPr>
          <w:p>
            <w:pPr>
              <w:pStyle w:val="Compact"/>
              <w:spacing w:line="240" w:lineRule="auto"/>
              <w:jc w:val="left"/>
            </w:pPr>
            <w:r>
              <w:rPr>
                <w:rFonts w:ascii="Times New Roman" w:hAnsi="Times New Roman"/>
                <w:sz w:val="22"/>
              </w:rPr>
              <w:t xml:space="preserve">Cohen’s κ [95% CI]</w:t>
            </w:r>
          </w:p>
        </w:tc>
        <w:tc>
          <w:tcPr>
            <w:tcW w:type="dxa" w:w="1236"/>
          </w:tcPr>
          <w:p>
            <w:pPr>
              <w:pStyle w:val="Compact"/>
              <w:spacing w:line="240" w:lineRule="auto"/>
              <w:jc w:val="right"/>
            </w:pPr>
            <w:r>
              <w:rPr>
                <w:rFonts w:ascii="Times New Roman" w:hAnsi="Times New Roman"/>
                <w:sz w:val="22"/>
              </w:rPr>
              <w:t xml:space="preserve">Sensitivity</w:t>
            </w:r>
          </w:p>
        </w:tc>
        <w:tc>
          <w:tcPr>
            <w:tcW w:type="dxa" w:w="1236"/>
          </w:tcPr>
          <w:p>
            <w:pPr>
              <w:pStyle w:val="Compact"/>
              <w:spacing w:line="240" w:lineRule="auto"/>
              <w:jc w:val="right"/>
            </w:pPr>
            <w:r>
              <w:rPr>
                <w:rFonts w:ascii="Times New Roman" w:hAnsi="Times New Roman"/>
                <w:sz w:val="22"/>
              </w:rPr>
              <w:t xml:space="preserve">Specificity</w:t>
            </w:r>
          </w:p>
        </w:tc>
        <w:tc>
          <w:tcPr>
            <w:tcW w:type="dxa" w:w="1236"/>
          </w:tcPr>
          <w:p>
            <w:pPr>
              <w:pStyle w:val="Compact"/>
              <w:spacing w:line="240" w:lineRule="auto"/>
              <w:jc w:val="right"/>
            </w:pPr>
            <w:r>
              <w:rPr>
                <w:rFonts w:ascii="Times New Roman" w:hAnsi="Times New Roman"/>
                <w:sz w:val="22"/>
              </w:rPr>
              <w:t xml:space="preserve">Precision</w:t>
            </w:r>
          </w:p>
        </w:tc>
        <w:tc>
          <w:tcPr>
            <w:tcW w:type="dxa" w:w="1236"/>
          </w:tcPr>
          <w:p>
            <w:pPr>
              <w:pStyle w:val="Compact"/>
              <w:spacing w:line="240" w:lineRule="auto"/>
              <w:jc w:val="left"/>
            </w:pPr>
            <w:r>
              <w:rPr>
                <w:rFonts w:ascii="Times New Roman" w:hAnsi="Times New Roman"/>
                <w:sz w:val="22"/>
              </w:rPr>
              <w:t xml:space="preserve">Judge rate / human rate</w:t>
            </w:r>
          </w:p>
        </w:tc>
      </w:tr>
      <w:tr>
        <w:tc>
          <w:tcPr>
            <w:tcW w:type="dxa" w:w="3182"/>
          </w:tcPr>
          <w:p>
            <w:pPr>
              <w:pStyle w:val="Compact"/>
              <w:spacing w:line="240" w:lineRule="auto"/>
              <w:jc w:val="left"/>
            </w:pPr>
            <w:r>
              <w:rPr>
                <w:rFonts w:ascii="Times New Roman" w:hAnsi="Times New Roman"/>
                <w:sz w:val="22"/>
              </w:rPr>
              <w:t xml:space="preserve">Claude Haiku 5.5, any unsupported claim</w:t>
            </w:r>
          </w:p>
        </w:tc>
        <w:tc>
          <w:tcPr>
            <w:tcW w:type="dxa" w:w="1236"/>
          </w:tcPr>
          <w:p>
            <w:pPr>
              <w:pStyle w:val="Compact"/>
              <w:spacing w:line="240" w:lineRule="auto"/>
              <w:jc w:val="left"/>
            </w:pPr>
            <w:r>
              <w:rPr>
                <w:rFonts w:ascii="Times New Roman" w:hAnsi="Times New Roman"/>
                <w:sz w:val="22"/>
              </w:rPr>
              <w:t xml:space="preserve">0.633 [0.60, 0.66]</w:t>
            </w:r>
          </w:p>
        </w:tc>
        <w:tc>
          <w:tcPr>
            <w:tcW w:type="dxa" w:w="1236"/>
          </w:tcPr>
          <w:p>
            <w:pPr>
              <w:pStyle w:val="Compact"/>
              <w:spacing w:line="240" w:lineRule="auto"/>
              <w:jc w:val="right"/>
            </w:pPr>
            <w:r>
              <w:rPr>
                <w:rFonts w:ascii="Times New Roman" w:hAnsi="Times New Roman"/>
                <w:sz w:val="22"/>
              </w:rPr>
              <w:t xml:space="preserve">0.936</w:t>
            </w:r>
          </w:p>
        </w:tc>
        <w:tc>
          <w:tcPr>
            <w:tcW w:type="dxa" w:w="1236"/>
          </w:tcPr>
          <w:p>
            <w:pPr>
              <w:pStyle w:val="Compact"/>
              <w:spacing w:line="240" w:lineRule="auto"/>
              <w:jc w:val="right"/>
            </w:pPr>
            <w:r>
              <w:rPr>
                <w:rFonts w:ascii="Times New Roman" w:hAnsi="Times New Roman"/>
                <w:sz w:val="22"/>
              </w:rPr>
              <w:t xml:space="preserve">0.686</w:t>
            </w:r>
          </w:p>
        </w:tc>
        <w:tc>
          <w:tcPr>
            <w:tcW w:type="dxa" w:w="1236"/>
          </w:tcPr>
          <w:p>
            <w:pPr>
              <w:pStyle w:val="Compact"/>
              <w:spacing w:line="240" w:lineRule="auto"/>
              <w:jc w:val="right"/>
            </w:pPr>
            <w:r>
              <w:rPr>
                <w:rFonts w:ascii="Times New Roman" w:hAnsi="Times New Roman"/>
                <w:sz w:val="22"/>
              </w:rPr>
              <w:t xml:space="preserve">0.778</w:t>
            </w:r>
          </w:p>
        </w:tc>
        <w:tc>
          <w:tcPr>
            <w:tcW w:type="dxa" w:w="1236"/>
          </w:tcPr>
          <w:p>
            <w:pPr>
              <w:pStyle w:val="Compact"/>
              <w:spacing w:line="240" w:lineRule="auto"/>
              <w:jc w:val="left"/>
            </w:pPr>
            <w:r>
              <w:rPr>
                <w:rFonts w:ascii="Times New Roman" w:hAnsi="Times New Roman"/>
                <w:sz w:val="22"/>
              </w:rPr>
              <w:t xml:space="preserve">0.650 / 0.540</w:t>
            </w:r>
          </w:p>
        </w:tc>
      </w:tr>
      <w:tr>
        <w:tc>
          <w:tcPr>
            <w:tcW w:type="dxa" w:w="3182"/>
          </w:tcPr>
          <w:p>
            <w:pPr>
              <w:pStyle w:val="Compact"/>
              <w:spacing w:line="240" w:lineRule="auto"/>
              <w:jc w:val="left"/>
            </w:pPr>
            <w:r>
              <w:rPr>
                <w:rFonts w:ascii="Times New Roman" w:hAnsi="Times New Roman"/>
                <w:sz w:val="22"/>
              </w:rPr>
              <w:t xml:space="preserve">Mistral Medium 3.5, any unsupported claim</w:t>
            </w:r>
          </w:p>
        </w:tc>
        <w:tc>
          <w:tcPr>
            <w:tcW w:type="dxa" w:w="1236"/>
          </w:tcPr>
          <w:p>
            <w:pPr>
              <w:pStyle w:val="Compact"/>
              <w:spacing w:line="240" w:lineRule="auto"/>
              <w:jc w:val="left"/>
            </w:pPr>
            <w:r>
              <w:rPr>
                <w:rFonts w:ascii="Times New Roman" w:hAnsi="Times New Roman"/>
                <w:sz w:val="22"/>
              </w:rPr>
              <w:t xml:space="preserve">0.660 [0.63, 0.70]</w:t>
            </w:r>
          </w:p>
        </w:tc>
        <w:tc>
          <w:tcPr>
            <w:tcW w:type="dxa" w:w="1236"/>
          </w:tcPr>
          <w:p>
            <w:pPr>
              <w:pStyle w:val="Compact"/>
              <w:spacing w:line="240" w:lineRule="auto"/>
              <w:jc w:val="right"/>
            </w:pPr>
            <w:r>
              <w:rPr>
                <w:rFonts w:ascii="Times New Roman" w:hAnsi="Times New Roman"/>
                <w:sz w:val="22"/>
              </w:rPr>
              <w:t xml:space="preserve">0.885</w:t>
            </w:r>
          </w:p>
        </w:tc>
        <w:tc>
          <w:tcPr>
            <w:tcW w:type="dxa" w:w="1236"/>
          </w:tcPr>
          <w:p>
            <w:pPr>
              <w:pStyle w:val="Compact"/>
              <w:spacing w:line="240" w:lineRule="auto"/>
              <w:jc w:val="right"/>
            </w:pPr>
            <w:r>
              <w:rPr>
                <w:rFonts w:ascii="Times New Roman" w:hAnsi="Times New Roman"/>
                <w:sz w:val="22"/>
              </w:rPr>
              <w:t xml:space="preserve">0.770</w:t>
            </w:r>
          </w:p>
        </w:tc>
        <w:tc>
          <w:tcPr>
            <w:tcW w:type="dxa" w:w="1236"/>
          </w:tcPr>
          <w:p>
            <w:pPr>
              <w:pStyle w:val="Compact"/>
              <w:spacing w:line="240" w:lineRule="auto"/>
              <w:jc w:val="right"/>
            </w:pPr>
            <w:r>
              <w:rPr>
                <w:rFonts w:ascii="Times New Roman" w:hAnsi="Times New Roman"/>
                <w:sz w:val="22"/>
              </w:rPr>
              <w:t xml:space="preserve">0.822</w:t>
            </w:r>
          </w:p>
        </w:tc>
        <w:tc>
          <w:tcPr>
            <w:tcW w:type="dxa" w:w="1236"/>
          </w:tcPr>
          <w:p>
            <w:pPr>
              <w:pStyle w:val="Compact"/>
              <w:spacing w:line="240" w:lineRule="auto"/>
              <w:jc w:val="left"/>
            </w:pPr>
            <w:r>
              <w:rPr>
                <w:rFonts w:ascii="Times New Roman" w:hAnsi="Times New Roman"/>
                <w:sz w:val="22"/>
              </w:rPr>
              <w:t xml:space="preserve">0.587 / 0.545</w:t>
            </w:r>
          </w:p>
        </w:tc>
      </w:tr>
      <w:tr>
        <w:tc>
          <w:tcPr>
            <w:tcW w:type="dxa" w:w="3182"/>
          </w:tcPr>
          <w:p>
            <w:pPr>
              <w:pStyle w:val="Compact"/>
              <w:spacing w:line="240" w:lineRule="auto"/>
              <w:jc w:val="left"/>
            </w:pPr>
            <w:r>
              <w:rPr>
                <w:rFonts w:ascii="Times New Roman" w:hAnsi="Times New Roman"/>
                <w:sz w:val="22"/>
              </w:rPr>
              <w:t xml:space="preserve">Claude Haiku 5.5, contradicted claim</w:t>
            </w:r>
          </w:p>
        </w:tc>
        <w:tc>
          <w:tcPr>
            <w:tcW w:type="dxa" w:w="1236"/>
          </w:tcPr>
          <w:p>
            <w:pPr>
              <w:pStyle w:val="Compact"/>
              <w:spacing w:line="240" w:lineRule="auto"/>
              <w:jc w:val="left"/>
            </w:pPr>
            <w:r>
              <w:rPr>
                <w:rFonts w:ascii="Times New Roman" w:hAnsi="Times New Roman"/>
                <w:sz w:val="22"/>
              </w:rPr>
              <w:t xml:space="preserve">0.270 [0.24, 0.30]</w:t>
            </w:r>
          </w:p>
        </w:tc>
        <w:tc>
          <w:tcPr>
            <w:tcW w:type="dxa" w:w="1236"/>
          </w:tcPr>
          <w:p>
            <w:pPr>
              <w:pStyle w:val="Compact"/>
              <w:spacing w:line="240" w:lineRule="auto"/>
              <w:jc w:val="right"/>
            </w:pPr>
            <w:r>
              <w:rPr>
                <w:rFonts w:ascii="Times New Roman" w:hAnsi="Times New Roman"/>
                <w:sz w:val="22"/>
              </w:rPr>
              <w:t xml:space="preserve">0.345</w:t>
            </w:r>
          </w:p>
        </w:tc>
        <w:tc>
          <w:tcPr>
            <w:tcW w:type="dxa" w:w="1236"/>
          </w:tcPr>
          <w:p>
            <w:pPr>
              <w:pStyle w:val="Compact"/>
              <w:spacing w:line="240" w:lineRule="auto"/>
              <w:jc w:val="right"/>
            </w:pPr>
            <w:r>
              <w:rPr>
                <w:rFonts w:ascii="Times New Roman" w:hAnsi="Times New Roman"/>
                <w:sz w:val="22"/>
              </w:rPr>
              <w:t xml:space="preserve">0.940</w:t>
            </w:r>
          </w:p>
        </w:tc>
        <w:tc>
          <w:tcPr>
            <w:tcW w:type="dxa" w:w="1236"/>
          </w:tcPr>
          <w:p>
            <w:pPr>
              <w:pStyle w:val="Compact"/>
              <w:spacing w:line="240" w:lineRule="auto"/>
              <w:jc w:val="right"/>
            </w:pPr>
            <w:r>
              <w:rPr>
                <w:rFonts w:ascii="Times New Roman" w:hAnsi="Times New Roman"/>
                <w:sz w:val="22"/>
              </w:rPr>
              <w:t xml:space="preserve">0.871</w:t>
            </w:r>
          </w:p>
        </w:tc>
        <w:tc>
          <w:tcPr>
            <w:tcW w:type="dxa" w:w="1236"/>
          </w:tcPr>
          <w:p>
            <w:pPr>
              <w:pStyle w:val="Compact"/>
              <w:spacing w:line="240" w:lineRule="auto"/>
              <w:jc w:val="left"/>
            </w:pPr>
            <w:r>
              <w:rPr>
                <w:rFonts w:ascii="Times New Roman" w:hAnsi="Times New Roman"/>
                <w:sz w:val="22"/>
              </w:rPr>
              <w:t xml:space="preserve">0.214 / 0.540</w:t>
            </w:r>
          </w:p>
        </w:tc>
      </w:tr>
      <w:tr>
        <w:tc>
          <w:tcPr>
            <w:tcW w:type="dxa" w:w="3182"/>
          </w:tcPr>
          <w:p>
            <w:pPr>
              <w:pStyle w:val="Compact"/>
              <w:spacing w:line="240" w:lineRule="auto"/>
              <w:jc w:val="left"/>
            </w:pPr>
            <w:r>
              <w:rPr>
                <w:rFonts w:ascii="Times New Roman" w:hAnsi="Times New Roman"/>
                <w:sz w:val="22"/>
              </w:rPr>
              <w:t xml:space="preserve">Mistral Medium 3.5, contradicted claim</w:t>
            </w:r>
          </w:p>
        </w:tc>
        <w:tc>
          <w:tcPr>
            <w:tcW w:type="dxa" w:w="1236"/>
          </w:tcPr>
          <w:p>
            <w:pPr>
              <w:pStyle w:val="Compact"/>
              <w:spacing w:line="240" w:lineRule="auto"/>
              <w:jc w:val="left"/>
            </w:pPr>
            <w:r>
              <w:rPr>
                <w:rFonts w:ascii="Times New Roman" w:hAnsi="Times New Roman"/>
                <w:sz w:val="22"/>
              </w:rPr>
              <w:t xml:space="preserve">0.270 [0.24, 0.30]</w:t>
            </w:r>
          </w:p>
        </w:tc>
        <w:tc>
          <w:tcPr>
            <w:tcW w:type="dxa" w:w="1236"/>
          </w:tcPr>
          <w:p>
            <w:pPr>
              <w:pStyle w:val="Compact"/>
              <w:spacing w:line="240" w:lineRule="auto"/>
              <w:jc w:val="right"/>
            </w:pPr>
            <w:r>
              <w:rPr>
                <w:rFonts w:ascii="Times New Roman" w:hAnsi="Times New Roman"/>
                <w:sz w:val="22"/>
              </w:rPr>
              <w:t xml:space="preserve">0.340</w:t>
            </w:r>
          </w:p>
        </w:tc>
        <w:tc>
          <w:tcPr>
            <w:tcW w:type="dxa" w:w="1236"/>
          </w:tcPr>
          <w:p>
            <w:pPr>
              <w:pStyle w:val="Compact"/>
              <w:spacing w:line="240" w:lineRule="auto"/>
              <w:jc w:val="right"/>
            </w:pPr>
            <w:r>
              <w:rPr>
                <w:rFonts w:ascii="Times New Roman" w:hAnsi="Times New Roman"/>
                <w:sz w:val="22"/>
              </w:rPr>
              <w:t xml:space="preserve">0.946</w:t>
            </w:r>
          </w:p>
        </w:tc>
        <w:tc>
          <w:tcPr>
            <w:tcW w:type="dxa" w:w="1236"/>
          </w:tcPr>
          <w:p>
            <w:pPr>
              <w:pStyle w:val="Compact"/>
              <w:spacing w:line="240" w:lineRule="auto"/>
              <w:jc w:val="right"/>
            </w:pPr>
            <w:r>
              <w:rPr>
                <w:rFonts w:ascii="Times New Roman" w:hAnsi="Times New Roman"/>
                <w:sz w:val="22"/>
              </w:rPr>
              <w:t xml:space="preserve">0.884</w:t>
            </w:r>
          </w:p>
        </w:tc>
        <w:tc>
          <w:tcPr>
            <w:tcW w:type="dxa" w:w="1236"/>
          </w:tcPr>
          <w:p>
            <w:pPr>
              <w:pStyle w:val="Compact"/>
              <w:spacing w:line="240" w:lineRule="auto"/>
              <w:jc w:val="left"/>
            </w:pPr>
            <w:r>
              <w:rPr>
                <w:rFonts w:ascii="Times New Roman" w:hAnsi="Times New Roman"/>
                <w:sz w:val="22"/>
              </w:rPr>
              <w:t xml:space="preserve">0.209 / 0.545</w:t>
            </w:r>
          </w:p>
        </w:tc>
      </w:tr>
    </w:tbl>
    <w:p>
      <w:pPr>
        <w:pStyle w:val="BodyText"/>
        <w:spacing w:before="240"/>
      </w:pPr>
      <w:r>
        <w:t xml:space="preserve">Agreement between the two judges on summaries was low (κ = 0.13, 4,475 sentences), so we draw no substantive conclusions about summarization from the judge-based data.</w:t>
      </w:r>
    </w:p>
    <w:p>
      <w:pPr>
        <w:pStyle w:val="BodyText"/>
      </w:pPr>
      <w:r>
        <w:rPr>
          <w:bCs/>
          <w:b/>
        </w:rPr>
        <w:t xml:space="preserve">B.2 Prefix-intervention experiment.</w:t>
      </w:r>
      <w:r>
        <w:t xml:space="preserve"> </w:t>
      </w:r>
      <w:r>
        <w:t xml:space="preserve">For 250 of the generated biographies (Gemma-3-27B) that contained a contradicted sentence among their first eight, we kept the text up to and including the first such sentence and asked the generator to continue it, either with the sentence unchanged or with the sentence rewritten by the judge to remove the contradicted claims. After excluding 18 pairs in which the rewriting did not remove the contradiction or the original sentence was no longer judged contradicted, 232 pairs remained. The share of continuation sentences containing a contradicted claim was 0.182 after the erroneous prefix and 0.198 after the corrected prefix (difference −0.017, 95% CI [−0.034, +0.001]). The experiment gave the generator a text to continue rather than its own output, and its labels are judge-based.</w:t>
      </w:r>
    </w:p>
    <w:bookmarkEnd w:id="21"/>
    <w:bookmarkEnd w:id="22"/>
    <w:sectPr>
      <w:footerReference w:type="default" r:id="rId9"/>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after="0" w:before="0"/>
    </w:pPr>
    <w:rPr>
      <w:rFonts w:ascii="Times New Roman" w:hAnsi="Times New Roman" w:eastAsia="Times New Roman" w:cs="Times New Roman"/>
      <w:sz w:val="24"/>
    </w:rPr>
  </w:style>
  <w:style w:styleId="BodyText" w:type="paragraph">
    <w:name w:val="Body Text"/>
    <w:basedOn w:val="Normal"/>
    <w:link w:val="BodyTextChar"/>
    <w:pPr>
      <w:spacing w:after="0" w:before="0" w:line="480" w:lineRule="auto"/>
    </w:pPr>
    <w:qFormat/>
    <w:rPr>
      <w:rFonts w:ascii="Times New Roman" w:hAnsi="Times New Roman" w:eastAsia="Times New Roman" w:cs="Times New Roman"/>
      <w:sz w:val="24"/>
    </w:rPr>
  </w:style>
  <w:style w:customStyle="1" w:styleId="FirstParagraph" w:type="paragraph">
    <w:name w:val="First Paragraph"/>
    <w:basedOn w:val="BodyText"/>
    <w:next w:val="BodyText"/>
    <w:qFormat/>
    <w:pPr>
      <w:spacing w:line="480" w:lineRule="auto" w:after="0" w:before="0"/>
    </w:pPr>
    <w:rPr>
      <w:rFonts w:ascii="Times New Roman" w:hAnsi="Times New Roman" w:eastAsia="Times New Roman" w:cs="Times New Roman"/>
      <w:sz w:val="24"/>
    </w:rPr>
  </w:style>
  <w:style w:customStyle="1" w:styleId="Compact" w:type="paragraph">
    <w:name w:val="Compact"/>
    <w:basedOn w:val="BodyText"/>
    <w:qFormat/>
    <w:pPr>
      <w:spacing w:after="0" w:before="0" w:line="480" w:lineRule="auto"/>
    </w:pPr>
    <w:rPr>
      <w:rFonts w:ascii="Times New Roman" w:hAnsi="Times New Roman" w:eastAsia="Times New Roman" w:cs="Times New Roman"/>
      <w:sz w:val="24"/>
    </w:rPr>
  </w:style>
  <w:style w:styleId="Title" w:type="paragraph">
    <w:name w:val="Title"/>
    <w:basedOn w:val="Normal"/>
    <w:next w:val="BodyText"/>
    <w:qFormat/>
    <w:pPr>
      <w:keepNext/>
      <w:keepLines/>
      <w:spacing w:after="0" w:before="0" w:line="480" w:lineRule="auto"/>
      <w:jc w:val="center"/>
    </w:pPr>
    <w:rPr>
      <w:rFonts w:ascii="Times New Roman" w:hAnsi="Times New Roman" w:eastAsia="Times New Roman" w:cs="Times New Roman"/>
      <w:b/>
      <w:bCs/>
      <w:sz w:val="2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0" w:line="480" w:lineRule="auto"/>
      <w:outlineLvl w:val="0"/>
    </w:pPr>
    <w:rPr>
      <w:rFonts w:ascii="Times New Roman" w:hAnsi="Times New Roman" w:eastAsia="Times New Roman" w:cs="Times New Roman"/>
      <w:b/>
      <w:bCs/>
      <w:sz w:val="24"/>
      <w:szCs w:val="32"/>
    </w:rPr>
  </w:style>
  <w:style w:styleId="Heading2" w:type="paragraph">
    <w:name w:val="Heading 2"/>
    <w:basedOn w:val="Normal"/>
    <w:next w:val="BodyText"/>
    <w:uiPriority w:val="9"/>
    <w:unhideWhenUsed/>
    <w:qFormat/>
    <w:pPr>
      <w:keepNext/>
      <w:keepLines/>
      <w:spacing w:after="0" w:before="0" w:line="480" w:lineRule="auto"/>
      <w:outlineLvl w:val="1"/>
    </w:pPr>
    <w:rPr>
      <w:rFonts w:ascii="Times New Roman" w:hAnsi="Times New Roman" w:eastAsia="Times New Roman" w:cs="Times New Roman"/>
      <w:b/>
      <w:bCs/>
      <w:sz w:val="24"/>
      <w:szCs w:val="28"/>
    </w:rPr>
  </w:style>
  <w:style w:styleId="Heading3" w:type="paragraph">
    <w:name w:val="Heading 3"/>
    <w:basedOn w:val="Normal"/>
    <w:next w:val="BodyText"/>
    <w:uiPriority w:val="9"/>
    <w:unhideWhenUsed/>
    <w:qFormat/>
    <w:pPr>
      <w:keepNext/>
      <w:keepLines/>
      <w:spacing w:after="0" w:before="0" w:line="480" w:lineRule="auto"/>
      <w:outlineLvl w:val="2"/>
    </w:pPr>
    <w:rPr>
      <w:rFonts w:ascii="Times New Roman" w:hAnsi="Times New Roman" w:eastAsia="Times New Roman" w:cs="Times New Roman"/>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hAnsi="Times New Roman" w:eastAsia="Times New Roman" w:cs="Times New Roman"/>
      <w:sz w:val="24"/>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2026-10-28T11:14:09Z</dcterms:created>
  <dcterms:modified xsi:type="dcterms:W3CDTF">2026-10-28T11:14:09Z</dcterms:modified>
  <cp:lastModifiedBy/>
  <dc:subject/>
  <dc:description/>
</cp:coreProperties>
</file>

<file path=docProps/custom.xml><?xml version="1.0" encoding="utf-8"?>
<Properties xmlns="http://schemas.openxmlformats.org/officeDocument/2006/custom-properties" xmlns:vt="http://schemas.openxmlformats.org/officeDocument/2006/docPropsVTypes"/>
</file>