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in the requester’s disclosed accuracy, and we show how the corrected quantity enters the value of delegated review, (1 − s)(a − π). Across fourteen language models, [PENDING: share of raw deference that survives correction; whether the gradients indicate deference or evidence-weighing]. We offer an audit protocol that a firm can run on its own decisions and state what it cannot establish.</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register both predictions and report the slopes, without a directional hypothesis about which account describes which model.</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 random sample of 100 items, stratified by domain and difficulty tier, blind to the key. Both reviewers answered all 100 items as the key does (agreement with the key was 100% for each reviewer and between reviewers, Cohen’s kappa = 1.0), so no item was revised or removed. One reviewer noted that the rounding rule was not stated for values that are not exact cents; we added an explicit rounding sentence to the numeric items, and no key changed. Because the review covers a sample, the keys of the other items rest on the second-program check alone. The bank was frozen before the main run [PENDING: file hash and date].</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Registration and deviations</w:t>
      </w:r>
    </w:p>
    <w:p>
      <w:pPr>
        <w:pStyle w:val="FirstParagraph"/>
        <w:rPr/>
      </w:pPr>
      <w:bookmarkStart w:id="33" w:name="registration-and-deviations"/>
      <w:r>
        <w:rPr/>
        <w:t>We registered the hypotheses, estimators, and decision rules on [PENDING: platform, date, anonymized link] before any model answered the frozen bank (SHA-256 [PENDING], frozen [PENDING: date]). The registration fixes the primary stance level e* (the stated preference without claimed evidence); the conditional set (stems the model answers correctly in replicate 0 of the stance-free channel); the corrected effect s* = f(e*) − ρ, with s_mix = (f(e*) − ρ)/(1 − ρ) as a registered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registration are listed in a deviation log and are reported where they affect a result; analyses not in the registration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will be made available as a replication package [PENDING: location, anonymized for review].</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results-pending"/>
      <w:r>
        <w:rPr/>
        <w:t>6. Results [PENDING]</w:t>
      </w:r>
    </w:p>
    <w:p>
      <w:pPr>
        <w:pStyle w:val="FirstParagraph"/>
        <w:rPr/>
      </w:pPr>
      <w:r>
        <w:rPr>
          <w:i/>
          <w:iCs/>
        </w:rPr>
        <w:t>Write from the main run. Planned order, each with its table.</w:t>
      </w:r>
    </w:p>
    <w:p>
      <w:pPr>
        <w:pStyle w:val="BodyText"/>
        <w:rPr/>
      </w:pPr>
      <w:r>
        <w:rPr>
          <w:b/>
          <w:bCs/>
        </w:rPr>
        <w:t>6.1 Is the raw flip rate noise?</w:t>
      </w:r>
      <w:r>
        <w:rPr/>
        <w:t xml:space="preserve"> For each model: a, ν, ρ, f(e*), s*, and the share of raw conditional deference removed. Report which models are at ceiling (no baseline to correct) and which are unstable.</w:t>
      </w:r>
    </w:p>
    <w:p>
      <w:pPr>
        <w:pStyle w:val="BodyText"/>
        <w:rPr/>
      </w:pPr>
      <w:r>
        <w:rPr>
          <w:b/>
          <w:bCs/>
        </w:rPr>
        <w:t>6.2 Deference or evidence-weighing?</w:t>
      </w:r>
      <w:r>
        <w:rPr/>
        <w:t xml:space="preserve"> The four-level gradient with slopes and the disclaimer effect, and the disclosed-accuracy gradient; per-model classification only where the intervals support it.</w:t>
      </w:r>
    </w:p>
    <w:p>
      <w:pPr>
        <w:pStyle w:val="BodyText"/>
        <w:rPr/>
      </w:pPr>
      <w:r>
        <w:rPr>
          <w:b/>
          <w:bCs/>
        </w:rPr>
        <w:t>6.3 Scale within families.</w:t>
      </w:r>
      <w:r>
        <w:rPr/>
        <w:t xml:space="preserve"> Large-minus-Small differences in a, f(e*), s*, ν, and the slope, with the sign test and its attainable p value.</w:t>
      </w:r>
    </w:p>
    <w:p>
      <w:pPr>
        <w:pStyle w:val="BodyText"/>
        <w:rPr/>
      </w:pPr>
      <w:r>
        <w:rPr>
          <w:b/>
          <w:bCs/>
        </w:rPr>
        <w:t>6.4 Heterogeneity and the closed form.</w:t>
      </w:r>
      <w:r>
        <w:rPr/>
        <w:t xml:space="preserve"> The estimated covariance between ability and deference across stems and the gap between V</w:t>
      </w:r>
      <w:r>
        <w:rPr>
          <w:vertAlign w:val="subscript"/>
        </w:rPr>
        <w:t>obs</w:t>
      </w:r>
      <w:r>
        <w:rPr/>
        <w:t xml:space="preserve"> and the closed form, against Proposition 5.</w:t>
      </w:r>
    </w:p>
    <w:p>
      <w:pPr>
        <w:pStyle w:val="BodyText"/>
        <w:rPr/>
      </w:pPr>
      <w:r>
        <w:rPr>
          <w:b/>
          <w:bCs/>
        </w:rPr>
        <w:t>6.5 Ability as a ranking cue.</w:t>
      </w:r>
      <w:r>
        <w:rPr/>
        <w:t xml:space="preserve"> Rank correlations of ability with value at π = .5, .7, .9, the share of pairs where ranking by ability is value-optimal for every prior, regret from ranking by ability, and the overstatement 1/(1 − s*).</w:t>
      </w:r>
    </w:p>
    <w:p>
      <w:pPr>
        <w:pStyle w:val="BodyText"/>
        <w:rPr/>
      </w:pPr>
      <w:r>
        <w:rPr>
          <w:b/>
          <w:bCs/>
        </w:rPr>
        <w:t>6.6 Robustness.</w:t>
      </w:r>
      <w:r>
        <w:rPr/>
        <w:t xml:space="preserve"> Parse failures coded as errors; domains excluded; rotation and letter-position checks; provider heterogeneity.</w:t>
      </w:r>
    </w:p>
    <w:p>
      <w:pPr>
        <w:pStyle w:val="Normal"/>
        <w:rPr/>
      </w:pPr>
      <w:bookmarkStart w:id="38" w:name="results-pending"/>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2"/>
        <w:rPr/>
      </w:pPr>
      <w:bookmarkStart w:id="39" w:name="discussion-pending"/>
      <w:r>
        <w:rPr/>
        <w:t>7. Discussion [PENDING]</w:t>
      </w:r>
    </w:p>
    <w:p>
      <w:pPr>
        <w:pStyle w:val="FirstParagraph"/>
        <w:rPr/>
      </w:pPr>
      <w:r>
        <w:rPr>
          <w:i/>
          <w:iCs/>
        </w:rPr>
        <w:t>Skeleton.</w:t>
      </w:r>
    </w:p>
    <w:p>
      <w:pPr>
        <w:pStyle w:val="Compact"/>
        <w:numPr>
          <w:ilvl w:val="0"/>
          <w:numId w:val="12"/>
        </w:numPr>
        <w:rPr/>
      </w:pPr>
      <w:r>
        <w:rPr>
          <w:i/>
          <w:iCs/>
        </w:rPr>
        <w:t>Findings.</w:t>
      </w:r>
      <w:r>
        <w:rPr/>
        <w:t xml:space="preserve"> What survives correction, and for which models. If most conventionally measured deference is noise or added-text sensitivity, say so plainly: the managerial message changes from “buy integrity” to “buy stability, and test before you pay.”</w:t>
      </w:r>
    </w:p>
    <w:p>
      <w:pPr>
        <w:pStyle w:val="Compact"/>
        <w:numPr>
          <w:ilvl w:val="0"/>
          <w:numId w:val="13"/>
        </w:numPr>
        <w:rPr/>
      </w:pPr>
      <w:r>
        <w:rPr>
          <w:i/>
          <w:iCs/>
        </w:rPr>
        <w:t>Theory.</w:t>
      </w:r>
      <w:r>
        <w:rPr/>
        <w:t xml:space="preserve"> What the gradients say about deference versus evidence-weighing; what Proposition 6 implies for a firm whose requesters differ in accuracy (a fixed stance weight is right for at most one of them); what Proposition 5 implies for how large the closed form’s error is in practice.</w:t>
      </w:r>
    </w:p>
    <w:p>
      <w:pPr>
        <w:pStyle w:val="Compact"/>
        <w:numPr>
          <w:ilvl w:val="0"/>
          <w:numId w:val="14"/>
        </w:numPr>
        <w:rPr/>
      </w:pPr>
      <w:r>
        <w:rPr>
          <w:i/>
          <w:iCs/>
        </w:rPr>
        <w:t>Practice.</w:t>
      </w:r>
      <w:r>
        <w:rPr/>
        <w:t xml:space="preserve"> The audit protocol: re-ask each of the firm’s own review items twice with no stance, once with a neutral sentence, and once with a stance of graded claimed evidence; subtract the first two from the third; read the gradient; treat stance-free benchmark accuracy as a ranking aid and not as a level of value. Blinding the delegate to the requester’s stance is a hypothesis with an upper bound on what a firm should give up for it, s(a − π), and it has not been tested.</w:t>
      </w:r>
    </w:p>
    <w:p>
      <w:pPr>
        <w:pStyle w:val="Compact"/>
        <w:numPr>
          <w:ilvl w:val="0"/>
          <w:numId w:val="15"/>
        </w:numPr>
        <w:rPr/>
      </w:pPr>
      <w:r>
        <w:rPr>
          <w:i/>
          <w:iCs/>
        </w:rPr>
        <w:t>Implications for IS research.</w:t>
      </w:r>
      <w:r>
        <w:rPr/>
        <w:t xml:space="preserve"> Delegation to agentic artifacts, auditing of AI decision support, and the design of review workflows in which the reviewer sees the requester’s view.</w:t>
      </w:r>
      <w:bookmarkEnd w:id="39"/>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[PENDING: report the difference between the two].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Normal"/>
        <w:rPr/>
      </w:pPr>
      <w:bookmarkStart w:id="41" w:name="limitations-pending-for-the-specific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rPr/>
      </w:pPr>
      <w:bookmarkStart w:id="42" w:name="appendix-a.-proofs"/>
      <w:r>
        <w:rPr/>
        <w:t>Appendix A. Proofs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Normal"/>
        <w:rPr/>
      </w:pPr>
      <w:bookmarkStart w:id="43" w:name="appendix-a.-proof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2"/>
        <w:rPr/>
      </w:pPr>
      <w:bookmarkStart w:id="44" w:name="references"/>
      <w:r>
        <w:rPr/>
        <w:t>References</w:t>
      </w:r>
    </w:p>
    <w:p>
      <w:pPr>
        <w:pStyle w:val="FirstParagraph"/>
        <w:rPr/>
      </w:pPr>
      <w:r>
        <w:rPr/>
        <w:t>References, to be verified once more against the sources: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Sharma M, Tong M, Korbak T, et al. (2023) Towards understanding sycophancy in language models. Preprint, submitted October 20, https://arxiv.org/abs/2310.13548.</w:t>
      </w:r>
    </w:p>
    <w:p>
      <w:pPr>
        <w:pStyle w:val="BodyText"/>
        <w:rPr/>
      </w:pPr>
      <w:r>
        <w:rPr/>
        <w:t xml:space="preserve">Atil B, et al. (2024) Non-determinism of “deterministic” LLM settings. Preprint, arXiv:2408.04667.</w:t>
      </w:r>
    </w:p>
    <w:p>
      <w:pPr>
        <w:pStyle w:val="BodyText"/>
        <w:rPr/>
      </w:pPr>
      <w:r>
        <w:rPr/>
        <w:t xml:space="preserve">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Laban P, Murakhovs’ka L, Xiong C, Wu CS (2023) Are you sure? Challenging LLMs leads to performance drops in the FlipFlop experiment. Preprint, arXiv:2311.08596.</w:t>
      </w:r>
    </w:p>
    <w:p>
      <w:pPr>
        <w:pStyle w:val="BodyText"/>
        <w:rPr/>
      </w:pPr>
      <w:r>
        <w:rPr/>
        <w:t xml:space="preserve">Lee JD, See KA (2004) Trust in automation: Designing for appropriate reliance. </w:t>
      </w:r>
      <w:r>
        <w:rPr>
          <w:i/>
          <w:iCs/>
        </w:rPr>
        <w:t>Human Factors</w:t>
      </w:r>
      <w:r>
        <w:rPr/>
        <w:t xml:space="preserve"> 46(1):50–80.</w:t>
      </w:r>
    </w:p>
    <w:p>
      <w:pPr>
        <w:pStyle w:val="BodyText"/>
        <w:rPr/>
      </w:pPr>
      <w:r>
        <w:rPr/>
        <w:t xml:space="preserve">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Parasuraman R, Riley V (1997) Humans and automation: Use, misuse, disuse, abuse. </w:t>
      </w:r>
      <w:r>
        <w:rPr>
          <w:i/>
          <w:iCs/>
        </w:rPr>
        <w:t>Human Factors</w:t>
      </w:r>
      <w:r>
        <w:rPr/>
        <w:t xml:space="preserve"> 39(2):230–253.</w:t>
      </w:r>
    </w:p>
    <w:p>
      <w:pPr>
        <w:pStyle w:val="BodyText"/>
        <w:rPr/>
      </w:pPr>
      <w:r>
        <w:rPr/>
        <w:t xml:space="preserve">Sclar M, Choi Y, Tsvetkov Y, Suhr A (2024) Quantifying language models’ sensitivity to spurious features in prompt design. </w:t>
      </w:r>
      <w:r>
        <w:rPr>
          <w:i/>
          <w:iCs/>
        </w:rPr>
        <w:t>International Conference on Learning Representations</w:t>
      </w:r>
      <w:r>
        <w:rPr/>
        <w:t>.</w:t>
      </w:r>
    </w:p>
    <w:p>
      <w:pPr>
        <w:pStyle w:val="BodyText"/>
        <w:rPr/>
      </w:pPr>
      <w:r>
        <w:rPr/>
        <w:t xml:space="preserve">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Wei J, Huang D, Lu Y, Zhou D, Le QV (2023) Simple synthetic data reduces sycophancy in large language models. Preprint, arXiv:2308.03958.</w:t>
      </w:r>
    </w:p>
    <w:p>
      <w:pPr>
        <w:pStyle w:val="BodyText"/>
        <w:spacing w:lineRule="auto" w:line="360" w:before="0" w:after="120"/>
        <w:rPr/>
      </w:pPr>
      <w:r>
        <w:rPr/>
        <w:t xml:space="preserve">Zheng C, Zhou H, Meng F, Zhou J, Huang M (2024) Large language models are not robust multiple choice selectors. </w:t>
      </w:r>
      <w:r>
        <w:rPr>
          <w:i/>
          <w:iCs/>
        </w:rPr>
        <w:t>International Conference on Learning Representations</w:t>
      </w:r>
      <w:r>
        <w:rPr/>
        <w:t>.</w:t>
      </w:r>
      <w:bookmarkEnd w:id="0"/>
      <w:bookmarkEnd w:id="4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