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retraining</w:t>
      </w:r>
      <w:r>
        <w:t xml:space="preserve"> </w:t>
      </w:r>
      <w:r>
        <w:t xml:space="preserve">threshold</w:t>
      </w:r>
      <w:r>
        <w:t xml:space="preserve"> </w:t>
      </w:r>
      <w:r>
        <w:t xml:space="preserve">in</w:t>
      </w:r>
      <w:r>
        <w:t xml:space="preserve"> </w:t>
      </w:r>
      <w:r>
        <w:t xml:space="preserve">closed</w:t>
      </w:r>
      <w:r>
        <w:t xml:space="preserve"> </w:t>
      </w:r>
      <w:r>
        <w:t xml:space="preserve">form</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To</w:t>
      </w:r>
      <w:r>
        <w:t xml:space="preserve"> </w:t>
      </w:r>
      <w:r>
        <w:t xml:space="preserve">make</w:t>
      </w:r>
      <w:r>
        <w:t xml:space="preserve"> </w:t>
      </w:r>
      <w:r>
        <w:t xml:space="preserve">the</w:t>
      </w:r>
      <w:r>
        <w:t xml:space="preserve"> </w:t>
      </w:r>
      <w:r>
        <w:t xml:space="preserve">model</w:t>
      </w:r>
      <w:r>
        <w:t xml:space="preserve"> </w:t>
      </w:r>
      <w:r>
        <w:t xml:space="preserve">usable,</w:t>
      </w:r>
      <w:r>
        <w:t xml:space="preserve"> </w:t>
      </w:r>
      <w:r>
        <w:t xml:space="preserve">we</w:t>
      </w:r>
      <w:r>
        <w:t xml:space="preserve"> </w:t>
      </w:r>
      <w:r>
        <w:t xml:space="preserve">show</w:t>
      </w:r>
      <w:r>
        <w:t xml:space="preserve"> </w:t>
      </w:r>
      <w:r>
        <w:t xml:space="preserve">how</w:t>
      </w:r>
      <w:r>
        <w:t xml:space="preserve"> </w:t>
      </w:r>
      <w:r>
        <w:t xml:space="preserve">recovery</w:t>
      </w:r>
      <w:r>
        <w:t xml:space="preserve"> </w:t>
      </w:r>
      <w:r>
        <w:t xml:space="preserve">can</w:t>
      </w:r>
      <w:r>
        <w:t xml:space="preserve"> </w:t>
      </w:r>
      <w:r>
        <w:t xml:space="preserve">be</w:t>
      </w:r>
      <w:r>
        <w:t xml:space="preserve"> </w:t>
      </w:r>
      <w:r>
        <w:t xml:space="preserve">estimated</w:t>
      </w:r>
      <w:r>
        <w:t xml:space="preserve"> </w:t>
      </w:r>
      <w:r>
        <w:t xml:space="preserve">from</w:t>
      </w:r>
      <w:r>
        <w:t xml:space="preserve"> </w:t>
      </w:r>
      <w:r>
        <w:t xml:space="preserve">a</w:t>
      </w:r>
      <w:r>
        <w:t xml:space="preserve"> </w:t>
      </w:r>
      <w:r>
        <w:t xml:space="preserve">held-out</w:t>
      </w:r>
      <w:r>
        <w:t xml:space="preserve"> </w:t>
      </w:r>
      <w:r>
        <w:t xml:space="preserve">set</w:t>
      </w:r>
      <w:r>
        <w:t xml:space="preserve"> </w:t>
      </w:r>
      <w:r>
        <w:t xml:space="preserve">and</w:t>
      </w:r>
      <w:r>
        <w:t xml:space="preserve"> </w:t>
      </w:r>
      <w:r>
        <w:t xml:space="preserve">measure</w:t>
      </w:r>
      <w:r>
        <w:t xml:space="preserve"> </w:t>
      </w:r>
      <w:r>
        <w:t xml:space="preserve">it</w:t>
      </w:r>
      <w:r>
        <w:t xml:space="preserve"> </w:t>
      </w:r>
      <w:r>
        <w:t xml:space="preserve">on</w:t>
      </w:r>
      <w:r>
        <w:t xml:space="preserve"> </w:t>
      </w:r>
      <w:r>
        <w:t xml:space="preserve">two</w:t>
      </w:r>
      <w:r>
        <w:t xml:space="preserve"> </w:t>
      </w:r>
      <w:r>
        <w:t xml:space="preserve">open</w:t>
      </w:r>
      <w:r>
        <w:t xml:space="preserve"> </w:t>
      </w:r>
      <w:r>
        <w:t xml:space="preserve">model</w:t>
      </w:r>
      <w:r>
        <w:t xml:space="preserve"> </w:t>
      </w:r>
      <w:r>
        <w:t xml:space="preserve">pairs:</w:t>
      </w:r>
      <w:r>
        <w:t xml:space="preserve"> </w:t>
      </w:r>
      <w:r>
        <w:t xml:space="preserve">simply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71%</w:t>
      </w:r>
      <w:r>
        <w:t xml:space="preserve"> </w:t>
      </w:r>
      <w:r>
        <w:t xml:space="preserve">and</w:t>
      </w:r>
      <w:r>
        <w:t xml:space="preserve"> </w:t>
      </w:r>
      <w:r>
        <w:t xml:space="preserve">96%</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which</w:t>
      </w:r>
      <w:r>
        <w:t xml:space="preserve"> </w:t>
      </w:r>
      <w:r>
        <w:t xml:space="preserve">implies</w:t>
      </w:r>
      <w:r>
        <w:t xml:space="preserve"> </w:t>
      </w:r>
      <w:r>
        <w:t xml:space="preserve">retraining</w:t>
      </w:r>
      <w:r>
        <w:t xml:space="preserve"> </w:t>
      </w:r>
      <w:r>
        <w:t xml:space="preserve">thresholds</w:t>
      </w:r>
      <w:r>
        <w:t xml:space="preserve"> </w:t>
      </w:r>
      <w:r>
        <w:t xml:space="preserve">of</w:t>
      </w:r>
      <w:r>
        <w:t xml:space="preserve"> </w:t>
      </w:r>
      <w:r>
        <w:t xml:space="preserve">about</w:t>
      </w:r>
      <w:r>
        <w:t xml:space="preserve"> </w:t>
      </w:r>
      <w:r>
        <w:t xml:space="preserve">8</w:t>
      </w:r>
      <w:r>
        <w:t xml:space="preserve"> </w:t>
      </w:r>
      <w:r>
        <w:t xml:space="preserve">and</w:t>
      </w:r>
      <w:r>
        <w:t xml:space="preserve"> </w:t>
      </w:r>
      <w:r>
        <w:t xml:space="preserve">56</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We</w:t>
      </w:r>
      <w:r>
        <w:t xml:space="preserve"> </w:t>
      </w:r>
      <w:r>
        <w:t xml:space="preserve">then</w:t>
      </w:r>
      <w:r>
        <w:t xml:space="preserve"> </w:t>
      </w:r>
      <w:r>
        <w:t xml:space="preserve">evaluate</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a</w:t>
      </w:r>
      <w:r>
        <w:t xml:space="preserve"> </w:t>
      </w:r>
      <w:r>
        <w:t xml:space="preserve">label-free,</w:t>
      </w:r>
      <w:r>
        <w:t xml:space="preserve"> </w:t>
      </w:r>
      <w:r>
        <w:t xml:space="preserve">closed-form</w:t>
      </w:r>
      <w:r>
        <w:t xml:space="preserve"> </w:t>
      </w:r>
      <w:r>
        <w:t xml:space="preserve">correction</w:t>
      </w:r>
      <w:r>
        <w:t xml:space="preserve"> </w:t>
      </w:r>
      <w:r>
        <w:t xml:space="preserve">of</w:t>
      </w:r>
      <w:r>
        <w:t xml:space="preserve"> </w:t>
      </w:r>
      <w:r>
        <w:t xml:space="preserve">the</w:t>
      </w:r>
      <w:r>
        <w:t xml:space="preserve"> </w:t>
      </w:r>
      <w:r>
        <w:t xml:space="preserve">adapter.</w:t>
      </w:r>
      <w:r>
        <w:t xml:space="preserve"> </w:t>
      </w:r>
      <w:r>
        <w:t xml:space="preserve">ACT</w:t>
      </w:r>
      <w:r>
        <w:t xml:space="preserve"> </w:t>
      </w:r>
      <w:r>
        <w:t xml:space="preserve">improves</w:t>
      </w:r>
      <w:r>
        <w:t xml:space="preserve"> </w:t>
      </w:r>
      <w:r>
        <w:t xml:space="preserve">recovery</w:t>
      </w:r>
      <w:r>
        <w:t xml:space="preserve"> </w:t>
      </w:r>
      <w:r>
        <w:t xml:space="preserve">in</w:t>
      </w:r>
      <w:r>
        <w:t xml:space="preserve"> </w:t>
      </w:r>
      <w:r>
        <w:t xml:space="preserve">controlled</w:t>
      </w:r>
      <w:r>
        <w:t xml:space="preserve"> </w:t>
      </w:r>
      <w:r>
        <w:t xml:space="preserve">simulations,</w:t>
      </w:r>
      <w:r>
        <w:t xml:space="preserve"> </w:t>
      </w:r>
      <w:r>
        <w:t xml:space="preserve">but</w:t>
      </w:r>
      <w:r>
        <w:t xml:space="preserve"> </w:t>
      </w:r>
      <w:r>
        <w:t xml:space="preserve">on</w:t>
      </w:r>
      <w:r>
        <w:t xml:space="preserve"> </w:t>
      </w:r>
      <w:r>
        <w:t xml:space="preserve">the</w:t>
      </w:r>
      <w:r>
        <w:t xml:space="preserve"> </w:t>
      </w:r>
      <w:r>
        <w:t xml:space="preserve">real</w:t>
      </w:r>
      <w:r>
        <w:t xml:space="preserve"> </w:t>
      </w:r>
      <w:r>
        <w:t xml:space="preserve">pairs</w:t>
      </w:r>
      <w:r>
        <w:t xml:space="preserve"> </w:t>
      </w:r>
      <w:r>
        <w:t xml:space="preserve">its</w:t>
      </w:r>
      <w:r>
        <w:t xml:space="preserve"> </w:t>
      </w:r>
      <w:r>
        <w:t xml:space="preserve">recovery</w:t>
      </w:r>
      <w:r>
        <w:t xml:space="preserve"> </w:t>
      </w:r>
      <w:r>
        <w:t xml:space="preserve">is</w:t>
      </w:r>
      <w:r>
        <w:t xml:space="preserve"> </w:t>
      </w:r>
      <w:r>
        <w:t xml:space="preserve">within</w:t>
      </w:r>
      <w:r>
        <w:t xml:space="preserve"> </w:t>
      </w:r>
      <w:r>
        <w:t xml:space="preserve">0.01</w:t>
      </w:r>
      <w:r>
        <w:t xml:space="preserve"> </w:t>
      </w:r>
      <w:r>
        <w:t xml:space="preserve">of</w:t>
      </w:r>
      <w:r>
        <w:t xml:space="preserve"> </w:t>
      </w:r>
      <w:r>
        <w:t xml:space="preserve">plain</w:t>
      </w:r>
      <w:r>
        <w:t xml:space="preserve"> </w:t>
      </w:r>
      <w:r>
        <w:t xml:space="preserve">copying,</w:t>
      </w:r>
      <w:r>
        <w:t xml:space="preserve"> </w:t>
      </w:r>
      <w:r>
        <w:t xml:space="preserve">and</w:t>
      </w:r>
      <w:r>
        <w:t xml:space="preserve"> </w:t>
      </w:r>
      <w:r>
        <w:t xml:space="preserve">none</w:t>
      </w:r>
      <w:r>
        <w:t xml:space="preserve"> </w:t>
      </w:r>
      <w:r>
        <w:t xml:space="preserve">of</w:t>
      </w:r>
      <w:r>
        <w:t xml:space="preserve"> </w:t>
      </w:r>
      <w:r>
        <w:t xml:space="preserve">three</w:t>
      </w:r>
      <w:r>
        <w:t xml:space="preserve"> </w:t>
      </w:r>
      <w:r>
        <w:t xml:space="preserve">candidate</w:t>
      </w:r>
      <w:r>
        <w:t xml:space="preserve"> </w:t>
      </w:r>
      <w:r>
        <w:t xml:space="preserve">explanations</w:t>
      </w:r>
      <w:r>
        <w:t xml:space="preserve"> </w:t>
      </w:r>
      <w:r>
        <w:t xml:space="preserve">we</w:t>
      </w:r>
      <w:r>
        <w:t xml:space="preserve"> </w:t>
      </w:r>
      <w:r>
        <w:t xml:space="preserve">test</w:t>
      </w:r>
      <w:r>
        <w:t xml:space="preserve"> </w:t>
      </w:r>
      <w:r>
        <w:t xml:space="preserve">accounts</w:t>
      </w:r>
      <w:r>
        <w:t xml:space="preserve"> </w:t>
      </w:r>
      <w:r>
        <w:t xml:space="preserve">for</w:t>
      </w:r>
      <w:r>
        <w:t xml:space="preserve"> </w:t>
      </w:r>
      <w:r>
        <w:t xml:space="preserve">the</w:t>
      </w:r>
      <w:r>
        <w:t xml:space="preserve"> </w:t>
      </w:r>
      <w:r>
        <w:t xml:space="preserve">difference.</w:t>
      </w:r>
      <w:r>
        <w:t xml:space="preserve"> </w:t>
      </w:r>
      <w:r>
        <w:t xml:space="preserve">The</w:t>
      </w:r>
      <w:r>
        <w:t xml:space="preserve"> </w:t>
      </w:r>
      <w:r>
        <w:t xml:space="preserve">model</w:t>
      </w:r>
      <w:r>
        <w:t xml:space="preserve"> </w:t>
      </w:r>
      <w:r>
        <w:t xml:space="preserve">implies</w:t>
      </w:r>
      <w:r>
        <w:t xml:space="preserve"> </w:t>
      </w:r>
      <w:r>
        <w:t xml:space="preserve">that</w:t>
      </w:r>
      <w:r>
        <w:t xml:space="preserve"> </w:t>
      </w:r>
      <w:r>
        <w:t xml:space="preserve">a</w:t>
      </w:r>
      <w:r>
        <w:t xml:space="preserve"> </w:t>
      </w:r>
      <w:r>
        <w:t xml:space="preserve">method</w:t>
      </w:r>
      <w:r>
        <w:t xml:space="preserve"> </w:t>
      </w:r>
      <w:r>
        <w:t xml:space="preserve">with</w:t>
      </w:r>
      <w:r>
        <w:t xml:space="preserve"> </w:t>
      </w:r>
      <w:r>
        <w:t xml:space="preserve">no</w:t>
      </w:r>
      <w:r>
        <w:t xml:space="preserve"> </w:t>
      </w:r>
      <w:r>
        <w:t xml:space="preserve">recovery</w:t>
      </w:r>
      <w:r>
        <w:t xml:space="preserve"> </w:t>
      </w:r>
      <w:r>
        <w:t xml:space="preserve">gain</w:t>
      </w:r>
      <w:r>
        <w:t xml:space="preserve"> </w:t>
      </w:r>
      <w:r>
        <w:t xml:space="preserve">has</w:t>
      </w:r>
      <w:r>
        <w:t xml:space="preserve"> </w:t>
      </w:r>
      <w:r>
        <w:t xml:space="preserve">no</w:t>
      </w:r>
      <w:r>
        <w:t xml:space="preserve"> </w:t>
      </w:r>
      <w:r>
        <w:t xml:space="preserve">positive</w:t>
      </w:r>
      <w:r>
        <w:t xml:space="preserve"> </w:t>
      </w:r>
      <w:r>
        <w:t xml:space="preserve">willingness</w:t>
      </w:r>
      <w:r>
        <w:t xml:space="preserve"> </w:t>
      </w:r>
      <w:r>
        <w:t xml:space="preserve">to</w:t>
      </w:r>
      <w:r>
        <w:t xml:space="preserve"> </w:t>
      </w:r>
      <w:r>
        <w:t xml:space="preserve">pay.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results</w:t>
      </w:r>
      <w:r>
        <w:t xml:space="preserve"> </w:t>
      </w:r>
      <w:r>
        <w:t xml:space="preserve">give</w:t>
      </w:r>
      <w:r>
        <w:t xml:space="preserve"> </w:t>
      </w:r>
      <w:r>
        <w:t xml:space="preserve">practitioners</w:t>
      </w:r>
      <w:r>
        <w:t xml:space="preserve"> </w:t>
      </w:r>
      <w:r>
        <w:t xml:space="preserve">a</w:t>
      </w:r>
      <w:r>
        <w:t xml:space="preserve"> </w:t>
      </w:r>
      <w:r>
        <w:t xml:space="preserve">transparent,</w:t>
      </w:r>
      <w:r>
        <w:t xml:space="preserve"> </w:t>
      </w:r>
      <w:r>
        <w:t xml:space="preserve">checkable</w:t>
      </w:r>
      <w:r>
        <w:t xml:space="preserve"> </w:t>
      </w:r>
      <w:r>
        <w:t xml:space="preserve">rule</w:t>
      </w:r>
      <w:r>
        <w:t xml:space="preserve"> </w:t>
      </w:r>
      <w:r>
        <w:t xml:space="preserve">for</w:t>
      </w:r>
      <w:r>
        <w:t xml:space="preserve"> </w:t>
      </w:r>
      <w:r>
        <w:t xml:space="preserve">maintaining</w:t>
      </w:r>
      <w:r>
        <w:t xml:space="preserve"> </w:t>
      </w:r>
      <w:r>
        <w:t xml:space="preserve">AI</w:t>
      </w:r>
      <w:r>
        <w:t xml:space="preserve"> </w:t>
      </w:r>
      <w:r>
        <w:t xml:space="preserve">assets.</w:t>
      </w:r>
    </w:p>
    <w:p>
      <w:pPr>
        <w:pStyle w:val="FirstParagraph"/>
      </w:pPr>
      <w:r>
        <w:rPr>
          <w:bCs/>
          <w:b/>
        </w:rPr>
        <w:t xml:space="preserve">Keywords:</w:t>
      </w:r>
      <w:r>
        <w:t xml:space="preserve"> </w:t>
      </w:r>
      <w:r>
        <w:t xml:space="preserve">AI asset management; foundation model upgrades; parameter-efficient fine-tuning; maintenance policy; optimal stopping; decision support</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Measured recovery of naive reuse.</w:t>
      </w:r>
      <w:r>
        <w:t xml:space="preserve"> </w:t>
      </w:r>
      <w:r>
        <w:t xml:space="preserve">On two open model pairs, copying the old adapter recovers 71% and 96% of the retraining</w:t>
      </w:r>
      <w:r>
        <w:t xml:space="preserve"> </w:t>
      </w:r>
      <w:r>
        <w:t xml:space="preserve">benefit. Through the model, these numbers imply retraining thresholds of roughly 8 and 56 times the retraining cost, so for tasks whose annual value is below</w:t>
      </w:r>
      <w:r>
        <w:t xml:space="preserve"> </w:t>
      </w:r>
      <w:r>
        <w:t xml:space="preserve">those thresholds the cheapest policy is to keep the old adapter and retrain only on demand.</w:t>
      </w:r>
    </w:p>
    <w:p>
      <w:pPr>
        <w:numPr>
          <w:ilvl w:val="0"/>
          <w:numId w:val="1001"/>
        </w:numPr>
      </w:pPr>
      <w:r>
        <w:rPr>
          <w:iCs/>
          <w:i/>
        </w:rPr>
        <w:t xml:space="preserve">A tested candidate and a negative result.</w:t>
      </w:r>
      <w:r>
        <w:t xml:space="preserve"> </w:t>
      </w:r>
      <w:r>
        <w:t xml:space="preserve">We propose Anchored Calibration Transfer (ACT), a closed-form, label-free correction</w:t>
      </w:r>
      <w:r>
        <w:t xml:space="preserve"> </w:t>
      </w:r>
      <w:r>
        <w:t xml:space="preserve">of the adapter. It improves recovery in every controlled simulation we run but not on the real pairs, where its recovery is within 0.01 of copying.</w:t>
      </w:r>
      <w:r>
        <w:t xml:space="preserve"> </w:t>
      </w:r>
      <w:r>
        <w:t xml:space="preserve">None of three explanations we test (upgrade type, task shift, calibration data) accounts for the gap. Under the model this settles the decision, because a method with no</w:t>
      </w:r>
      <w:r>
        <w:t xml:space="preserve"> </w:t>
      </w:r>
      <w:r>
        <w:t xml:space="preserve">recovery gain has no positive willingness to pay.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tests explanations for ACT’s result on real pairs,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35%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Borders>
          <w:top w:val="single" w:sz="12" w:color="000000"/>
          <w:bottom w:val="single" w:sz="12" w:color="000000"/>
        </w:tblBorders>
        <w:tblLayout w:type="fixed"/>
      </w:tblPr>
      <w:tblGrid>
        <w:gridCol w:w="3168"/>
        <w:gridCol w:w="1238"/>
        <w:gridCol w:w="1238"/>
        <w:gridCol w:w="1238"/>
        <w:gridCol w:w="1238"/>
        <w:gridCol w:w="123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168"/>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238"/>
          </w:tcPr>
          <w:p>
            <w:pPr>
              <w:pStyle w:val="Compact"/>
              <w:spacing w:line="240" w:lineRule="auto"/>
              <w:jc w:val="center"/>
            </w:pPr>
            <w:r>
              <w:rPr>
                <w:rFonts w:ascii="Times New Roman" w:hAnsi="Times New Roman"/>
                <w:sz w:val="20"/>
              </w:rPr>
              <w:t xml:space="preserve">0.996</w:t>
            </w:r>
          </w:p>
        </w:tc>
        <w:tc>
          <w:tcPr>
            <w:tcW w:type="dxa" w:w="1238"/>
          </w:tcPr>
          <w:p>
            <w:pPr>
              <w:pStyle w:val="Compact"/>
              <w:spacing w:line="240" w:lineRule="auto"/>
              <w:jc w:val="center"/>
            </w:pPr>
            <w:r>
              <w:rPr>
                <w:rFonts w:ascii="Times New Roman" w:hAnsi="Times New Roman"/>
                <w:sz w:val="20"/>
              </w:rPr>
              <w:t xml:space="preserve">0.982</w:t>
            </w:r>
          </w:p>
        </w:tc>
        <w:tc>
          <w:tcPr>
            <w:tcW w:type="dxa" w:w="1238"/>
          </w:tcPr>
          <w:p>
            <w:pPr>
              <w:pStyle w:val="Compact"/>
              <w:spacing w:line="240" w:lineRule="auto"/>
              <w:jc w:val="center"/>
            </w:pPr>
            <w:r>
              <w:rPr>
                <w:rFonts w:ascii="Times New Roman" w:hAnsi="Times New Roman"/>
                <w:sz w:val="20"/>
              </w:rPr>
              <w:t xml:space="preserve">0.955</w:t>
            </w:r>
          </w:p>
        </w:tc>
        <w:tc>
          <w:tcPr>
            <w:tcW w:type="dxa" w:w="1238"/>
          </w:tcPr>
          <w:p>
            <w:pPr>
              <w:pStyle w:val="Compact"/>
              <w:spacing w:line="240" w:lineRule="auto"/>
              <w:jc w:val="center"/>
            </w:pPr>
            <w:r>
              <w:rPr>
                <w:rFonts w:ascii="Times New Roman" w:hAnsi="Times New Roman"/>
                <w:sz w:val="20"/>
              </w:rPr>
              <w:t xml:space="preserve">0.846</w:t>
            </w:r>
          </w:p>
        </w:tc>
        <w:tc>
          <w:tcPr>
            <w:tcW w:type="dxa" w:w="1238"/>
          </w:tcPr>
          <w:p>
            <w:pPr>
              <w:pStyle w:val="Compact"/>
              <w:spacing w:line="240" w:lineRule="auto"/>
              <w:jc w:val="center"/>
            </w:pPr>
            <w:r>
              <w:rPr>
                <w:rFonts w:ascii="Times New Roman" w:hAnsi="Times New Roman"/>
                <w:sz w:val="20"/>
              </w:rPr>
              <w:t xml:space="preserve">0.489</w:t>
            </w:r>
          </w:p>
        </w:tc>
      </w:tr>
      <w:tr>
        <w:tc>
          <w:tcPr>
            <w:tcW w:type="dxa" w:w="3168"/>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238"/>
          </w:tcPr>
          <w:p>
            <w:pPr>
              <w:pStyle w:val="Compact"/>
              <w:spacing w:line="240" w:lineRule="auto"/>
              <w:jc w:val="center"/>
            </w:pPr>
            <w:r>
              <w:rPr>
                <w:rFonts w:ascii="Times New Roman" w:hAnsi="Times New Roman"/>
                <w:sz w:val="20"/>
              </w:rPr>
              <w:t xml:space="preserve">0.998</w:t>
            </w:r>
          </w:p>
        </w:tc>
        <w:tc>
          <w:tcPr>
            <w:tcW w:type="dxa" w:w="1238"/>
          </w:tcPr>
          <w:p>
            <w:pPr>
              <w:pStyle w:val="Compact"/>
              <w:spacing w:line="240" w:lineRule="auto"/>
              <w:jc w:val="center"/>
            </w:pPr>
            <w:r>
              <w:rPr>
                <w:rFonts w:ascii="Times New Roman" w:hAnsi="Times New Roman"/>
                <w:sz w:val="20"/>
              </w:rPr>
              <w:t xml:space="preserve">0.990</w:t>
            </w:r>
          </w:p>
        </w:tc>
        <w:tc>
          <w:tcPr>
            <w:tcW w:type="dxa" w:w="1238"/>
          </w:tcPr>
          <w:p>
            <w:pPr>
              <w:pStyle w:val="Compact"/>
              <w:spacing w:line="240" w:lineRule="auto"/>
              <w:jc w:val="center"/>
            </w:pPr>
            <w:r>
              <w:rPr>
                <w:rFonts w:ascii="Times New Roman" w:hAnsi="Times New Roman"/>
                <w:sz w:val="20"/>
              </w:rPr>
              <w:t xml:space="preserve">0.975</w:t>
            </w:r>
          </w:p>
        </w:tc>
        <w:tc>
          <w:tcPr>
            <w:tcW w:type="dxa" w:w="1238"/>
          </w:tcPr>
          <w:p>
            <w:pPr>
              <w:pStyle w:val="Compact"/>
              <w:spacing w:line="240" w:lineRule="auto"/>
              <w:jc w:val="center"/>
            </w:pPr>
            <w:r>
              <w:rPr>
                <w:rFonts w:ascii="Times New Roman" w:hAnsi="Times New Roman"/>
                <w:sz w:val="20"/>
              </w:rPr>
              <w:t xml:space="preserve">0.910</w:t>
            </w:r>
          </w:p>
        </w:tc>
        <w:tc>
          <w:tcPr>
            <w:tcW w:type="dxa" w:w="1238"/>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Borders>
          <w:top w:val="single" w:sz="12" w:color="000000"/>
          <w:bottom w:val="single" w:sz="12" w:color="000000"/>
        </w:tblBorders>
        <w:tblLayout w:type="fixed"/>
      </w:tblPr>
      <w:tblGrid>
        <w:gridCol w:w="3168"/>
        <w:gridCol w:w="1032"/>
        <w:gridCol w:w="1032"/>
        <w:gridCol w:w="1032"/>
        <w:gridCol w:w="1032"/>
        <w:gridCol w:w="1032"/>
        <w:gridCol w:w="1032"/>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168"/>
          </w:tcPr>
          <w:p>
            <w:pPr>
              <w:pStyle w:val="Compact"/>
              <w:spacing w:line="240" w:lineRule="auto"/>
              <w:jc w:val="left"/>
            </w:pPr>
            <w:r>
              <w:rPr>
                <w:rFonts w:ascii="Times New Roman" w:hAnsi="Times New Roman"/>
                <w:sz w:val="20"/>
              </w:rPr>
              <w:t xml:space="preserve">0.8</w:t>
            </w:r>
          </w:p>
        </w:tc>
        <w:tc>
          <w:tcPr>
            <w:tcW w:type="dxa" w:w="1032"/>
          </w:tcPr>
          <w:p>
            <w:pPr>
              <w:pStyle w:val="Compact"/>
              <w:spacing w:line="240" w:lineRule="auto"/>
              <w:jc w:val="center"/>
            </w:pPr>
            <w:r>
              <w:rPr>
                <w:rFonts w:ascii="Times New Roman" w:hAnsi="Times New Roman"/>
                <w:sz w:val="20"/>
              </w:rPr>
              <w:t xml:space="preserve">0.489</w:t>
            </w:r>
          </w:p>
        </w:tc>
        <w:tc>
          <w:tcPr>
            <w:tcW w:type="dxa" w:w="1032"/>
          </w:tcPr>
          <w:p>
            <w:pPr>
              <w:pStyle w:val="Compact"/>
              <w:spacing w:line="240" w:lineRule="auto"/>
              <w:jc w:val="center"/>
            </w:pPr>
            <w:r>
              <w:rPr>
                <w:rFonts w:ascii="Times New Roman" w:hAnsi="Times New Roman"/>
                <w:sz w:val="20"/>
              </w:rPr>
              <w:t xml:space="preserve">0.692</w:t>
            </w:r>
          </w:p>
        </w:tc>
        <w:tc>
          <w:tcPr>
            <w:tcW w:type="dxa" w:w="1032"/>
          </w:tcPr>
          <w:p>
            <w:pPr>
              <w:pStyle w:val="Compact"/>
              <w:spacing w:line="240" w:lineRule="auto"/>
              <w:jc w:val="center"/>
            </w:pPr>
            <w:r>
              <w:rPr>
                <w:rFonts w:ascii="Times New Roman" w:hAnsi="Times New Roman"/>
                <w:sz w:val="20"/>
              </w:rPr>
              <w:t xml:space="preserve">4.81</w:t>
            </w:r>
          </w:p>
        </w:tc>
        <w:tc>
          <w:tcPr>
            <w:tcW w:type="dxa" w:w="1032"/>
          </w:tcPr>
          <w:p>
            <w:pPr>
              <w:pStyle w:val="Compact"/>
              <w:spacing w:line="240" w:lineRule="auto"/>
              <w:jc w:val="center"/>
            </w:pPr>
            <w:r>
              <w:rPr>
                <w:rFonts w:ascii="Times New Roman" w:hAnsi="Times New Roman"/>
                <w:sz w:val="20"/>
              </w:rPr>
              <w:t xml:space="preserve">7.96</w:t>
            </w:r>
          </w:p>
        </w:tc>
        <w:tc>
          <w:tcPr>
            <w:tcW w:type="dxa" w:w="1032"/>
          </w:tcPr>
          <w:p>
            <w:pPr>
              <w:pStyle w:val="Compact"/>
              <w:spacing w:line="240" w:lineRule="auto"/>
              <w:jc w:val="center"/>
            </w:pPr>
            <w:r>
              <w:rPr>
                <w:rFonts w:ascii="Times New Roman" w:hAnsi="Times New Roman"/>
                <w:sz w:val="20"/>
              </w:rPr>
              <w:t xml:space="preserve">[0.47, 6.68)</w:t>
            </w:r>
          </w:p>
        </w:tc>
        <w:tc>
          <w:tcPr>
            <w:tcW w:type="dxa" w:w="1032"/>
          </w:tcPr>
          <w:p>
            <w:pPr>
              <w:pStyle w:val="Compact"/>
              <w:spacing w:line="240" w:lineRule="auto"/>
              <w:jc w:val="center"/>
            </w:pPr>
            <w:r>
              <w:rPr>
                <w:rFonts w:ascii="Times New Roman" w:hAnsi="Times New Roman"/>
                <w:sz w:val="20"/>
              </w:rPr>
              <w:t xml:space="preserve">0.31</w:t>
            </w:r>
          </w:p>
        </w:tc>
      </w:tr>
      <w:tr>
        <w:tc>
          <w:tcPr>
            <w:tcW w:type="dxa" w:w="3168"/>
          </w:tcPr>
          <w:p>
            <w:pPr>
              <w:pStyle w:val="Compact"/>
              <w:spacing w:line="240" w:lineRule="auto"/>
              <w:jc w:val="left"/>
            </w:pPr>
            <w:r>
              <w:rPr>
                <w:rFonts w:ascii="Times New Roman" w:hAnsi="Times New Roman"/>
                <w:sz w:val="20"/>
              </w:rPr>
              <w:t xml:space="preserve">0.3</w:t>
            </w:r>
          </w:p>
        </w:tc>
        <w:tc>
          <w:tcPr>
            <w:tcW w:type="dxa" w:w="1032"/>
          </w:tcPr>
          <w:p>
            <w:pPr>
              <w:pStyle w:val="Compact"/>
              <w:spacing w:line="240" w:lineRule="auto"/>
              <w:jc w:val="center"/>
            </w:pPr>
            <w:r>
              <w:rPr>
                <w:rFonts w:ascii="Times New Roman" w:hAnsi="Times New Roman"/>
                <w:sz w:val="20"/>
              </w:rPr>
              <w:t xml:space="preserve">0.955</w:t>
            </w:r>
          </w:p>
        </w:tc>
        <w:tc>
          <w:tcPr>
            <w:tcW w:type="dxa" w:w="1032"/>
          </w:tcPr>
          <w:p>
            <w:pPr>
              <w:pStyle w:val="Compact"/>
              <w:spacing w:line="240" w:lineRule="auto"/>
              <w:jc w:val="center"/>
            </w:pPr>
            <w:r>
              <w:rPr>
                <w:rFonts w:ascii="Times New Roman" w:hAnsi="Times New Roman"/>
                <w:sz w:val="20"/>
              </w:rPr>
              <w:t xml:space="preserve">0.975</w:t>
            </w:r>
          </w:p>
        </w:tc>
        <w:tc>
          <w:tcPr>
            <w:tcW w:type="dxa" w:w="1032"/>
          </w:tcPr>
          <w:p>
            <w:pPr>
              <w:pStyle w:val="Compact"/>
              <w:spacing w:line="240" w:lineRule="auto"/>
              <w:jc w:val="center"/>
            </w:pPr>
            <w:r>
              <w:rPr>
                <w:rFonts w:ascii="Times New Roman" w:hAnsi="Times New Roman"/>
                <w:sz w:val="20"/>
              </w:rPr>
              <w:t xml:space="preserve">54.6</w:t>
            </w:r>
          </w:p>
        </w:tc>
        <w:tc>
          <w:tcPr>
            <w:tcW w:type="dxa" w:w="1032"/>
          </w:tcPr>
          <w:p>
            <w:pPr>
              <w:pStyle w:val="Compact"/>
              <w:spacing w:line="240" w:lineRule="auto"/>
              <w:jc w:val="center"/>
            </w:pPr>
            <w:r>
              <w:rPr>
                <w:rFonts w:ascii="Times New Roman" w:hAnsi="Times New Roman"/>
                <w:sz w:val="20"/>
              </w:rPr>
              <w:t xml:space="preserve">97.9</w:t>
            </w:r>
          </w:p>
        </w:tc>
        <w:tc>
          <w:tcPr>
            <w:tcW w:type="dxa" w:w="1032"/>
          </w:tcPr>
          <w:p>
            <w:pPr>
              <w:pStyle w:val="Compact"/>
              <w:spacing w:line="240" w:lineRule="auto"/>
              <w:jc w:val="center"/>
            </w:pPr>
            <w:r>
              <w:rPr>
                <w:rFonts w:ascii="Times New Roman" w:hAnsi="Times New Roman"/>
                <w:sz w:val="20"/>
              </w:rPr>
              <w:t xml:space="preserve">[4.78, 82.2)</w:t>
            </w:r>
          </w:p>
        </w:tc>
        <w:tc>
          <w:tcPr>
            <w:tcW w:type="dxa" w:w="1032"/>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w:t>
      </w:r>
      <w:r>
        <w:t xml:space="preserve"> </w:t>
      </w:r>
      <w:r>
        <w:t xml:space="preserve">When transfer is cheap (</w:t>
      </w:r>
      <m:oMath>
        <m:sSub>
          <m:e>
            <m:r>
              <m:t>C</m:t>
            </m:r>
          </m:e>
          <m:sub>
            <m:r>
              <m:t>A</m:t>
            </m:r>
          </m:sub>
        </m:sSub>
        <m:r>
          <m:rPr>
            <m:sty m:val="p"/>
          </m:rPr>
          <m:t>=</m:t>
        </m:r>
        <m:r>
          <m:t>0.05</m:t>
        </m:r>
        <m:sSub>
          <m:e>
            <m:r>
              <m:t>C</m:t>
            </m:r>
          </m:e>
          <m:sub>
            <m:r>
              <m:t>N</m:t>
            </m:r>
          </m:sub>
        </m:sSub>
      </m:oMath>
      <w:r>
        <w:t xml:space="preserve">) a gain of two percentage points over copy suffices where copy is mediocre</w:t>
      </w:r>
      <w:r>
        <w:t xml:space="preserve"> </w:t>
      </w:r>
      <w:r>
        <w:t xml:space="preserve">(</w:t>
      </w:r>
      <m:oMath>
        <m:sSub>
          <m:e>
            <m:r>
              <m:t>R</m:t>
            </m:r>
          </m:e>
          <m:sub>
            <m:r>
              <m:t>C</m:t>
            </m:r>
          </m:sub>
        </m:sSub>
        <m:r>
          <m:rPr>
            <m:sty m:val="p"/>
          </m:rPr>
          <m:t>=</m:t>
        </m:r>
        <m:r>
          <m:t>0.71</m:t>
        </m:r>
      </m:oMath>
      <w:r>
        <w:t xml:space="preserve">), and only 0.3 points where copy is already near-perfect (</w:t>
      </w:r>
      <m:oMath>
        <m:sSub>
          <m:e>
            <m:r>
              <m:t>R</m:t>
            </m:r>
          </m:e>
          <m:sub>
            <m:r>
              <m:t>C</m:t>
            </m:r>
          </m:sub>
        </m:sSub>
        <m:r>
          <m:rPr>
            <m:sty m:val="p"/>
          </m:rPr>
          <m:t>=</m:t>
        </m:r>
        <m:r>
          <m:t>0.96</m:t>
        </m:r>
      </m:oMath>
      <w:r>
        <w:t xml:space="preserve">). At the compute costs we measure for ACT</w:t>
      </w:r>
      <w:r>
        <w:t xml:space="preserve"> </w:t>
      </w:r>
      <w:r>
        <w:t xml:space="preserve">(0.35 and 0.65 of</w:t>
      </w:r>
      <w:r>
        <w:t xml:space="preserve"> </w:t>
      </w:r>
      <m:oMath>
        <m:sSub>
          <m:e>
            <m:r>
              <m:t>C</m:t>
            </m:r>
          </m:e>
          <m:sub>
            <m:r>
              <m:t>N</m:t>
            </m:r>
          </m:sub>
        </m:sSub>
      </m:oMath>
      <w:r>
        <w:t xml:space="preserve">), the required gain is 1.9 and 21 points respectively.</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168"/>
          </w:tcPr>
          <w:p>
            <w:pPr>
              <w:pStyle w:val="Compact"/>
              <w:spacing w:line="240" w:lineRule="auto"/>
              <w:jc w:val="left"/>
            </w:pPr>
            <w:r>
              <w:rPr>
                <w:rFonts w:ascii="Times New Roman" w:hAnsi="Times New Roman"/>
                <w:sz w:val="20"/>
              </w:rPr>
              <w:t xml:space="preserve">0.49 (toy, drift 0.8)</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0.527</w:t>
            </w:r>
          </w:p>
        </w:tc>
        <w:tc>
          <w:tcPr>
            <w:tcW w:type="dxa" w:w="2064"/>
          </w:tcPr>
          <w:p>
            <w:pPr>
              <w:pStyle w:val="Compact"/>
              <w:spacing w:line="240" w:lineRule="auto"/>
              <w:jc w:val="center"/>
            </w:pPr>
            <w:r>
              <w:rPr>
                <w:rFonts w:ascii="Times New Roman" w:hAnsi="Times New Roman"/>
                <w:sz w:val="20"/>
              </w:rPr>
              <w:t xml:space="preserve">0.038</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0.728</w:t>
            </w:r>
          </w:p>
        </w:tc>
        <w:tc>
          <w:tcPr>
            <w:tcW w:type="dxa" w:w="2064"/>
          </w:tcPr>
          <w:p>
            <w:pPr>
              <w:pStyle w:val="Compact"/>
              <w:spacing w:line="240" w:lineRule="auto"/>
              <w:jc w:val="center"/>
            </w:pPr>
            <w:r>
              <w:rPr>
                <w:rFonts w:ascii="Times New Roman" w:hAnsi="Times New Roman"/>
                <w:sz w:val="20"/>
              </w:rPr>
              <w:t xml:space="preserve">0.022</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0.65 (measured, ACT)</w:t>
            </w:r>
          </w:p>
        </w:tc>
        <w:tc>
          <w:tcPr>
            <w:tcW w:type="dxa" w:w="2064"/>
          </w:tcPr>
          <w:p>
            <w:pPr>
              <w:pStyle w:val="Compact"/>
              <w:spacing w:line="240" w:lineRule="auto"/>
              <w:jc w:val="center"/>
            </w:pPr>
            <w:r>
              <w:rPr>
                <w:rFonts w:ascii="Times New Roman" w:hAnsi="Times New Roman"/>
                <w:sz w:val="20"/>
              </w:rPr>
              <w:t xml:space="preserve">0.916</w:t>
            </w:r>
          </w:p>
        </w:tc>
        <w:tc>
          <w:tcPr>
            <w:tcW w:type="dxa" w:w="2064"/>
          </w:tcPr>
          <w:p>
            <w:pPr>
              <w:pStyle w:val="Compact"/>
              <w:spacing w:line="240" w:lineRule="auto"/>
              <w:jc w:val="center"/>
            </w:pPr>
            <w:r>
              <w:rPr>
                <w:rFonts w:ascii="Times New Roman" w:hAnsi="Times New Roman"/>
                <w:sz w:val="20"/>
              </w:rPr>
              <w:t xml:space="preserve">0.210</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0.959</w:t>
            </w:r>
          </w:p>
        </w:tc>
        <w:tc>
          <w:tcPr>
            <w:tcW w:type="dxa" w:w="2064"/>
          </w:tcPr>
          <w:p>
            <w:pPr>
              <w:pStyle w:val="Compact"/>
              <w:spacing w:line="240" w:lineRule="auto"/>
              <w:jc w:val="center"/>
            </w:pPr>
            <w:r>
              <w:rPr>
                <w:rFonts w:ascii="Times New Roman" w:hAnsi="Times New Roman"/>
                <w:sz w:val="20"/>
              </w:rPr>
              <w:t xml:space="preserve">0.003</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0.35 (measured, ACT)</w:t>
            </w:r>
          </w:p>
        </w:tc>
        <w:tc>
          <w:tcPr>
            <w:tcW w:type="dxa" w:w="2064"/>
          </w:tcPr>
          <w:p>
            <w:pPr>
              <w:pStyle w:val="Compact"/>
              <w:spacing w:line="240" w:lineRule="auto"/>
              <w:jc w:val="center"/>
            </w:pPr>
            <w:r>
              <w:rPr>
                <w:rFonts w:ascii="Times New Roman" w:hAnsi="Times New Roman"/>
                <w:sz w:val="20"/>
              </w:rPr>
              <w:t xml:space="preserve">0.975</w:t>
            </w:r>
          </w:p>
        </w:tc>
        <w:tc>
          <w:tcPr>
            <w:tcW w:type="dxa" w:w="2064"/>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one seed per pair. Costs are compute time only. We evaluate two pairs: Pythia-160M step 133k to</w:t>
      </w:r>
      <w:r>
        <w:t xml:space="preserve"> </w:t>
      </w:r>
      <w:r>
        <w:t xml:space="preserve">step 143k (Biderman et al., 2023), a small upgrade, and SmolLM2-360M base to instruction-tuned, a larger one. Larger-drift pairs, such as the later Pythia checkpoints</w:t>
      </w:r>
      <w:r>
        <w:t xml:space="preserve"> </w:t>
      </w:r>
      <w:r>
        <w:t xml:space="preserve">(steps 113k and 73k), were not run.</w:t>
      </w:r>
    </w:p>
    <w:p>
      <w:pPr>
        <w:pStyle w:val="TableCaption"/>
      </w:pPr>
      <w:r>
        <w:t xml:space="preserve">Recovery on open model pairs. NLL on 200 held-out responses; compute-time cost ratio</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on open model pairs. NLL on 200 held-out responses; compute-time cost ratio C_A/C_N."/>
        <w:tblBorders>
          <w:top w:val="single" w:sz="12" w:color="000000"/>
          <w:bottom w:val="single" w:sz="12" w:color="000000"/>
        </w:tblBorders>
        <w:tblLayout w:type="fixed"/>
      </w:tblPr>
      <w:tblGrid>
        <w:gridCol w:w="2217"/>
        <w:gridCol w:w="892"/>
        <w:gridCol w:w="892"/>
        <w:gridCol w:w="892"/>
        <w:gridCol w:w="892"/>
        <w:gridCol w:w="892"/>
        <w:gridCol w:w="892"/>
        <w:gridCol w:w="892"/>
        <w:gridCol w:w="892"/>
      </w:tblGrid>
      <w:tr>
        <w:trPr>
          <w:tblHeader w:val="true"/>
        </w:trPr>
        <w:tc>
          <w:tcPr>
            <w:tcW w:type="dxa" w:w="2218"/>
            <w:tcBorders>
              <w:bottom w:val="single" w:sz="6" w:color="000000"/>
            </w:tcBorders>
          </w:tcPr>
          <w:p>
            <w:pPr>
              <w:pStyle w:val="Compact"/>
              <w:spacing w:line="240" w:lineRule="auto"/>
              <w:jc w:val="left"/>
            </w:pPr>
            <w:r>
              <w:rPr>
                <w:rFonts w:ascii="Times New Roman" w:hAnsi="Times New Roman"/>
                <w:sz w:val="18"/>
              </w:rPr>
              <w:t xml:space="preserve">Pair</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None</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Retrain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Copy</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ACT</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C</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A</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w:t>
            </w:r>
            <w:r>
              <w:rPr>
                <w:rFonts w:ascii="Times New Roman" w:hAnsi="Times New Roman"/>
                <w:sz w:val="18"/>
                <w:vertAlign w:val="subscript"/>
              </w:rPr>
              <w:t xml:space="preserve">A</w:t>
            </w:r>
            <w:r>
              <w:rPr>
                <w:rFonts w:ascii="Times New Roman" w:hAnsi="Times New Roman"/>
                <w:sz w:val="18"/>
              </w:rPr>
              <w:t xml:space="preserve">/C</w:t>
            </w:r>
            <w:r>
              <w:rPr>
                <w:rFonts w:ascii="Times New Roman" w:hAnsi="Times New Roman"/>
                <w:sz w:val="18"/>
                <w:vertAlign w:val="subscript"/>
              </w:rPr>
              <w:t xml:space="preserve">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v*</w:t>
            </w:r>
            <w:r>
              <w:rPr>
                <w:rFonts w:ascii="Times New Roman" w:hAnsi="Times New Roman"/>
                <w:sz w:val="18"/>
                <w:vertAlign w:val="subscript"/>
              </w:rPr>
              <w:t xml:space="preserve">C</w:t>
            </w:r>
            <w:r>
              <w:rPr>
                <w:rFonts w:ascii="Times New Roman" w:hAnsi="Times New Roman"/>
                <w:sz w:val="18"/>
              </w:rPr>
              <w:t xml:space="preserve">/C</w:t>
            </w:r>
            <w:r>
              <w:rPr>
                <w:rFonts w:ascii="Times New Roman" w:hAnsi="Times New Roman"/>
                <w:sz w:val="18"/>
                <w:vertAlign w:val="subscript"/>
              </w:rPr>
              <w:t xml:space="preserve">N</w:t>
            </w:r>
          </w:p>
        </w:tc>
      </w:tr>
      <w:tr>
        <w:tc>
          <w:tcPr>
            <w:tcW w:type="dxa" w:w="2218"/>
          </w:tcPr>
          <w:p>
            <w:pPr>
              <w:pStyle w:val="Compact"/>
              <w:spacing w:line="240" w:lineRule="auto"/>
              <w:jc w:val="left"/>
            </w:pPr>
            <w:r>
              <w:rPr>
                <w:rFonts w:ascii="Times New Roman" w:hAnsi="Times New Roman"/>
                <w:sz w:val="18"/>
              </w:rPr>
              <w:t xml:space="preserve">Pythia-160M, 133k→143k</w:t>
            </w:r>
          </w:p>
        </w:tc>
        <w:tc>
          <w:tcPr>
            <w:tcW w:type="dxa" w:w="893"/>
          </w:tcPr>
          <w:p>
            <w:pPr>
              <w:pStyle w:val="Compact"/>
              <w:spacing w:line="240" w:lineRule="auto"/>
              <w:jc w:val="center"/>
            </w:pPr>
            <w:r>
              <w:rPr>
                <w:rFonts w:ascii="Times New Roman" w:hAnsi="Times New Roman"/>
                <w:sz w:val="18"/>
              </w:rPr>
              <w:t xml:space="preserve">2.761</w:t>
            </w:r>
          </w:p>
        </w:tc>
        <w:tc>
          <w:tcPr>
            <w:tcW w:type="dxa" w:w="893"/>
          </w:tcPr>
          <w:p>
            <w:pPr>
              <w:pStyle w:val="Compact"/>
              <w:spacing w:line="240" w:lineRule="auto"/>
              <w:jc w:val="center"/>
            </w:pPr>
            <w:r>
              <w:rPr>
                <w:rFonts w:ascii="Times New Roman" w:hAnsi="Times New Roman"/>
                <w:sz w:val="18"/>
              </w:rPr>
              <w:t xml:space="preserve">1.355</w:t>
            </w:r>
          </w:p>
        </w:tc>
        <w:tc>
          <w:tcPr>
            <w:tcW w:type="dxa" w:w="893"/>
          </w:tcPr>
          <w:p>
            <w:pPr>
              <w:pStyle w:val="Compact"/>
              <w:spacing w:line="240" w:lineRule="auto"/>
              <w:jc w:val="center"/>
            </w:pPr>
            <w:r>
              <w:rPr>
                <w:rFonts w:ascii="Times New Roman" w:hAnsi="Times New Roman"/>
                <w:sz w:val="18"/>
              </w:rPr>
              <w:t xml:space="preserve">1.417</w:t>
            </w:r>
          </w:p>
        </w:tc>
        <w:tc>
          <w:tcPr>
            <w:tcW w:type="dxa" w:w="893"/>
          </w:tcPr>
          <w:p>
            <w:pPr>
              <w:pStyle w:val="Compact"/>
              <w:spacing w:line="240" w:lineRule="auto"/>
              <w:jc w:val="center"/>
            </w:pPr>
            <w:r>
              <w:rPr>
                <w:rFonts w:ascii="Times New Roman" w:hAnsi="Times New Roman"/>
                <w:sz w:val="18"/>
              </w:rPr>
              <w:t xml:space="preserve">1.423</w:t>
            </w:r>
          </w:p>
        </w:tc>
        <w:tc>
          <w:tcPr>
            <w:tcW w:type="dxa" w:w="893"/>
          </w:tcPr>
          <w:p>
            <w:pPr>
              <w:pStyle w:val="Compact"/>
              <w:spacing w:line="240" w:lineRule="auto"/>
              <w:jc w:val="center"/>
            </w:pPr>
            <w:r>
              <w:rPr>
                <w:rFonts w:ascii="Times New Roman" w:hAnsi="Times New Roman"/>
                <w:sz w:val="18"/>
              </w:rPr>
              <w:t xml:space="preserve">0.956</w:t>
            </w:r>
          </w:p>
        </w:tc>
        <w:tc>
          <w:tcPr>
            <w:tcW w:type="dxa" w:w="893"/>
          </w:tcPr>
          <w:p>
            <w:pPr>
              <w:pStyle w:val="Compact"/>
              <w:spacing w:line="240" w:lineRule="auto"/>
              <w:jc w:val="center"/>
            </w:pPr>
            <w:r>
              <w:rPr>
                <w:rFonts w:ascii="Times New Roman" w:hAnsi="Times New Roman"/>
                <w:sz w:val="18"/>
              </w:rPr>
              <w:t xml:space="preserve">0.952</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55.7</w:t>
            </w:r>
          </w:p>
        </w:tc>
      </w:tr>
      <w:tr>
        <w:tc>
          <w:tcPr>
            <w:tcW w:type="dxa" w:w="2218"/>
          </w:tcPr>
          <w:p>
            <w:pPr>
              <w:pStyle w:val="Compact"/>
              <w:spacing w:line="240" w:lineRule="auto"/>
              <w:jc w:val="left"/>
            </w:pPr>
            <w:r>
              <w:rPr>
                <w:rFonts w:ascii="Times New Roman" w:hAnsi="Times New Roman"/>
                <w:sz w:val="18"/>
              </w:rPr>
              <w:t xml:space="preserve">SmolLM2-360M, base→instruct</w:t>
            </w:r>
          </w:p>
        </w:tc>
        <w:tc>
          <w:tcPr>
            <w:tcW w:type="dxa" w:w="893"/>
          </w:tcPr>
          <w:p>
            <w:pPr>
              <w:pStyle w:val="Compact"/>
              <w:spacing w:line="240" w:lineRule="auto"/>
              <w:jc w:val="center"/>
            </w:pPr>
            <w:r>
              <w:rPr>
                <w:rFonts w:ascii="Times New Roman" w:hAnsi="Times New Roman"/>
                <w:sz w:val="18"/>
              </w:rPr>
              <w:t xml:space="preserve">1.015</w:t>
            </w:r>
          </w:p>
        </w:tc>
        <w:tc>
          <w:tcPr>
            <w:tcW w:type="dxa" w:w="893"/>
          </w:tcPr>
          <w:p>
            <w:pPr>
              <w:pStyle w:val="Compact"/>
              <w:spacing w:line="240" w:lineRule="auto"/>
              <w:jc w:val="center"/>
            </w:pPr>
            <w:r>
              <w:rPr>
                <w:rFonts w:ascii="Times New Roman" w:hAnsi="Times New Roman"/>
                <w:sz w:val="18"/>
              </w:rPr>
              <w:t xml:space="preserve">0.652</w:t>
            </w:r>
          </w:p>
        </w:tc>
        <w:tc>
          <w:tcPr>
            <w:tcW w:type="dxa" w:w="893"/>
          </w:tcPr>
          <w:p>
            <w:pPr>
              <w:pStyle w:val="Compact"/>
              <w:spacing w:line="240" w:lineRule="auto"/>
              <w:jc w:val="center"/>
            </w:pPr>
            <w:r>
              <w:rPr>
                <w:rFonts w:ascii="Times New Roman" w:hAnsi="Times New Roman"/>
                <w:sz w:val="18"/>
              </w:rPr>
              <w:t xml:space="preserve">0.759</w:t>
            </w:r>
          </w:p>
        </w:tc>
        <w:tc>
          <w:tcPr>
            <w:tcW w:type="dxa" w:w="893"/>
          </w:tcPr>
          <w:p>
            <w:pPr>
              <w:pStyle w:val="Compact"/>
              <w:spacing w:line="240" w:lineRule="auto"/>
              <w:jc w:val="center"/>
            </w:pPr>
            <w:r>
              <w:rPr>
                <w:rFonts w:ascii="Times New Roman" w:hAnsi="Times New Roman"/>
                <w:sz w:val="18"/>
              </w:rPr>
              <w:t xml:space="preserve">0.761</w:t>
            </w:r>
          </w:p>
        </w:tc>
        <w:tc>
          <w:tcPr>
            <w:tcW w:type="dxa" w:w="893"/>
          </w:tcPr>
          <w:p>
            <w:pPr>
              <w:pStyle w:val="Compact"/>
              <w:spacing w:line="240" w:lineRule="auto"/>
              <w:jc w:val="center"/>
            </w:pPr>
            <w:r>
              <w:rPr>
                <w:rFonts w:ascii="Times New Roman" w:hAnsi="Times New Roman"/>
                <w:sz w:val="18"/>
              </w:rPr>
              <w:t xml:space="preserve">0.706</w:t>
            </w:r>
          </w:p>
        </w:tc>
        <w:tc>
          <w:tcPr>
            <w:tcW w:type="dxa" w:w="893"/>
          </w:tcPr>
          <w:p>
            <w:pPr>
              <w:pStyle w:val="Compact"/>
              <w:spacing w:line="240" w:lineRule="auto"/>
              <w:jc w:val="center"/>
            </w:pPr>
            <w:r>
              <w:rPr>
                <w:rFonts w:ascii="Times New Roman" w:hAnsi="Times New Roman"/>
                <w:sz w:val="18"/>
              </w:rPr>
              <w:t xml:space="preserve">0.700</w:t>
            </w:r>
          </w:p>
        </w:tc>
        <w:tc>
          <w:tcPr>
            <w:tcW w:type="dxa" w:w="893"/>
          </w:tcPr>
          <w:p>
            <w:pPr>
              <w:pStyle w:val="Compact"/>
              <w:spacing w:line="240" w:lineRule="auto"/>
              <w:jc w:val="center"/>
            </w:pPr>
            <w:r>
              <w:rPr>
                <w:rFonts w:ascii="Times New Roman" w:hAnsi="Times New Roman"/>
                <w:sz w:val="18"/>
              </w:rPr>
              <w:t xml:space="preserve">0.65</w:t>
            </w:r>
          </w:p>
        </w:tc>
        <w:tc>
          <w:tcPr>
            <w:tcW w:type="dxa" w:w="893"/>
          </w:tcPr>
          <w:p>
            <w:pPr>
              <w:pStyle w:val="Compact"/>
              <w:spacing w:line="240" w:lineRule="auto"/>
              <w:jc w:val="center"/>
            </w:pPr>
            <w:r>
              <w:rPr>
                <w:rFonts w:ascii="Times New Roman" w:hAnsi="Times New Roman"/>
                <w:sz w:val="18"/>
              </w:rPr>
              <w:t xml:space="preserve">8.4</w:t>
            </w:r>
          </w:p>
        </w:tc>
      </w:tr>
    </w:tbl>
    <w:p>
      <w:pPr>
        <w:pStyle w:val="BodyText"/>
      </w:pPr>
      <w:r>
        <w:rPr>
          <w:bCs/>
          <w:b/>
        </w:rPr>
        <w:t xml:space="preserve">Results.</w:t>
      </w:r>
      <w:r>
        <w:t xml:space="preserve"> </w:t>
      </w:r>
      <w:r>
        <w:t xml:space="preserve">Copying recovers 96% of the retraining benefit for the small upgrade and 71% for the larger one. Under the</w:t>
      </w:r>
      <w:r>
        <w:t xml:space="preserve"> </w:t>
      </w:r>
      <w:r>
        <w:t xml:space="preserve">baseline parameters the corresponding retraining thresholds are 55.7 and 8.4 times</w:t>
      </w:r>
      <w:r>
        <w:t xml:space="preserve"> </w:t>
      </w:r>
      <m:oMath>
        <m:sSub>
          <m:e>
            <m:r>
              <m:t>C</m:t>
            </m:r>
          </m:e>
          <m:sub>
            <m:r>
              <m:t>N</m:t>
            </m:r>
          </m:sub>
        </m:sSub>
      </m:oMath>
      <w:r>
        <w:t xml:space="preserve">: a task must be worth that many retraining</w:t>
      </w:r>
      <w:r>
        <w:t xml:space="preserve"> </w:t>
      </w:r>
      <w:r>
        <w:t xml:space="preserve">costs per year before retraining immediately beats keeping the old adapter and retraining later on demand. ACT does not improve on copy</w:t>
      </w:r>
      <w:r>
        <w:t xml:space="preserve"> </w:t>
      </w:r>
      <w:r>
        <w:t xml:space="preserve">in either pair: its recovery is lower by 0.004 and 0.006, well inside the noise of a 200-example evaluation. Consequently</w:t>
      </w:r>
      <w:r>
        <w:t xml:space="preserve"> </w:t>
      </w:r>
      <m:oMath>
        <m:r>
          <m:t>Γ</m:t>
        </m:r>
        <m:r>
          <m:rPr>
            <m:sty m:val="p"/>
          </m:rPr>
          <m:t>=</m:t>
        </m:r>
        <m:r>
          <m:t>0</m:t>
        </m:r>
      </m:oMath>
      <w:r>
        <w:t xml:space="preserve"> </w:t>
      </w:r>
      <w:r>
        <w:t xml:space="preserve">for both, and ACT is never the cost-minimizing policy at any</w:t>
      </w:r>
      <w:r>
        <w:t xml:space="preserve"> </w:t>
      </w:r>
      <m:oMath>
        <m:r>
          <m:t>v</m:t>
        </m:r>
      </m:oMath>
      <w:r>
        <w:t xml:space="preserve">, whatever its cost.</w:t>
      </w:r>
      <w:r>
        <w:t xml:space="preserve"> </w:t>
      </w:r>
      <w:r>
        <w:t xml:space="preserve">A second run of the SmolLM2 pair with a shorter schedule (100 steps, batch 2, 60 evaluation examples, run on a different machine) gives</w:t>
      </w:r>
      <w:r>
        <w:t xml:space="preserve"> </w:t>
      </w:r>
      <w:r>
        <w:t xml:space="preserve">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 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the thresholds.</w:t>
      </w:r>
    </w:p>
    <w:bookmarkEnd w:id="26"/>
    <w:bookmarkStart w:id="27" w:name="why-does-act-not-help-on-real-pairs"/>
    <w:p>
      <w:pPr>
        <w:pStyle w:val="Heading1"/>
      </w:pPr>
      <w:r>
        <w:t xml:space="preserve">8. Why Does ACT Not Help on Real Pairs?</w:t>
      </w:r>
    </w:p>
    <w:p>
      <w:pPr>
        <w:pStyle w:val="FirstParagraph"/>
      </w:pPr>
      <w:r>
        <w:t xml:space="preserve">ACT does help in the controlled simulation, so the discrepancy needs explanation. We test three candidates.</w:t>
      </w:r>
      <w:r>
        <w:t xml:space="preserve"> </w:t>
      </w:r>
      <w:r>
        <w:t xml:space="preserve">The first is the</w:t>
      </w:r>
      <w:r>
        <w:t xml:space="preserve"> </w:t>
      </w:r>
      <w:r>
        <w:rPr>
          <w:iCs/>
          <w:i/>
        </w:rPr>
        <w:t xml:space="preserve">upgrade type</w:t>
      </w:r>
      <w:r>
        <w:t xml:space="preserve">: the original simulation rotates the hidden basis, which ACT can undo, whereas</w:t>
      </w:r>
      <w:r>
        <w:t xml:space="preserve"> </w:t>
      </w:r>
      <w:r>
        <w:t xml:space="preserve">instruction tuning moves weights within a shared basis. We re-run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w:t>
      </w:r>
      <w:r>
        <w:t xml:space="preserve"> </w:t>
      </w:r>
      <w:r>
        <w:t xml:space="preserve">simulation the target task is by construction the same change the source adapter made, so preserving the adapter’s effect is exactly right,</w:t>
      </w:r>
      <w:r>
        <w:t xml:space="preserve"> </w:t>
      </w:r>
      <w:r>
        <w:t xml:space="preserve">whereas on real models retraining may learn something the source adapter never encoded. We mix the target task with a fresh rank-4 change</w:t>
      </w:r>
      <w:r>
        <w:t xml:space="preserve"> </w:t>
      </w:r>
      <w:r>
        <w:t xml:space="preserve">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while recovery is measured on</w:t>
      </w:r>
      <w:r>
        <w:t xml:space="preserve"> </w:t>
      </w:r>
      <w:r>
        <w:t xml:space="preserve">answer tokens. We re-run the Pythia pair calibrating on prompt and answer tokens.</w:t>
      </w:r>
    </w:p>
    <w:p>
      <w:pPr>
        <w:pStyle w:val="TableCaption"/>
      </w:pPr>
      <w:r>
        <w:t xml:space="preserve">Simulated ACT−copy recovery gain (two seeds per cell; ACT wins in all 12 conditions).</w:t>
      </w:r>
    </w:p>
    <w:tbl>
      <w:tblPr>
        <w:tblStyle w:val="Table"/>
        <w:tblW w:type="dxa" w:w="9360"/>
        <w:tblLook w:firstRow="1" w:lastRow="0" w:firstColumn="0" w:lastColumn="0" w:noHBand="0" w:noVBand="0" w:val="0020"/>
        <w:jc w:val="start"/>
        <w:tblCaption w:val="Simulated ACT−copy recovery gain (two seeds per cell; ACT wins in all 12 conditions)."/>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2064"/>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w:t>
            </w:r>
          </w:p>
        </w:tc>
        <w:tc>
          <w:tcPr>
            <w:tcW w:type="dxa" w:w="2064"/>
          </w:tcPr>
          <w:p>
            <w:pPr>
              <w:pStyle w:val="Compact"/>
              <w:spacing w:line="240" w:lineRule="auto"/>
              <w:jc w:val="center"/>
            </w:pPr>
            <w:r>
              <w:rPr>
                <w:rFonts w:ascii="Times New Roman" w:hAnsi="Times New Roman"/>
                <w:sz w:val="20"/>
              </w:rPr>
              <w:t xml:space="preserve">+0.060</w:t>
            </w:r>
          </w:p>
        </w:tc>
        <w:tc>
          <w:tcPr>
            <w:tcW w:type="dxa" w:w="2064"/>
          </w:tcPr>
          <w:p>
            <w:pPr>
              <w:pStyle w:val="Compact"/>
              <w:spacing w:line="240" w:lineRule="auto"/>
              <w:jc w:val="center"/>
            </w:pPr>
            <w:r>
              <w:rPr>
                <w:rFonts w:ascii="Times New Roman" w:hAnsi="Times New Roman"/>
                <w:sz w:val="20"/>
              </w:rPr>
              <w:t xml:space="preserve">+0.177</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0.5</w:t>
            </w:r>
          </w:p>
        </w:tc>
        <w:tc>
          <w:tcPr>
            <w:tcW w:type="dxa" w:w="2064"/>
          </w:tcPr>
          <w:p>
            <w:pPr>
              <w:pStyle w:val="Compact"/>
              <w:spacing w:line="240" w:lineRule="auto"/>
              <w:jc w:val="center"/>
            </w:pPr>
            <w:r>
              <w:rPr>
                <w:rFonts w:ascii="Times New Roman" w:hAnsi="Times New Roman"/>
                <w:sz w:val="20"/>
              </w:rPr>
              <w:t xml:space="preserve">+0.056</w:t>
            </w:r>
          </w:p>
        </w:tc>
        <w:tc>
          <w:tcPr>
            <w:tcW w:type="dxa" w:w="2064"/>
          </w:tcPr>
          <w:p>
            <w:pPr>
              <w:pStyle w:val="Compact"/>
              <w:spacing w:line="240" w:lineRule="auto"/>
              <w:jc w:val="center"/>
            </w:pPr>
            <w:r>
              <w:rPr>
                <w:rFonts w:ascii="Times New Roman" w:hAnsi="Times New Roman"/>
                <w:sz w:val="20"/>
              </w:rPr>
              <w:t xml:space="preserve">+0.165</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0.9</w:t>
            </w:r>
          </w:p>
        </w:tc>
        <w:tc>
          <w:tcPr>
            <w:tcW w:type="dxa" w:w="2064"/>
          </w:tcPr>
          <w:p>
            <w:pPr>
              <w:pStyle w:val="Compact"/>
              <w:spacing w:line="240" w:lineRule="auto"/>
              <w:jc w:val="center"/>
            </w:pPr>
            <w:r>
              <w:rPr>
                <w:rFonts w:ascii="Times New Roman" w:hAnsi="Times New Roman"/>
                <w:sz w:val="20"/>
              </w:rPr>
              <w:t xml:space="preserve">+0.048</w:t>
            </w:r>
          </w:p>
        </w:tc>
        <w:tc>
          <w:tcPr>
            <w:tcW w:type="dxa" w:w="2064"/>
          </w:tcPr>
          <w:p>
            <w:pPr>
              <w:pStyle w:val="Compact"/>
              <w:spacing w:line="240" w:lineRule="auto"/>
              <w:jc w:val="center"/>
            </w:pPr>
            <w:r>
              <w:rPr>
                <w:rFonts w:ascii="Times New Roman" w:hAnsi="Times New Roman"/>
                <w:sz w:val="20"/>
              </w:rPr>
              <w:t xml:space="preserve">+0.131</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w:t>
            </w:r>
          </w:p>
        </w:tc>
        <w:tc>
          <w:tcPr>
            <w:tcW w:type="dxa" w:w="2064"/>
          </w:tcPr>
          <w:p>
            <w:pPr>
              <w:pStyle w:val="Compact"/>
              <w:spacing w:line="240" w:lineRule="auto"/>
              <w:jc w:val="center"/>
            </w:pPr>
            <w:r>
              <w:rPr>
                <w:rFonts w:ascii="Times New Roman" w:hAnsi="Times New Roman"/>
                <w:sz w:val="20"/>
              </w:rPr>
              <w:t xml:space="preserve">+0.073</w:t>
            </w:r>
          </w:p>
        </w:tc>
        <w:tc>
          <w:tcPr>
            <w:tcW w:type="dxa" w:w="2064"/>
          </w:tcPr>
          <w:p>
            <w:pPr>
              <w:pStyle w:val="Compact"/>
              <w:spacing w:line="240" w:lineRule="auto"/>
              <w:jc w:val="center"/>
            </w:pPr>
            <w:r>
              <w:rPr>
                <w:rFonts w:ascii="Times New Roman" w:hAnsi="Times New Roman"/>
                <w:sz w:val="20"/>
              </w:rPr>
              <w:t xml:space="preserve">+0.256</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0.5</w:t>
            </w:r>
          </w:p>
        </w:tc>
        <w:tc>
          <w:tcPr>
            <w:tcW w:type="dxa" w:w="2064"/>
          </w:tcPr>
          <w:p>
            <w:pPr>
              <w:pStyle w:val="Compact"/>
              <w:spacing w:line="240" w:lineRule="auto"/>
              <w:jc w:val="center"/>
            </w:pPr>
            <w:r>
              <w:rPr>
                <w:rFonts w:ascii="Times New Roman" w:hAnsi="Times New Roman"/>
                <w:sz w:val="20"/>
              </w:rPr>
              <w:t xml:space="preserve">+0.094</w:t>
            </w:r>
          </w:p>
        </w:tc>
        <w:tc>
          <w:tcPr>
            <w:tcW w:type="dxa" w:w="2064"/>
          </w:tcPr>
          <w:p>
            <w:pPr>
              <w:pStyle w:val="Compact"/>
              <w:spacing w:line="240" w:lineRule="auto"/>
              <w:jc w:val="center"/>
            </w:pPr>
            <w:r>
              <w:rPr>
                <w:rFonts w:ascii="Times New Roman" w:hAnsi="Times New Roman"/>
                <w:sz w:val="20"/>
              </w:rPr>
              <w:t xml:space="preserve">+0.287</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0.9</w:t>
            </w:r>
          </w:p>
        </w:tc>
        <w:tc>
          <w:tcPr>
            <w:tcW w:type="dxa" w:w="2064"/>
          </w:tcPr>
          <w:p>
            <w:pPr>
              <w:pStyle w:val="Compact"/>
              <w:spacing w:line="240" w:lineRule="auto"/>
              <w:jc w:val="center"/>
            </w:pPr>
            <w:r>
              <w:rPr>
                <w:rFonts w:ascii="Times New Roman" w:hAnsi="Times New Roman"/>
                <w:sz w:val="20"/>
              </w:rPr>
              <w:t xml:space="preserve">+0.125</w:t>
            </w:r>
          </w:p>
        </w:tc>
        <w:tc>
          <w:tcPr>
            <w:tcW w:type="dxa" w:w="2064"/>
          </w:tcPr>
          <w:p>
            <w:pPr>
              <w:pStyle w:val="Compact"/>
              <w:spacing w:line="240" w:lineRule="auto"/>
              <w:jc w:val="center"/>
            </w:pPr>
            <w:r>
              <w:rPr>
                <w:rFonts w:ascii="Times New Roman" w:hAnsi="Times New Roman"/>
                <w:sz w:val="20"/>
              </w:rPr>
              <w:t xml:space="preserve">+0.331</w:t>
            </w:r>
          </w:p>
        </w:tc>
      </w:tr>
    </w:tbl>
    <w:p>
      <w:pPr>
        <w:pStyle w:val="BodyText"/>
      </w:pPr>
      <w:r>
        <w:t xml:space="preserve">None of the three explains the result. In simulation ACT keeps a gain of 0.05 to 0.33 under both upgrade types and every task overlap</w:t>
      </w:r>
      <w:r>
        <w:t xml:space="preserve"> </w:t>
      </w:r>
      <w:r>
        <w:t xml:space="preserve">(Table 5), and on the Pythia pair calibrating on prompt and answer tokens still leaves ACT behind copy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w:t>
      </w:r>
      <w:r>
        <w:t xml:space="preserve"> </w:t>
      </w:r>
      <w:r>
        <w:t xml:space="preserve">Two descriptive facts point to a behavioral difference. On the real models activation drift is substantial (median 0.27 for SmolLM2, range 0.03 to 0.55),</w:t>
      </w:r>
      <w:r>
        <w:t xml:space="preserve"> </w:t>
      </w:r>
      <w:r>
        <w:t xml:space="preserve">so ACT had room to act. And the anchoring strength chosen by validation rises with drift on SmolLM2 (Spearman 0.78) whereas it fell with drift in</w:t>
      </w:r>
      <w:r>
        <w:t xml:space="preserve"> </w:t>
      </w:r>
      <w:r>
        <w:t xml:space="preserve">simulation (</w:t>
      </w:r>
      <m:oMath>
        <m:r>
          <m:rPr>
            <m:sty m:val="p"/>
          </m:rPr>
          <m:t>−</m:t>
        </m:r>
        <m:r>
          <m:t>0.30</m:t>
        </m:r>
      </m:oMath>
      <w:r>
        <w:t xml:space="preserve">): the validation criterion pulls the correction back toward the copied adapter where drift is large. We have not identified the cause. Untested candidates include</w:t>
      </w:r>
      <w:r>
        <w:t xml:space="preserve"> </w:t>
      </w:r>
      <w:r>
        <w:t xml:space="preserve">properties of real transformers absent from the simulation (residual connections, normalization, attention) and the fact that LoRA’s</w:t>
      </w:r>
      <w:r>
        <w:t xml:space="preserve"> </w:t>
      </w:r>
      <m:oMath>
        <m:r>
          <m:t>A</m:t>
        </m:r>
      </m:oMath>
      <w:r>
        <w:t xml:space="preserve"> </w:t>
      </w:r>
      <w:r>
        <w:t xml:space="preserve">matrix stays close to its initialization</w:t>
      </w:r>
      <w:r>
        <w:t xml:space="preserve"> </w:t>
      </w:r>
      <w:r>
        <w:t xml:space="preserve">in short fine-tuning, which would make an</w:t>
      </w:r>
      <w:r>
        <w:t xml:space="preserve"> </w:t>
      </w:r>
      <m:oMath>
        <m:r>
          <m:t>A</m:t>
        </m:r>
      </m:oMath>
      <w:r>
        <w:t xml:space="preserve">-only correction uninformative. The Pythia calibration test also has limited power, because copy already recovers 96% there.</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for the</w:t>
      </w:r>
      <w:r>
        <w:t xml:space="preserve"> </w:t>
      </w:r>
      <m:oMath>
        <m:r>
          <m:t>s</m:t>
        </m:r>
        <m:r>
          <m:rPr>
            <m:sty m:val="p"/>
          </m:rPr>
          <m:t>=</m:t>
        </m:r>
        <m:r>
          <m:t>0.8</m:t>
        </m:r>
      </m:oMath>
      <w:r>
        <w:t xml:space="preserve"> </w:t>
      </w:r>
      <w:r>
        <w:t xml:space="preserve">recovery</w:t>
      </w:r>
      <w:r>
        <w:t xml:space="preserve"> </w:t>
      </w:r>
      <w:r>
        <w:t xml:space="preserve">rates.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0.2740</w:t>
      </w:r>
      <w:r>
        <w:t xml:space="preserve"> </w:t>
      </w:r>
      <m:oMath>
        <m:r>
          <m:rPr>
            <m:sty m:val="p"/>
          </m:rPr>
          <m:t>±</m:t>
        </m:r>
      </m:oMath>
      <w:r>
        <w:t xml:space="preserve"> </w:t>
      </w:r>
      <w:r>
        <w:t xml:space="preserve">0.0015 versus 0.2722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w:t>
      </w:r>
      <m:oMath>
        <m:r>
          <m:t>s</m:t>
        </m:r>
        <m:r>
          <m:rPr>
            <m:sty m:val="p"/>
          </m:rPr>
          <m:t>=</m:t>
        </m:r>
        <m:r>
          <m:t>0.8</m:t>
        </m:r>
      </m:oMath>
      <w:r>
        <w:t xml:space="preserve">).</w:t>
      </w:r>
    </w:p>
    <w:tbl>
      <w:tblPr>
        <w:tblStyle w:val="Table"/>
        <w:tblW w:type="dxa" w:w="9360"/>
        <w:tblLook w:firstRow="1" w:lastRow="0" w:firstColumn="0" w:lastColumn="0" w:noHBand="0" w:noVBand="0" w:val="0020"/>
        <w:jc w:val="start"/>
        <w:tblCaption w:val="Optimal ACT threshold, cost of using the Poisson threshold, and ACT-optimal region (s=0.8)."/>
        <w:tblBorders>
          <w:top w:val="single" w:sz="12" w:color="000000"/>
          <w:bottom w:val="single" w:sz="12" w:color="000000"/>
        </w:tblBorders>
        <w:tblLayout w:type="fixed"/>
      </w:tblPr>
      <w:tblGrid>
        <w:gridCol w:w="3168"/>
        <w:gridCol w:w="1548"/>
        <w:gridCol w:w="1548"/>
        <w:gridCol w:w="1548"/>
        <w:gridCol w:w="154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168"/>
          </w:tcPr>
          <w:p>
            <w:pPr>
              <w:pStyle w:val="Compact"/>
              <w:spacing w:line="240" w:lineRule="auto"/>
              <w:jc w:val="left"/>
            </w:pPr>
            <w:r>
              <w:rPr>
                <w:rFonts w:ascii="Times New Roman" w:hAnsi="Times New Roman"/>
                <w:sz w:val="20"/>
              </w:rPr>
              <w:t xml:space="preserve">Poisson (CV = 1)</w:t>
            </w:r>
          </w:p>
        </w:tc>
        <w:tc>
          <w:tcPr>
            <w:tcW w:type="dxa" w:w="1548"/>
          </w:tcPr>
          <w:p>
            <w:pPr>
              <w:pStyle w:val="Compact"/>
              <w:spacing w:line="240" w:lineRule="auto"/>
              <w:jc w:val="center"/>
            </w:pPr>
            <w:r>
              <w:rPr>
                <w:rFonts w:ascii="Times New Roman" w:hAnsi="Times New Roman"/>
                <w:sz w:val="20"/>
              </w:rPr>
              <w:t xml:space="preserve">7.96</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6.79)</w:t>
            </w:r>
          </w:p>
        </w:tc>
      </w:tr>
      <w:tr>
        <w:tc>
          <w:tcPr>
            <w:tcW w:type="dxa" w:w="3168"/>
          </w:tcPr>
          <w:p>
            <w:pPr>
              <w:pStyle w:val="Compact"/>
              <w:spacing w:line="240" w:lineRule="auto"/>
              <w:jc w:val="left"/>
            </w:pPr>
            <w:r>
              <w:rPr>
                <w:rFonts w:ascii="Times New Roman" w:hAnsi="Times New Roman"/>
                <w:sz w:val="20"/>
              </w:rPr>
              <w:t xml:space="preserve">Hyperexponential, CV = 2</w:t>
            </w:r>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0.8%</w:t>
            </w:r>
          </w:p>
        </w:tc>
        <w:tc>
          <w:tcPr>
            <w:tcW w:type="dxa" w:w="1548"/>
          </w:tcPr>
          <w:p>
            <w:pPr>
              <w:pStyle w:val="Compact"/>
              <w:spacing w:line="240" w:lineRule="auto"/>
              <w:jc w:val="center"/>
            </w:pPr>
            <w:r>
              <w:rPr>
                <w:rFonts w:ascii="Times New Roman" w:hAnsi="Times New Roman"/>
                <w:sz w:val="20"/>
              </w:rPr>
              <w:t xml:space="preserve">1.1%</w:t>
            </w:r>
          </w:p>
        </w:tc>
        <w:tc>
          <w:tcPr>
            <w:tcW w:type="dxa" w:w="1548"/>
          </w:tcPr>
          <w:p>
            <w:pPr>
              <w:pStyle w:val="Compact"/>
              <w:spacing w:line="240" w:lineRule="auto"/>
              <w:jc w:val="center"/>
            </w:pPr>
            <w:r>
              <w:rPr>
                <w:rFonts w:ascii="Times New Roman" w:hAnsi="Times New Roman"/>
                <w:sz w:val="20"/>
              </w:rPr>
              <w:t xml:space="preserve">[0.48, 6.79)</w:t>
            </w:r>
          </w:p>
        </w:tc>
      </w:tr>
      <w:tr>
        <w:tc>
          <w:tcPr>
            <w:tcW w:type="dxa" w:w="3168"/>
          </w:tcPr>
          <w:p>
            <w:pPr>
              <w:pStyle w:val="Compact"/>
              <w:spacing w:line="240" w:lineRule="auto"/>
              <w:jc w:val="left"/>
            </w:pPr>
            <w:r>
              <w:rPr>
                <w:rFonts w:ascii="Times New Roman" w:hAnsi="Times New Roman"/>
                <w:sz w:val="20"/>
              </w:rPr>
              <w:t xml:space="preserve">Hyperexponential, CV = 3</w:t>
            </w:r>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1.4%</w:t>
            </w:r>
          </w:p>
        </w:tc>
        <w:tc>
          <w:tcPr>
            <w:tcW w:type="dxa" w:w="1548"/>
          </w:tcPr>
          <w:p>
            <w:pPr>
              <w:pStyle w:val="Compact"/>
              <w:spacing w:line="240" w:lineRule="auto"/>
              <w:jc w:val="center"/>
            </w:pPr>
            <w:r>
              <w:rPr>
                <w:rFonts w:ascii="Times New Roman" w:hAnsi="Times New Roman"/>
                <w:sz w:val="20"/>
              </w:rPr>
              <w:t xml:space="preserve">2.4%</w:t>
            </w:r>
          </w:p>
        </w:tc>
        <w:tc>
          <w:tcPr>
            <w:tcW w:type="dxa" w:w="1548"/>
          </w:tcPr>
          <w:p>
            <w:pPr>
              <w:pStyle w:val="Compact"/>
              <w:spacing w:line="240" w:lineRule="auto"/>
              <w:jc w:val="center"/>
            </w:pPr>
            <w:r>
              <w:rPr>
                <w:rFonts w:ascii="Times New Roman" w:hAnsi="Times New Roman"/>
                <w:sz w:val="20"/>
              </w:rPr>
              <w:t xml:space="preserve">[0.53, 6.93)</w:t>
            </w:r>
          </w:p>
        </w:tc>
      </w:tr>
      <w:tr>
        <w:tc>
          <w:tcPr>
            <w:tcW w:type="dxa" w:w="3168"/>
          </w:tcPr>
          <w:p>
            <w:pPr>
              <w:pStyle w:val="Compact"/>
              <w:spacing w:line="240" w:lineRule="auto"/>
              <w:jc w:val="left"/>
            </w:pPr>
            <w:r>
              <w:rPr>
                <w:rFonts w:ascii="Times New Roman" w:hAnsi="Times New Roman"/>
                <w:sz w:val="20"/>
              </w:rPr>
              <w:t xml:space="preserve">Erlang, CV = 0.5</w:t>
            </w:r>
          </w:p>
        </w:tc>
        <w:tc>
          <w:tcPr>
            <w:tcW w:type="dxa" w:w="1548"/>
          </w:tcPr>
          <w:p>
            <w:pPr>
              <w:pStyle w:val="Compact"/>
              <w:spacing w:line="240" w:lineRule="auto"/>
              <w:jc w:val="center"/>
            </w:pPr>
            <w:r>
              <w:rPr>
                <w:rFonts w:ascii="Times New Roman" w:hAnsi="Times New Roman"/>
                <w:sz w:val="20"/>
              </w:rPr>
              <w:t xml:space="preserve">17.45^</w:t>
            </w:r>
          </w:p>
        </w:tc>
        <w:tc>
          <w:tcPr>
            <w:tcW w:type="dxa" w:w="1548"/>
          </w:tcPr>
          <w:p>
            <w:pPr>
              <w:pStyle w:val="Compact"/>
              <w:spacing w:line="240" w:lineRule="auto"/>
              <w:jc w:val="center"/>
            </w:pPr>
            <w:r>
              <w:rPr>
                <w:rFonts w:ascii="Times New Roman" w:hAnsi="Times New Roman"/>
                <w:sz w:val="20"/>
              </w:rPr>
              <w:t xml:space="preserve">0.3%</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[0.48, 5.93)</w:t>
            </w:r>
          </w:p>
        </w:tc>
      </w:tr>
      <w:tr>
        <w:tc>
          <w:tcPr>
            <w:tcW w:type="dxa" w:w="3168"/>
          </w:tcPr>
          <w:p>
            <w:pPr>
              <w:pStyle w:val="Compact"/>
              <w:spacing w:line="240" w:lineRule="auto"/>
              <w:jc w:val="left"/>
            </w:pPr>
            <w:r>
              <w:rPr>
                <w:rFonts w:ascii="Times New Roman" w:hAnsi="Times New Roman"/>
                <w:sz w:val="20"/>
              </w:rPr>
              <w:t xml:space="preserve">Deterministic</w:t>
            </w:r>
          </w:p>
        </w:tc>
        <w:tc>
          <w:tcPr>
            <w:tcW w:type="dxa" w:w="1548"/>
          </w:tcPr>
          <w:p>
            <w:pPr>
              <w:pStyle w:val="Compact"/>
              <w:spacing w:line="240" w:lineRule="auto"/>
              <w:jc w:val="center"/>
            </w:pPr>
            <w:r>
              <w:rPr>
                <w:rFonts w:ascii="Times New Roman" w:hAnsi="Times New Roman"/>
                <w:sz w:val="20"/>
              </w:rPr>
              <w:t xml:space="preserve">19.89^</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0.5%</w:t>
            </w:r>
          </w:p>
        </w:tc>
        <w:tc>
          <w:tcPr>
            <w:tcW w:type="dxa" w:w="1548"/>
          </w:tcPr>
          <w:p>
            <w:pPr>
              <w:pStyle w:val="Compact"/>
              <w:spacing w:line="240" w:lineRule="auto"/>
              <w:jc w:val="center"/>
            </w:pPr>
            <w:r>
              <w:rPr>
                <w:rFonts w:ascii="Times New Roman" w:hAnsi="Times New Roman"/>
                <w:sz w:val="20"/>
              </w:rPr>
              <w:t xml:space="preserve">[0.48, 5.99)</w:t>
            </w:r>
          </w:p>
        </w:tc>
      </w:tr>
      <w:tr>
        <w:tc>
          <w:tcPr>
            <w:tcW w:type="dxa" w:w="3168"/>
          </w:tcPr>
          <w:p>
            <w:pPr>
              <w:pStyle w:val="Compact"/>
              <w:spacing w:line="240" w:lineRule="auto"/>
              <w:jc w:val="left"/>
            </w:pPr>
            <w:r>
              <w:rPr>
                <w:rFonts w:ascii="Times New Roman" w:hAnsi="Times New Roman"/>
                <w:sz w:val="20"/>
              </w:rPr>
              <w:t xml:space="preserve">Poisson + jumps (1/yr)</w:t>
            </w:r>
          </w:p>
        </w:tc>
        <w:tc>
          <w:tcPr>
            <w:tcW w:type="dxa" w:w="1548"/>
          </w:tcPr>
          <w:p>
            <w:pPr>
              <w:pStyle w:val="Compact"/>
              <w:spacing w:line="240" w:lineRule="auto"/>
              <w:jc w:val="center"/>
            </w:pPr>
            <w:r>
              <w:rPr>
                <w:rFonts w:ascii="Times New Roman" w:hAnsi="Times New Roman"/>
                <w:sz w:val="20"/>
              </w:rPr>
              <w:t xml:space="preserve">8.11</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7.03)</w:t>
            </w:r>
          </w:p>
        </w:tc>
      </w:tr>
      <w:tr>
        <w:tc>
          <w:tcPr>
            <w:tcW w:type="dxa" w:w="3168"/>
          </w:tcPr>
          <w:p>
            <w:pPr>
              <w:pStyle w:val="Compact"/>
              <w:spacing w:line="240" w:lineRule="auto"/>
              <w:jc w:val="left"/>
            </w:pPr>
            <w:r>
              <w:rPr>
                <w:rFonts w:ascii="Times New Roman" w:hAnsi="Times New Roman"/>
                <w:sz w:val="20"/>
              </w:rPr>
              <w:t xml:space="preserve">Poisson + jumps (3/yr)</w:t>
            </w:r>
          </w:p>
        </w:tc>
        <w:tc>
          <w:tcPr>
            <w:tcW w:type="dxa" w:w="1548"/>
          </w:tcPr>
          <w:p>
            <w:pPr>
              <w:pStyle w:val="Compact"/>
              <w:spacing w:line="240" w:lineRule="auto"/>
              <w:jc w:val="center"/>
            </w:pPr>
            <w:r>
              <w:rPr>
                <w:rFonts w:ascii="Times New Roman" w:hAnsi="Times New Roman"/>
                <w:sz w:val="20"/>
              </w:rPr>
              <w:t xml:space="preserve">9.07</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[0.48, 7.95)</w:t>
            </w:r>
          </w:p>
        </w:tc>
      </w:tr>
    </w:tbl>
    <w:p>
      <w:pPr>
        <w:pStyle w:val="BodyText"/>
      </w:pPr>
      <m:oMath>
        <m:sSup>
          <m:e>
            <m:r>
              <m:t>​</m:t>
            </m:r>
          </m:e>
          <m:sup>
            <m:r>
              <m:rPr>
                <m:sty m:val="p"/>
              </m:rPr>
              <m:t>†</m:t>
            </m:r>
          </m:sup>
        </m:sSup>
      </m:oMath>
      <w:r>
        <w:t xml:space="preserve"> </w:t>
      </w:r>
      <w:r>
        <w:t xml:space="preserve">At or near the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threshold down by about 22% and regular</w:t>
      </w:r>
      <w:r>
        <w:t xml:space="preserve"> </w:t>
      </w:r>
      <w:r>
        <w:t xml:space="preserve">schedules shift it up by a factor of two or more: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2.4% of expected cost, because the cost curve is flat near the optimum.</w:t>
      </w:r>
      <w:r>
        <w:t xml:space="preserve"> </w:t>
      </w:r>
      <w:r>
        <w:t xml:space="preserve">Third, the lower end of the ACT-optimal region is stable (0.47–0.53) and the upper end stays between 5.9 and 8.0 (the</w:t>
      </w:r>
      <w:r>
        <w:t xml:space="preserve"> </w:t>
      </w:r>
      <w:r>
        <w:t xml:space="preserve">closed-form value is 6.7). The qualitative conclusion that a cheap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the</w:t>
      </w:r>
      <w:r>
        <w:t xml:space="preserve"> </w:t>
      </w:r>
      <w:r>
        <w:t xml:space="preserve">SmolLM2 pair.</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SmolLM2 gives</w:t>
      </w:r>
      <w:r>
        <w:t xml:space="preserve"> </w:t>
      </w:r>
      <m:oMath>
        <m:sSup>
          <m:e>
            <m:r>
              <m:t>v</m:t>
            </m:r>
          </m:e>
          <m:sup>
            <m:r>
              <m:rPr>
                <m:sty m:val="p"/>
              </m:rPr>
              <m:t>*</m:t>
            </m:r>
          </m:sup>
        </m:sSup>
        <m:r>
          <m:rPr>
            <m:sty m:val="p"/>
          </m:rPr>
          <m:t>=</m:t>
        </m:r>
        <m:r>
          <m:t>8.4</m:t>
        </m:r>
        <m:r>
          <m:t> </m:t>
        </m:r>
        <m:sSub>
          <m:e>
            <m:r>
              <m:t>C</m:t>
            </m:r>
          </m:e>
          <m:sub>
            <m:r>
              <m:t>N</m:t>
            </m:r>
          </m:sub>
        </m:sSub>
      </m:oMath>
      <w:r>
        <w:t xml:space="preserve">: a task worth less than about eight retraining costs per year does not justify immediate retraining.</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For SmolLM2 and a procedure costing 5% of</w:t>
      </w:r>
      <w:r>
        <w:t xml:space="preserve"> </w:t>
      </w:r>
      <m:oMath>
        <m:sSub>
          <m:e>
            <m:r>
              <m:t>C</m:t>
            </m:r>
          </m:e>
          <m:sub>
            <m:r>
              <m:t>N</m:t>
            </m:r>
          </m:sub>
        </m:sSub>
      </m:oMath>
      <w:r>
        <w:t xml:space="preserve">, recovery must reach 0.728, a gain of 2.2 points over copying. If the cost is 65% of</w:t>
      </w:r>
      <w:r>
        <w:t xml:space="preserve"> </w:t>
      </w:r>
      <m:oMath>
        <m:sSub>
          <m:e>
            <m:r>
              <m:t>C</m:t>
            </m:r>
          </m:e>
          <m:sub>
            <m:r>
              <m:t>N</m:t>
            </m:r>
          </m:sub>
        </m:sSub>
      </m:oMath>
      <w:r>
        <w:t xml:space="preserve">, as we measured for</w:t>
      </w:r>
      <w:r>
        <w:t xml:space="preserve"> </w:t>
      </w:r>
      <w:r>
        <w:t xml:space="preserve">ACT, the required recovery is 0.916, a gain of 21 points, which no tested method achieved.</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w:t>
      </w:r>
      <w:r>
        <w:t xml:space="preserve"> </w:t>
      </w:r>
      <w:r>
        <w:t xml:space="preserve">the retraining cost, and the recovery of the available transfer method. It yields a threshold for retraining and a price ceiling for transfer tooling.</w:t>
      </w:r>
      <w:r>
        <w:t xml:space="preserve"> </w:t>
      </w:r>
      <w:r>
        <w:t xml:space="preserve">Our measurements suggest a practical default: because naive reuse of an adapter already restores most of the retraining benefit in the pairs we test,</w:t>
      </w:r>
      <w:r>
        <w:t xml:space="preserve"> </w:t>
      </w:r>
      <w:r>
        <w:t xml:space="preserve">the retraining threshold is high, and a transfer method must beat copying by a margin that grows with its cost (Table 3) before it is worth buying.</w:t>
      </w:r>
      <w:r>
        <w:t xml:space="preserve"> </w:t>
      </w:r>
      <w:r>
        <w:t xml:space="preserve">For providers, upgrades that preserve internal representations raise recovery and so raise the value of customers’ existing adapters.</w:t>
      </w:r>
    </w:p>
    <w:p>
      <w:pPr>
        <w:pStyle w:val="BodyText"/>
      </w:pPr>
      <w:r>
        <w:t xml:space="preserve">For researchers, the ACT result is a caution. A method can look strong in a controlled setting that favors its assumptions and fail to improve on the trivial baseline in real models; the</w:t>
      </w:r>
      <w:r>
        <w:t xml:space="preserve"> </w:t>
      </w:r>
      <w:r>
        <w:t xml:space="preserve">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only two small model pairs finished, each with one seed and a 200-example evaluation,</w:t>
      </w:r>
      <w:r>
        <w:t xml:space="preserve"> </w:t>
      </w:r>
      <w:r>
        <w:t xml:space="preserve">on a single task (GSM8K); the results do not speak to frontier models, to larger upgrades, or to other tasks, and larger-drift pairs, such as the later Pythia</w:t>
      </w:r>
      <w:r>
        <w:t xml:space="preserve"> </w:t>
      </w:r>
      <w:r>
        <w:t xml:space="preserve">checkpoints, are missing. Third, the cause of ACT’s failure on real pairs is unidentified. Fourth, value follows a stylized diffusion, and recovery is treated as known at the start of an epoch, whereas in</w:t>
      </w:r>
      <w:r>
        <w:t xml:space="preserve"> </w:t>
      </w:r>
      <w:r>
        <w:t xml:space="preserve">practice it must be estimated. Fifth,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dc:title>
  <dc:creator/>
  <cp:keywords/>
  <dcterms:created xsi:type="dcterms:W3CDTF">2026-10-10T16:18:34Z</dcterms:created>
  <dcterms:modified xsi:type="dcterms:W3CDTF">2026-10-10T16:18:34Z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retraining threshold in closed form together with a break-even recovery that any transfer method must exceed to be worth its price. To make the model usable, we show how recovery can be estimated from a held-out set and measure it on two open model pairs: simply copying the old adapter restores 71% and 96% of the retraining benefit, which implies retraining thresholds of about 8 and 56 times the retraining cost. We then evaluate Anchored Calibration Transfer (ACT), a label-free, closed-form correction of the adapter. ACT improves recovery in controlled simulations, but on the real pairs its recovery is within 0.01 of plain copying, and none of three candidate explanations we test accounts for the difference. The model implies that a method with no recovery gain has no positive willingness to pay. Simulations with clustered and regular release schedules and with jump risk show that the policy ranking is robust, although the optimal threshold moves by 20 percent or more. The results give practitioners a transparent, checkable rule for maintaining AI assets.</vt:lpwstr>
  </property>
  <property fmtid="{D5CDD505-2E9C-101B-9397-08002B2CF9AE}" pid="3" name="date">
    <vt:lpwstr/>
  </property>
</Properties>
</file>