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hypotheses, Section 6 describes data and estimation, and Section 7 reports results. Section 8 discusses implications, boundary conditions, and limitations, and Section 9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7.</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to 7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8.</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8.3.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data-and-method"/>
    <w:p>
      <w:pPr>
        <w:pStyle w:val="Heading1"/>
      </w:pPr>
      <w:r>
        <w:t xml:space="preserve">6. Data and Method</w:t>
      </w:r>
    </w:p>
    <w:bookmarkStart w:id="40" w:name="measurement"/>
    <w:p>
      <w:pPr>
        <w:pStyle w:val="Heading2"/>
      </w:pPr>
      <w:r>
        <w:t xml:space="preserve">6.1 Measurement</w:t>
      </w:r>
    </w:p>
    <w:p>
      <w:pPr>
        <w:pStyle w:val="FirstParagraph"/>
      </w:pPr>
      <w:r>
        <w:t xml:space="preserve">Quality lead is measured as the gap between the leading and the second-ranked lab on public preference leaderboards, sampled at release dates. Imitation lag is the time from a frontier release to the first competitor release that matches its score within a stated tolerance. Inference price at a given capability level is reconstructed as a monthly panel. Organizational capital must be measured independently of LLM spending. Four LLM-specific proxies correspond to its components: the share of model calls that use retrieval or fine-tuning on internal data; the share of LLM-using roles in which model output enters a recorded decision; existing customer reach in the product line where the model is deployed; and dedicated evaluation, red-teaming, and governance roles in job-posting data. General complementarity proxies, such as decentralization, data-driven decision practices, and capitalized organizational SG&amp;A, remain applicable. In the present study, only the GA-dated indicator is available at scale, and it is a coarse proxy.</w:t>
      </w:r>
    </w:p>
    <w:bookmarkEnd w:id="40"/>
    <w:bookmarkStart w:id="41" w:name="samples"/>
    <w:p>
      <w:pPr>
        <w:pStyle w:val="Heading2"/>
      </w:pPr>
      <w:r>
        <w:t xml:space="preserve">6.2 Samples</w:t>
      </w:r>
    </w:p>
    <w:p>
      <w:pPr>
        <w:pStyle w:val="FirstParagraph"/>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bookmarkEnd w:id="41"/>
    <w:bookmarkStart w:id="42" w:name="identification-and-estimation"/>
    <w:p>
      <w:pPr>
        <w:pStyle w:val="Heading2"/>
      </w:pPr>
      <w:r>
        <w:t xml:space="preserve">6.3 Identification and estimation</w:t>
      </w:r>
    </w:p>
    <w:p>
      <w:pPr>
        <w:pStyle w:val="FirstParagraph"/>
      </w:pPr>
      <w:r>
        <w:rPr>
          <w:iCs/>
          <w:i/>
        </w:rPr>
        <w:t xml:space="preserve">Developer side.</w:t>
      </w:r>
      <w:r>
        <w:t xml:space="preserve"> </w:t>
      </w:r>
      <w:r>
        <w:t xml:space="preserve">A lab-month regression of price on lead is identified largely by new releases, which raise price and measured quality at the same moment. H1a therefore requires a model-month panel with model and month fixed effects, so that the coefficient is identified only from changes in a given model’s lead as competitors release, net of common price declines. H1b is estimated separately on launch prices. A catch-up event study traces a model’s price in the months around the month in which it loses the lead. Because the panel contains few labs, conventional cluster-robust p-values are unreliable. We therefore plan inference by the restricted wild cluster bootstrap with Webb six-point weights (Cameron et al. 2008, Webb 2023).</w:t>
      </w:r>
    </w:p>
    <w:p>
      <w:pPr>
        <w:pStyle w:val="BodyText"/>
      </w:pPr>
      <w:r>
        <w:rPr>
          <w:iCs/>
          <w:i/>
        </w:rPr>
        <w:t xml:space="preserve">Adopter side.</w:t>
      </w:r>
      <w:r>
        <w:t xml:space="preserve"> </w:t>
      </w:r>
      <w:r>
        <w:t xml:space="preserve">Treated firms are large software incumbents whose operating margins rose between 2023 and 2025 for reasons unrelated to AI, including cost reductions and changes in the cost of capital. The baseline is a two-way fixed-effects regression of operating margin on a post-GA indicator with firm and year effects. Because treatment is staggered and effects may differ across cohorts, that estimator can be biased (Goodman-Bacon 2021). We therefore specify heterogeneity-robust estimators with never-treated and not-yet-treated controls (Callaway and Sant’Anna 2021, Sun and Abraham 2021), and four further checks: two-digit SIC-by-year fixed effects, firm-specific linear trends, never-treated controls matched within two-digit SIC on pre-2023 margin level, trend, and size, and a placebo that moves each GA date two years earlier. Randomization inference reassigns GA dates to randomly chosen firms. Because a higher margin could reflect market power in place of a complement rent (Section 8.3), the effect is decomposed into gross margin and the operating-expense ratio and allowed to differ by pre-2023 size.</w:t>
      </w:r>
    </w:p>
    <w:p>
      <w:pPr>
        <w:pStyle w:val="BodyText"/>
      </w:pPr>
      <w:r>
        <w:t xml:space="preserve">For H4 we estimate event-time indicators relative to the GA year, omitting</w:t>
      </w:r>
      <w:r>
        <w:t xml:space="preserve"> </w:t>
      </w:r>
      <m:oMath>
        <m:r>
          <m:t>t</m:t>
        </m:r>
        <m:r>
          <m:rPr>
            <m:sty m:val="p"/>
          </m:rPr>
          <m:t>=</m:t>
        </m:r>
        <m:r>
          <m:rPr>
            <m:sty m:val="p"/>
          </m:rPr>
          <m:t>−</m:t>
        </m:r>
        <m:r>
          <m:t>1</m:t>
        </m:r>
      </m:oMath>
      <w:r>
        <w:t xml:space="preserve">, with firm and year effects, and only at event times to which at least eight treated firms contribute. For the 2023 cohort,</w:t>
      </w:r>
      <w:r>
        <w:t xml:space="preserve"> </w:t>
      </w:r>
      <m:oMath>
        <m:r>
          <m:t>t</m:t>
        </m:r>
        <m:r>
          <m:rPr>
            <m:sty m:val="p"/>
          </m:rPr>
          <m:t>+</m:t>
        </m:r>
        <m:r>
          <m:t>3</m:t>
        </m:r>
      </m:oMath>
      <w:r>
        <w:t xml:space="preserve"> </w:t>
      </w:r>
      <w:r>
        <w:t xml:space="preserve">is fiscal 2026, which few firms had reported by September 2026. The direct test of H4 is the equality of the coefficient at</w:t>
      </w:r>
      <w:r>
        <w:t xml:space="preserve"> </w:t>
      </w:r>
      <m:oMath>
        <m:r>
          <m:t>t</m:t>
        </m:r>
        <m:r>
          <m:rPr>
            <m:sty m:val="p"/>
          </m:rPr>
          <m:t>+</m:t>
        </m:r>
        <m:r>
          <m:t>1</m:t>
        </m:r>
      </m:oMath>
      <w:r>
        <w:t xml:space="preserve"> </w:t>
      </w:r>
      <w:r>
        <w:t xml:space="preserve">and that of the last post-GA bin, together with a joint test of the pre-GA coefficients.</w:t>
      </w:r>
    </w:p>
    <w:bookmarkEnd w:id="42"/>
    <w:bookmarkEnd w:id="43"/>
    <w:bookmarkStart w:id="47" w:name="results"/>
    <w:p>
      <w:pPr>
        <w:pStyle w:val="Heading1"/>
      </w:pPr>
      <w:r>
        <w:t xml:space="preserve">7. Results</w:t>
      </w:r>
    </w:p>
    <w:p>
      <w:pPr>
        <w:pStyle w:val="FirstParagraph"/>
      </w:pPr>
      <w:r>
        <w:t xml:space="preserve">We report what has been estimated and indicate where an analysis specified in Section 6 has not yet been run.</w:t>
      </w:r>
    </w:p>
    <w:bookmarkStart w:id="44" w:name="developer-side-h1"/>
    <w:p>
      <w:pPr>
        <w:pStyle w:val="Heading2"/>
      </w:pPr>
      <w:r>
        <w:t xml:space="preserve">7.1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until bootstrap inference is reported.</w:t>
      </w:r>
      <w:r>
        <w:t xml:space="preserve"> </w:t>
      </w:r>
      <w:r>
        <w:rPr>
          <w:bCs/>
          <w:b/>
        </w:rPr>
        <w:t xml:space="preserve">[AUTHORS TO COMPLETE: wild cluster bootstrap p-values for both samples.]</w:t>
      </w:r>
      <w:r>
        <w:t xml:space="preserve"> </w:t>
      </w:r>
      <w:r>
        <w:t xml:space="preserve">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w:t>
      </w:r>
      <w:r>
        <w:t xml:space="preserve"> </w:t>
      </w:r>
      <w:r>
        <w:rPr>
          <w:bCs/>
          <w:b/>
        </w:rPr>
        <w:t xml:space="preserve">[AUTHORS TO COMPLETE: model-month estimates for H1a and launch-price regression for H1b, with the catch-up event-study figure.]</w:t>
      </w:r>
    </w:p>
    <w:bookmarkEnd w:id="44"/>
    <w:bookmarkStart w:id="45" w:name="adopter-side-h2-to-h4"/>
    <w:p>
      <w:pPr>
        <w:pStyle w:val="Heading2"/>
      </w:pPr>
      <w:r>
        <w:t xml:space="preserve">7.2 Adopter side (H2 to H4)</w:t>
      </w:r>
    </w:p>
    <w:p>
      <w:pPr>
        <w:pStyle w:val="FirstParagraph"/>
      </w:pPr>
      <w:r>
        <w:rPr>
          <w:iCs/>
          <w:i/>
        </w:rPr>
        <w:t xml:space="preserve">H2.</w:t>
      </w:r>
      <w:r>
        <w:t xml:space="preserve"> </w:t>
      </w:r>
      <w:r>
        <w:t xml:space="preserve">Pooled exposure without a coded GA year does not predict operating margin.</w:t>
      </w:r>
      <w:r>
        <w:t xml:space="preserve"> </w:t>
      </w:r>
      <w:r>
        <w:rPr>
          <w:bCs/>
          <w:b/>
        </w:rPr>
        <w:t xml:space="preserve">[AUTHORS TO COMPLETE: coefficient, standard error, and p-value.]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we treat this as a baseline and not as the test of H3.</w:t>
      </w:r>
      <w:r>
        <w:t xml:space="preserve"> </w:t>
      </w:r>
      <w:r>
        <w:rPr>
          <w:bCs/>
          <w:b/>
        </w:rPr>
        <w:t xml:space="preserve">[AUTHORS TO COMPLETE: heterogeneity-robust estimates, SIC-by-year and trend specifications, matched-control estimates, placebo, randomization inference, and the gross-margin versus operating-expense decomposition.]</w:t>
      </w:r>
      <w:r>
        <w:t xml:space="preserve"> </w:t>
      </w:r>
      <w:r>
        <w:t xml:space="preserve">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w:t>
      </w:r>
      <w:r>
        <w:t xml:space="preserve"> </w:t>
      </w:r>
      <w:r>
        <w:rPr>
          <w:bCs/>
          <w:b/>
        </w:rPr>
        <w:t xml:space="preserve">[AUTHORS TO COMPLETE: direct test of equality of</w:t>
      </w:r>
      <w:r>
        <w:rPr>
          <w:bCs/>
          <w:b/>
        </w:rPr>
        <w:t xml:space="preserve"> </w:t>
      </w:r>
      <m:oMath>
        <m:r>
          <m:t>t</m:t>
        </m:r>
        <m:r>
          <m:rPr>
            <m:sty m:val="p"/>
          </m:rPr>
          <m:t>+</m:t>
        </m:r>
        <m:r>
          <m:t>1</m:t>
        </m:r>
      </m:oMath>
      <w:r>
        <w:rPr>
          <w:bCs/>
          <w:b/>
        </w:rPr>
        <w:t xml:space="preserve"> </w:t>
      </w:r>
      <w:r>
        <w:rPr>
          <w:bCs/>
          <w:b/>
        </w:rPr>
        <w:t xml:space="preserve">and the last post-GA bin, and joint test of pre-GA coefficients.]</w:t>
      </w:r>
      <w:r>
        <w:t xml:space="preserve"> </w:t>
      </w:r>
      <w:r>
        <w:t xml:space="preserve">A time-invariant bundle-by-post-2023 difference-in-differences gives a similar coefficient and is retained as a robustness check.</w:t>
      </w:r>
    </w:p>
    <w:bookmarkEnd w:id="45"/>
    <w:bookmarkStart w:id="46" w:name="what-is-and-is-not-identified"/>
    <w:p>
      <w:pPr>
        <w:pStyle w:val="Heading2"/>
      </w:pPr>
      <w:r>
        <w:t xml:space="preserve">7.3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and while the robust estimators address that bias, they still rest on parallel trends, which the matched-control and trend specifications relax only partly. Sixth, operating margin is an accounting measure and not the economic profit of Proposition 2, and the timing of GA marks the launch of a product, not the start of organizational-capital accumulation.</w:t>
      </w:r>
    </w:p>
    <w:bookmarkEnd w:id="46"/>
    <w:bookmarkEnd w:id="47"/>
    <w:bookmarkStart w:id="51" w:name="discussion"/>
    <w:p>
      <w:pPr>
        <w:pStyle w:val="Heading1"/>
      </w:pPr>
      <w:r>
        <w:t xml:space="preserve">8. Discussion</w:t>
      </w:r>
    </w:p>
    <w:bookmarkStart w:id="48" w:name="contributions"/>
    <w:p>
      <w:pPr>
        <w:pStyle w:val="Heading2"/>
      </w:pPr>
      <w:r>
        <w:t xml:space="preserve">8.1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8"/>
    <w:bookmarkStart w:id="49" w:name="implications-for-practice"/>
    <w:p>
      <w:pPr>
        <w:pStyle w:val="Heading2"/>
      </w:pPr>
      <w:r>
        <w:t xml:space="preserve">8.2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9"/>
    <w:bookmarkStart w:id="50" w:name="boundary-conditions-and-limitations"/>
    <w:p>
      <w:pPr>
        <w:pStyle w:val="Heading2"/>
      </w:pPr>
      <w:r>
        <w:t xml:space="preserve">8.3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50"/>
    <w:bookmarkEnd w:id="51"/>
    <w:bookmarkStart w:id="52" w:name="conclusion"/>
    <w:p>
      <w:pPr>
        <w:pStyle w:val="Heading1"/>
      </w:pPr>
      <w:r>
        <w:t xml:space="preserve">9.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52"/>
    <w:bookmarkStart w:id="53"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53"/>
    <w:bookmarkStart w:id="54"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Callaway, B., and Sant’Anna, P. H. C. 2021. Difference-in-differences with multiple time periods.</w:t>
      </w:r>
      <w:r>
        <w:t xml:space="preserve"> </w:t>
      </w:r>
      <w:r>
        <w:rPr>
          <w:iCs/>
          <w:i/>
        </w:rPr>
        <w:t xml:space="preserve">Journal of Econometrics</w:t>
      </w:r>
      <w:r>
        <w:t xml:space="preserve"> </w:t>
      </w:r>
      <w:r>
        <w:t xml:space="preserve">225(2):200–230.</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Sun, L., and Abraham, S. 2021. Estimating dynamic treatment effects in event studies with heterogeneous treatment effects.</w:t>
      </w:r>
      <w:r>
        <w:t xml:space="preserve"> </w:t>
      </w:r>
      <w:r>
        <w:rPr>
          <w:iCs/>
          <w:i/>
        </w:rPr>
        <w:t xml:space="preserve">Journal of Econometrics</w:t>
      </w:r>
      <w:r>
        <w:t xml:space="preserve"> </w:t>
      </w:r>
      <w:r>
        <w:t xml:space="preserve">225(2):175–199.</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Webb, M. D. 2023. Reworking wild bootstrap-based inference for clustered errors.</w:t>
      </w:r>
      <w:r>
        <w:t xml:space="preserve"> </w:t>
      </w:r>
      <w:r>
        <w:rPr>
          <w:iCs/>
          <w:i/>
        </w:rPr>
        <w:t xml:space="preserve">Canadian Journal of Economics</w:t>
      </w:r>
      <w:r>
        <w:t xml:space="preserve"> </w:t>
      </w:r>
      <w:r>
        <w:t xml:space="preserve">56(3):839–858.</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2026-10-20T21:41:35Z</dcterms:created>
  <dcterms:modified xsi:type="dcterms:W3CDTF">2026-10-20T21:41:35Z</dcterms:modified>
</cp:coreProperties>
</file>

<file path=docProps/custom.xml><?xml version="1.0" encoding="utf-8"?>
<Properties xmlns="http://schemas.openxmlformats.org/officeDocument/2006/custom-properties" xmlns:vt="http://schemas.openxmlformats.org/officeDocument/2006/docPropsVTypes"/>
</file>