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Do Releases Respond to Degradation? Evidence from the Open-Source LLM Tooling Ecosystem</w:t>
      </w:r>
    </w:p>
    <w:p>
      <w:pPr>
        <w:pStyle w:val="Heading2"/>
      </w:pPr>
      <w:r>
        <w:t xml:space="preserve">Abstract</w:t>
      </w:r>
    </w:p>
    <w:p>
      <w:pPr>
        <w:pStyle w:val="FirstParagraph"/>
      </w:pPr>
      <w:r>
        <w:t>Organizations increasingly deploy systems built on large language models and are expected to refresh them as the world drifts away from their training data, yet little is known about what triggers a refresh. Release frequency is widely read as a signal of responsive maintenance. Drawing on signaling theory and on the distinction between state-dependent and time-dependent adjustment in price setting, we derive from a Poisson model of accumulating errors when cadence would be a valid signal, and test the implications on weekly issue, release, pull-request, and commit histories for 19 widely used open-source repositories in the LLM tooling ecosystem (3,432 repository-weeks; 2,456 releases). Bug reports show no measurable rise with the time since the last release relative to total issues, although a modest accumulation of up to about 3.9 percent per week cannot be excluded once the post-release burst of attention is absorbed. Release probabilities rise with the volume of user issues but show no significant additional response to bug reports at a given volume, and no detectable response to 38 upstream model launches. The release hazard also tends to rise with the stock of merged changes, although the data cannot cleanly separate that stock from calendar time. Release cadence therefore reflects user activity and accumulated work more clearly than responsiveness to degradation and should not be read as a validated signal of it. Detecting degradation requires performance data that public repositories do not contain, which matters for post-market monitoring and for users of third-party AI tooling.</w:t>
      </w:r>
    </w:p>
    <w:p>
      <w:pPr>
        <w:pStyle w:val="BodyText"/>
      </w:pPr>
      <w:r>
        <w:rPr>
          <w:b/>
          <w:bCs/>
        </w:rPr>
        <w:t xml:space="preserve">Keywords:</w:t>
      </w:r>
      <w:r>
        <w:t xml:space="preserve"> open-source software; artificial intelligence; software maintenance; state-dependent adjustment; time-dependent adjustment; hazard models; signaling theory</w:t>
      </w:r>
    </w:p>
    <w:p>
      <w:pPr>
        <w:pStyle w:val="Heading2"/>
        <w:pageBreakBefore/>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routinely treated by practitioners, buyers, and regulators as evidence that a project is actively maintained and that degradation is being managed. Our results give no support to this inference in the open-source LLM tooling ecosystem. Bug reports show no measurable rise with release age relative to total issues, releases respond to the volume of user issues but not distinguishably to bug reports as such, and they show no detectable response to upstream model launches. Release timing also tends to track the accumulation of merged work. Release cadence therefore looks more like a signal of user activity and development activity than of responsiveness to system deterioration—a distinction that matters for the design of monitoring and governance of deployed AI systems.</w:t>
      </w:r>
    </w:p>
    <w:p>
      <w:pPr>
        <w:pStyle w:val="BodyText"/>
      </w:pPr>
      <w:r>
        <w:t xml:space="preserve">We frame the question as one of signal validity. Release frequency is an observable signal that buyers, auditors, and regulators read as a sign of an unobservable quality, namely how responsively a system is maintained (Spence 1973; Connelly et al. 2011). A signal is informative about that quality only if it differs systematically between responsive and unresponsive maintainers. If release timing responds to degradation, cadence carries information about responsiveness. If release timing follows accumulated work or the calendar, a high cadence is as likely among unresponsive maintainers as among responsive ones, and reading it as evidence of maintenance quality is an error of inference. The distinction between state-dependent and time-dependent adjustment gives this question testable content: state dependence in errors is the condition under which cadence is a valid signal of responsiveness.</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that bug reports do not rise measurably with the age of a release. The pooled slope is close to zero when bug reports are measured relative to total issues (−0.003 per week; 95% CI −0.015 to 0.010), but once the post-release burst of attention is absorbed the interval allows an accumulation of up to about 3.9 percent per week (+0.017; −0.003 to 0.038), so we read the result as weak evidence against an accumulating error state and not as proof of its absence. </w:t>
      </w:r>
    </w:p>
    <w:p>
      <w:pPr>
        <w:pStyle w:val="BodyText"/>
      </w:pPr>
      <w:r>
        <w:t xml:space="preserve">The answer to RQ3 is that release probabilities respond to the volume of user issues but not distinguishably to bug reports as such. With non-bug issues held fixed, one standard deviation more bug reports in the previous week raises the log-odds of a release by 0.26 (wild cluster bootstrap p = 0.01), </w:t>
      </w:r>
      <w:r>
        <w:rPr/>
        <w:t xml:space="preserve">a response of about the same size as that to non-bug issues (0.23)</w:t>
      </w:r>
      <w:r>
        <w:t xml:space="preserve">, and the additional response to bug reports at a given total volume is positive but not significant (0.19; wild cluster bootstrap p = 0.20). Releases show no detectable response to 38 upstream model launches, although release notes often mention a new model after its launch, which suggests that the content of releases responds while their timing does not. </w:t>
      </w:r>
    </w:p>
    <w:p>
      <w:pPr>
        <w:pStyle w:val="BodyText"/>
      </w:pPr>
      <w:r>
        <w:t xml:space="preserve">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 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user activity and accumulating work, with no clear sign of accumulating errors and no clear role for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The paper makes four contributions. First, it brings the distinction between state-dependent and time-dependent adjustment to the maintenance of AI software and derives, from a simple Poisson model of accumulating errors, what each class of rule implies for observable data (Section 3). This qualifies models that treat maintenance as a responsive, state-dependent control process by specifying the conditions under which release cadence would be a valid signal of responsiveness to degradation. Second, it connects that distinction to the information systems literature on maintenance, which describes what maintenance consists of and what drives its cost but has not tested whether the timing of maintenance responds to measured deterioration (Section 2.2). It also treats release cadence as a signal whose validity can be tested (Section 2.4). Third, it provides evidence from 19 repositories that releases show no clear relationship to accumulating errors, that they respond to the volume of user issues but not distinguishably to bug reports as such or to upstream launches, and that they tend to follow accumulating work (Section 5). Fourth, it draws out implications for the design of monitoring and governance of deployed AI. Release cadence is not by itself evidence that degradation is being managed, and detecting degradation requires performance data that public repositories do not contain; this has implications for post-market monitoring under frameworks such as the EU AI Act and for organizations that depend on third-party AI components, although our evidence concerns the tooling layer and not deployed models (Section 6). A replication package accompanies the paper.</w:t>
      </w:r>
    </w:p>
    <w:p>
      <w:pPr>
        <w:pStyle w:val="BodyText"/>
      </w:pPr>
      <w:r>
        <w:t xml:space="preserve">We should say at the outset what “degradation” 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6.3 discusses how the use of releases as a proxy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is the closest to ours. Chen et al. (2026) study release timing in open-source projects as a strategic choice that competes with community co-creation for scarce team resources, and examine how release and co-creation decisions shape community interest. Their question is how maintainers allocate effort between releasing and engaging contributors. Ours is whether the timing of releases responds to observable signals of system degradation, which to our knowledge that work does not address. Song et al. (2026) show how generative AI coding tools change contribution and coordination in open-source projects. We complement this literature by examining an aspect that remains untested even as AI systems are increasingly deployed in production: whether the timing of releases responds to degradation.</w:t>
      </w:r>
    </w:p>
    <w:p>
      <w:pPr>
        <w:pStyle w:val="Heading3"/>
      </w:pPr>
      <w:r>
        <w:t xml:space="preserve">2.4 Release Cadence as a Signal of Maintenance Quality</w:t>
      </w:r>
    </w:p>
    <w:p>
      <w:pPr>
        <w:pStyle w:val="BodyText"/>
      </w:pPr>
      <w:r>
        <w:t xml:space="preserve">Signaling theory studies how an observable action conveys information about an unobservable quality when the receiver cannot assess the quality directly (Spence 1973; Connelly et al. 2011). Two conditions make a signal informative: it must be correlated with the quality it is meant to indicate, and it must be costly enough that low-quality senders cannot mimic it. In software markets, buyers, auditors, and regulators routinely use update frequency as a signal of maintenance quality, because how responsively a maintainer deals with problems is hard to observe. For AI components the signal is relied on more heavily still, because degradation is itself hard to observe (Section 3.3). Release frequency is cheap in one important respect: an automated pipeline can publish a release every week whatever the system needs, as the documented procedures of two of our repositories show (Section 5.2). A cheap signal can be informative only if its timing is tied to the quality it is meant to indicate. We therefore test the correlation condition directly, asking whether release timing responds to accumulating errors, bug surges, or upstream shocks. The state-dependent rule of Section 3.2 is the case in which cadence is a valid signal of responsiveness, and the time-dependent rule is the case in which it is not.</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models the bug count and compares several ways of handling the attention that inflates all issue counts after a release.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refresh probability is non-decreasing in drift in a discounted dynamic version of the model with unobserved payoff shocks (Rust 1987).</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Within a repository, the probability of a release rises after a signal of degradation: a recent surge in bug reports (controlling for the age of the release and for either total or non-bug issue volume, which separates a response to defects from a response to user activity in general)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and with 143 to 197 weekly observations per repository an estimate of it would be imprecise, so we do not report one and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Two retained repositories (anthropic-sdk-python and openai-python) document an automated release pull-request pipeline (Section 5.2). We keep them, because the pipeline does not remove the question of when a release is published, and we report the results without them in Section 5.6.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specification (b)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(0.079)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0.013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(0.198)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0.008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0.004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(0.064)</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−0.094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−0.048 (0.029)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(0.123)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(0.055)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(1.096)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−0.024 (0.046)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(0.280)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−0.231 (0.066)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(0.153)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(0.166)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0.067 (0.027)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(0.327)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−0.039 (0.054)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(0.120)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0.003 (0.009)</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(0.201)</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w:t>
      </w:r>
      <w:r>
        <w:rPr>
          <w:i/>
          <w:iCs/>
        </w:rPr>
        <w:t xml:space="preserve">γ</w:t>
      </w:r>
      <w:r>
        <w:t>. We use a log link and treat the regression as Poisson quasi-maximum likelihood, which estimates the coefficients consistently as long as the conditional mean is correctly specified, even when the counts are overdispersed (Gourieroux et al. 1984). Standard errors come from the cycle bootstrap described below, so inference does not rely on the Poisson variance.</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BodyText"/>
      </w:pPr>
      <w:r>
        <w:rPr>
          <w:b/>
          <w:bCs/>
        </w:rPr>
        <w:t xml:space="preserve">Response to error signals (RQ3).</w:t>
      </w:r>
      <w:r>
        <w:t xml:space="preserve"> For each repository-week we regress an indicator for a release on the within-repository standardized logarithm of one plus the number of bug reports in the previous week, on the same quantity in each of the previous three weeks entered jointly, and on the average of the three standardized lags. All regressions are logits that control for the standardized logarithm of issues in the previous week, the age of the release capped at eight weeks, a linear time trend, and repository fixed effects, with standard errors clustered by repository. The issue control is either total issues or non-bug issues, because the two answer different questions. With total issues held fixed, the bug coefficient measures a response to bug reports beyond overall volume. With non-bug issues held fixed, it measures a response to bug reports together with the overall activity that accompanies them, and the coefficient on non-bug issues then shows how large the response to other issues is. We also repeat the regressions on weeks at least two weeks after the previous release, because hot-fixes follow the burst of issues that a release itself provokes. Because there are only 19 clusters, we also report p-values from a wild cluster bootstrap with Webb weights (Cameron et al. 2008). Under H4 the coefficients are positive.</w:t>
      </w:r>
    </w:p>
    <w:p>
      <w:pPr>
        <w:pStyle w:val="BodyText"/>
      </w:pPr>
      <w:r>
        <w:rPr>
          <w:b/>
          <w:bCs/>
        </w:rPr>
        <w:t xml:space="preserve">Upstream launches (RQ3).</w:t>
      </w:r>
      <w:r>
        <w:t xml:space="preserve"> 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pPr>
      <w:r>
        <w:rPr>
          <w:b/>
          <w:bCs/>
        </w:rPr>
        <w:t xml:space="preserve">Accumulated work (RQ4).</w:t>
      </w:r>
      <w:r>
        <w:t xml:space="preserve"> 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BodyText"/>
      </w:pPr>
      <w:r>
        <w:rPr>
          <w:b/>
          <w:bCs/>
        </w:rPr>
        <w:t xml:space="preserve">Release content.</w:t>
      </w:r>
      <w:r>
        <w:t xml:space="preserve"> Timing and content can differ: a maintainer may ship fixes in releases that were scheduled for other reasons. We code each itemized entry of a release note as a fix if it sits under a heading that contains “fix”, “bug”, or “patch”, or if it contains a fix keyword (fix, bugfix, hotfix, regression, crash, resolve, workaround, patch). We keep releases with at least three itemized entries and regress the share of fix entries on the standardized logarithm of bug reports in the preceding four weeks, controlling for the standardized logarithm of non-bug issues over the same weeks, the logarithm of the weeks since the previous release, a linear trend, and repository fixed effects, with repository-clustered standard errors and wild cluster bootstrap p-values. The classification is by keyword, and Section 5.6 reports a hand check of a random sample.</w:t>
      </w:r>
    </w:p>
    <w:p>
      <w:pPr>
        <w:pStyle w:val="BodyText"/>
      </w:pPr>
      <w:r>
        <w:rPr>
          <w:b/>
          <w:bCs/>
        </w:rPr>
        <w:t xml:space="preserve">Equivalence tests.</w:t>
      </w:r>
      <w:r>
        <w:t xml:space="preserve"> Because several of our results are null, for each of them we report a two one-sided test (TOST) p-value against a smallest effect of interest, the smallest bound at which equivalence would hold at the 5 percent level (the absolute estimate plus 1.645 standard errors), and the minimum detectable effect at 80 percent power (2.8 standard errors). The smallest effects of interest are a 2 percent weekly increase in the bug rate (RQ1); a log-odds of 0.25 per standard deviation of bug reports (RQ3), </w:t>
      </w:r>
      <w:r>
        <w:rPr/>
        <w:t xml:space="preserve">which is about the size of the response to non-bug issues that the data detect (0.23; Section 5.3)</w:t>
      </w:r>
      <w:r>
        <w:t xml:space="preserve">; and 5 percentage points for upstream launches, about one eighth of the pre-launch release rate. These bounds are anchored to the data and are not independent of them, which is why the smallest bound for equivalence is reported as well and readers can apply their own.</w:t>
      </w:r>
    </w:p>
    <w:p>
      <w:pPr>
        <w:pStyle w:val="BodyText"/>
      </w:pPr>
      <w:r>
        <w:rPr>
          <w:b/>
          <w:bCs/>
        </w:rPr>
        <w:t xml:space="preserve">Heterogeneity.</w:t>
      </w:r>
      <w:r>
        <w:t xml:space="preserve"> We repeat the RQ1 and RQ3 analyses (i) excluding the two repositories whose release pipelines are automated (anthropic-sdk-python and openai-python), (ii) separately for the weekly releasers (a median gap of at most one week between release weeks) and for the others, and (iii) by repository category where at least three repositories share a category.</w:t>
      </w:r>
    </w:p>
    <w:p>
      <w:pPr>
        <w:pStyle w:val="Heading2"/>
      </w:pPr>
      <w:r>
        <w:t xml:space="preserve">5 Results</w:t>
      </w:r>
    </w:p>
    <w:p>
      <w:pPr>
        <w:pStyle w:val="Heading3"/>
      </w:pPr>
      <w:r>
        <w:t xml:space="preserve">5.1 RQ1: Bug Reports Show No Measurable Rise with the Age of a Release</w:t>
      </w:r>
    </w:p>
    <w:p>
      <w:pPr>
        <w:pStyle w:val="FirstParagraph"/>
      </w:pPr>
      <w:r>
        <w:t xml:space="preserve">Under specification (b), pooling the 19 repository-level slopes with a random-effects model gives a log-rate slope of bug reports on weeks since release of −0.0029 per week (95% CI −0.015 to 0.010; τ² = 0.0003). Eight of the 19 repository-level slopes are positive. One (Ollama) is significantly positive and two (semantic-kernel and text-generation-inference) are significantly negative, three significant slopes in both directions among 19, somewhat more than the one expected by chance. The interval rules out an increase in the bug rate of more than about 1 percent per week. Because bug reports enter the offset, this estimate is biased toward zero if errors rise, but in our synthetic checks (Section 4.3) the bias was not large enough to hide a planted rise. It is one of the two primary tests of H1.</w:t>
      </w:r>
    </w:p>
    <w:p>
      <w:pPr>
        <w:pStyle w:val="BodyText"/>
      </w:pPr>
      <w:r>
        <w:t xml:space="preserve">Under specification (a), raw bug counts do fall with age: the pooled slope is −0.026 (95% CI −0.050 to −0.002). Once we account for the total number of issues filed, as in (b), the decline disappears. The early surge appears to be a general burst of issue-filing right after a release, driven by attention, announcements, and defects together, and not a change in the share of reports that concern bugs. In the terms of Section 3, specification (a) is therefore uninformative about the error state because of this burst.</w:t>
      </w:r>
    </w:p>
    <w:p>
      <w:pPr>
        <w:pStyle w:val="BodyText"/>
      </w:pPr>
      <w:r>
        <w:t xml:space="preserve">Specification (c), which controls for the log of weekly non-bug issues, gives −0.019 (95% CI −0.040 to 0.002), and specification (d), which adds indicators for the first three weeks after a release, gives +0.017 (95% CI −0.003 to 0.038). Under (d), 11 of the 19 repository-level slopes are positive and two are significantly positive. The slope is not identified for the two weekly releasers with almost no observations beyond the third week (anthropic-sdk-python and autogen, with standard errors above 4), and the random-effects estimate gives them negligible weight. H1 is therefore not supported at conventional levels, but the upper limit of the (d) interval means that an accumulation of up to about 3.9 percent per week in the bug rate cannot be ruled out once the burst of attention is absorbed. The evidence against an accumulating error state is thus weaker than the estimate under (b) alone suggests.</w:t>
      </w:r>
    </w:p>
    <w:p>
      <w:pPr>
        <w:pStyle w:val="Heading3"/>
      </w:pPr>
      <w:r>
        <w:t xml:space="preserve">5.2 RQ2: The Release Hazard Does Not Rise with Age</w:t>
      </w:r>
    </w:p>
    <w:p>
      <w:pPr>
        <w:pStyle w:val="FirstParagraph"/>
      </w:pPr>
      <w:r>
        <w:t xml:space="preserve">The pooled release-hazard logit slope is −0.090 per week of age (95% CI −0.211 to 0.030; </w:t>
      </w:r>
      <w:r>
        <w:rPr>
          <w:i/>
          <w:iCs/>
        </w:rPr>
        <w:t xml:space="preserve">τ²</w:t>
      </w:r>
      <w:r>
        <w:t xml:space="preserve"> = 0.049), which is not distinguishable from zero. Eight of the 19 repository-level slopes are positive. One, for vLLM, is significantly positive at the 5 percent level (a ratio of slope to standard error of about 2.4),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Six repositories have a significantly negative slope, and four of them (anthropic-sdk-python, semantic-kernel, openai-python, and llama_index) are among the seven repositories with a median release cycle of one week, which also publish hot-fixes soon after a release. Excluding the seven weekly releasers gives a pooled slope of 0.040 (95% CI −0.081 to 0.162),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Of the 2,659 releases in the collected histories (2,456 of them within the weekly panels; the others precede the first panel week), 43 percent are classified as hot-fixes, from none in lm-evaluation-harness and FastChat to about 70 percent in Ollama and llama_index. The hot-fix hazard is concentrated in the first week after a release: 36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60 percent of the 2,659 releases raise only the patch component of the previous version, and 71 percent of those appear within seven days of the previous release (median one day).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(19 repositories) pool to 0.073 (95% CI −0.021 to 0.166; τ² = 0.022). Three are significantly positive and one is significantly negative. In the pooled data, by contrast, the share of repository-weeks with a regular release falls from 0.39 at two weeks to 0.25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In the pooled logit with a repository-level random intercept, the slope on age is −0.119 per week for all releases (standard error 0.020; standard deviation of the intercept 0.96). It is −0.044 (0.023) when the seven weekly releasers are excluded and −0.099 (0.028) when only ages of two weeks or more are used. For regular releases measured from the last regular release the slope is 0.003 (0.020), and 0.046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The coefficient of variation of the intervals between releases of any kind has a median of 1.03 across the 19 repositories, and 10 of them exceed one, which indicates bursts and gaps. For regular releases only, the median is 0.70 (range 0.33 to 1.76)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we find no clear rise in the error rate.</w:t>
      </w:r>
    </w:p>
    <w:p>
      <w:pPr>
        <w:pStyle w:val="BodyText"/>
      </w:pPr>
      <w:r>
        <w:rPr>
          <w:b/>
          <w:bCs/>
        </w:rPr>
        <w:t xml:space="preserve">Documented release policies.</w:t>
      </w:r>
      <w:r>
        <w:t xml:space="preserve"> 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pStyle w:val="BodyText"/>
      </w:pPr>
      <w:r>
        <w:t xml:space="preserve">Taken together with Section 5.1, the evidence is more consistent with the second explanation in Section 3.3 than with the first: we find no clear accumulating error state to which a state-dependent rule could have responded, and release timing follows user activity and accumulated work, and perhaps the calendar, but not distinguishably errors (Sections 5.3 to 5.5). We cannot exclude that maintainers would also be inattentive if such a state existed.</w:t>
      </w:r>
    </w:p>
    <w:p>
      <w:pPr>
        <w:pStyle w:val="Heading3"/>
      </w:pPr>
      <w:r>
        <w:t xml:space="preserve">5.3 RQ3: Releases Respond to User Activity, with No Distinguishable Extra Response to Bug Reports</w:t>
      </w:r>
    </w:p>
    <w:p>
      <w:pPr>
        <w:pStyle w:val="FirstParagraph"/>
      </w:pPr>
      <w:r>
        <w:t xml:space="preserve">Releases respond to the volume of user issues. With non-bug issues held fixed, one standard deviation more bug reports (in logs) in the previous week raises the log-odds of a release by 0.261 (clustered standard error 0.095; p = 0.01; wild cluster bootstrap p = 0.01). </w:t>
      </w:r>
      <w:r>
        <w:rPr/>
        <w:t xml:space="preserve">One standard deviation more non-bug issues in the same model raises the log-odds by 0.233 (0.082; wild cluster bootstrap p &lt; 0.01), close to the effect of bug reports, so releases follow the overall flow of user reports at least as much as they follow defects.</w:t>
      </w:r>
      <w:r>
        <w:t xml:space="preserve"> The three-week average of bug reports gives 0.332 (0.108; wild cluster bootstrap p = 0.01), and the three lags entered separately give 0.184, 0.096, and 0.055.</w:t>
      </w:r>
    </w:p>
    <w:p>
      <w:pPr>
        <w:pStyle w:val="FirstParagraph"/>
      </w:pPr>
      <w:r>
        <w:t xml:space="preserve">Holding total issues fixed instead, the coefficient on bug reports is 0.191 (0.123; p = 0.12; wild cluster bootstrap p = 0.20) and that on total issues is 0.225 (0.105; wild cluster bootstrap p = 0.04), and the three-week average of bug reports gives 0.272 (0.123; p = 0.03; wild cluster bootstrap p = 0.06). The positive sign leaves room for some response to bug reports beyond overall volume, but it is not significant at the 5 percent level under the wild cluster bootstrap for either measure. An approximate 95 percent interval for the one-week coefficient runs from −0.05 to 0.43 in log-odds, which is compatible with no extra response and with an increase in the odds of a release of up to about 54 percent per standard deviation.</w:t>
      </w:r>
    </w:p>
    <w:p>
      <w:pPr>
        <w:pStyle w:val="FirstParagraph"/>
      </w:pPr>
      <w:r>
        <w:t xml:space="preserve">Hot-fixes do not appear to account for these patterns. Dropping the week right after a release, where hot-fixes follow the burst of issues that the release provokes, gives 0.251 (0.092; wild cluster bootstrap p = 0.03) for the one-week lag and 0.318 (0.098; wild cluster bootstrap p = 0.01) for the three-week average with non-bug issues held fixed, and 0.143 (0.129; wild cluster bootstrap p = 0.32) and 0.218 (0.120; wild cluster bootstrap p = 0.11) with total issues held fixed. The coefficients on non-bug and total issues in these samples are 0.250 (0.078) and 0.303 (0.115). H4 is therefore partly supported: release timing responds to user activity, of which bug reports are a component, but we cannot show that it responds to bug reports as such. The test is more demanding than the age profile, because it asks whether an observable state moves releases, which state dependence requires, and only part of that state is a sign of degradation.</w:t>
      </w:r>
    </w:p>
    <w:p>
      <w:pPr>
        <w:pStyle w:val="Heading3"/>
      </w:pPr>
      <w:r>
        <w:t xml:space="preserve">5.4 RQ3: No Detectable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If most are correct, the pattern is consistent with the content of releases responding to a launch while their timing does not: support for a new model is shipped in releases that would probably have appeared anyway. H4 is not supported by the upstream signal either.</w:t>
      </w:r>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3"/>
      </w:pPr>
      <w:r>
        <w:t xml:space="preserve">5.6 Additional Analyses: Release Content, Equivalence, and Heterogeneity</w:t>
      </w:r>
    </w:p>
    <w:p>
      <w:pPr>
        <w:pStyle w:val="BodyText"/>
      </w:pPr>
      <w:r>
        <w:rPr>
          <w:b/>
          <w:bCs/>
        </w:rPr>
        <w:t xml:space="preserve">Release content. </w:t>
      </w:r>
      <w:r>
        <w:t xml:space="preserve">We keep 1,405 releases from all 19 repositories that have at least three itemized entries; on average 32 percent of the entries are fixes. The share of fix entries is, if anything, lower after weeks with more bug reports. One standard deviation more bug reports in the preceding four weeks changes the share by −0.021 (clustered standard error 0.008; p = 0.01; wild cluster bootstrap p = 0.07), controlling for non-bug issues, the time since the previous release, a trend, and repository fixed effects. The sign is opposite to the one a content response would imply, and the wild cluster bootstrap p-value does not reach 5 percent, so we find no evidence that the content of releases responds to bug reports either. A hand check of 12 randomly drawn entries found the two flagged as fixes to be fixes and none of the other ten to be an obvious fix, although one of them was a contributor name and not a change entry, which the classifier now excludes; this small check says nothing about the recall of the classifier, and the result should be read as exploratory.</w:t>
      </w:r>
    </w:p>
    <w:p>
      <w:pPr>
        <w:pStyle w:val="BodyText"/>
      </w:pPr>
      <w:r>
        <w:rPr>
          <w:b/>
          <w:bCs/>
        </w:rPr>
        <w:t xml:space="preserve">Equivalence. </w:t>
      </w:r>
      <w:r>
        <w:t xml:space="preserve">For the age slope of bug reports under specification (b), the pooled estimate (−0.003, SE 0.006) is statistically equivalent to zero within ±0.02 log points per week (TOST p = 0.004). Equivalence would hold for any bound above 0.013, and the minimum effect detectable with 80 percent power is 0.018. Under specification (d) equivalence at that bound is not established (estimate 0.017, SE 0.010; TOST p = 0.40; equivalence for any bound above 0.035; minimum detectable effect 0.029). For the launch event study the estimate (−0.002, SE 0.018) is equivalent to zero within ±5 percentage points (TOST p = 0.004; smallest bound 0.032; minimum detectable effect 0.050). For the one-week response to bug reports, equivalence within ±0.25 log-odds per standard deviation is not established, with total issues held fixed (estimate 0.191, SE 0.123; TOST p = 0.32; smallest bound 0.39) or with non-bug issues held fixed (0.261, SE 0.095; TOST p = 0.55; smallest bound 0.42), as expected when the estimates are themselves positive. The bounds are anchored to the data, which is why the smallest bound for equivalence is reported as well.</w:t>
      </w:r>
    </w:p>
    <w:p>
      <w:pPr>
        <w:pStyle w:val="BodyText"/>
      </w:pPr>
      <w:r>
        <w:rPr>
          <w:b/>
          <w:bCs/>
        </w:rPr>
        <w:t xml:space="preserve">Heterogeneity. </w:t>
      </w:r>
      <w:r>
        <w:t xml:space="preserve">Excluding the two repositories with automated release pipelines (anthropic-sdk-python and openai-python) leaves the conclusions unchanged. The pooled age slope is −0.003 under specification (b) (95% CI −0.015 to 0.010) and +0.019 under (d) (−0.007 to 0.044), and the coefficient on bug reports with non-bug issues held fixed rises to 0.304 (SE 0.093). The thirteen slower releasers give 0.000 under (b) (−0.009 to 0.009), +0.015 under (d) (−0.006 to 0.034), and 0.211 (SE 0.082) for the response to bug reports. For the six weekly releasers (a median gap of at most one week between release weeks among all collected releases; Table 1 lists seven repositories with a median cycle of one week) the (b) estimate is imprecise (−0.033; −0.104 to 0.038), and the (d) estimate (0.248; 0.077 to 0.418) rests on few observations beyond the third week after a release and is not reliable. Within categories of three repositories the estimates are too imprecise to interpret; agent frameworks show a response to bug reports of 0.709 (SE 0.134) and inference engines an age slope under (d) of 0.045 (0.002 to 0.087), which we treat as exploratory.</w:t>
      </w:r>
    </w:p>
    <w:p>
      <w:pPr>
        <w:pStyle w:val="Heading2"/>
      </w:pPr>
      <w:r>
        <w:t xml:space="preserve">6 Discussion</w:t>
      </w:r>
    </w:p>
    <w:p>
      <w:pPr>
        <w:pStyle w:val="Heading3"/>
      </w:pPr>
      <w:r>
        <w:t xml:space="preserve">6.1 Interpretation</w:t>
      </w:r>
    </w:p>
    <w:p>
      <w:pPr>
        <w:pStyle w:val="FirstParagraph"/>
      </w:pPr>
      <w:r>
        <w:t xml:space="preserve">Releases in these repositories respond to the volume of user activity and, more weakly, to accumulated work, but we find no clear relationship with an accumulating error state.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show no detectable response to upstream model launches, and the release hazard tends to rise with the stock of merged changes. These findings suggest that the observable timing of maintenance need not form a feedback loop with system deterioration. This qualifies models that treat maintenance as a responsive, state-dependent control process: such models are valid only when an accumulating error state exists and maintainers respond to it, conditions that are not clearly met in these data. The evidence is consistent with release activity in this ecosystem mainly reflecting user activity and the accumulation of development work. This distinction has implications for how information systems researchers conceptualize monitoring, feedback, and control in AI-enabled systems. In particular, treating release cadence as a validated signal of responsiveness conflates development activity with a control response to degradation. </w:t>
      </w:r>
    </w:p>
    <w:p>
      <w:pPr>
        <w:pStyle w:val="FirstParagraph"/>
      </w:pPr>
      <w:r>
        <w:t xml:space="preserve">The repositories therefore resemble firms whose adjustment responds to observable demand and to an accumulating stock of work, as in Sheshinski and Weiss (1977), but the state to which they respond is not clearly accumulated errors. A calendar cadence, as in Taylor (1980), cannot be excluded, because work and calendar time are correlated. Because bug reports build up at most modestly, these data cannot distinguish a maintainer who ignores an accumulating error state from one who has little to respond to. Both readings carry the same practical message. </w:t>
      </w:r>
    </w:p>
    <w:p>
      <w:pPr>
        <w:pStyle w:val="FirstParagraph"/>
      </w:pPr>
      <w:r>
        <w:t xml:space="preserve">In this ecosystem, we find no evidence that release timing is a mechanism through which degradation, if it occurs, would be corrected, although releases do respond to the flow of user reports. In the language of signaling theory, release cadence shows no sign of being a valid signal of responsiveness to degradation: it covaries with user activity in general and not distinguishably with the defects that it is read as indicating.</w:t>
      </w:r>
    </w:p>
    <w:p>
      <w:pPr>
        <w:pStyle w:val="Heading3"/>
      </w:pPr>
      <w:r>
        <w:t xml:space="preserve">6.2 Implications for Policy and Practice</w:t>
      </w:r>
    </w:p>
    <w:p>
      <w:pPr>
        <w:pStyle w:val="FirstParagraph"/>
      </w:pPr>
      <w:r>
        <w:rPr>
          <w:b/>
          <w:bCs/>
        </w:rPr>
        <w:t xml:space="preserve">Release cadence should not be read as a signal of responsiveness.</w:t>
      </w:r>
      <w:r>
        <w:t xml:space="preserve"> A project that releases every week looks actively maintained, but if release timing follows user activity, accumulated work, or the calendar,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user activity, accumulated work, or a calendar. Where degradation is a concern, obligations framed in terms of measured error rates or performance thresholds, rather than update schedules or release cadence, are more likely to produce state-dependent responses. Regulators and auditors may therefore wish to treat release frequency as uninformative about responsiveness and to ask for performance metrics that public repositories do not contain. This inference is indirect, because our repositories are tools rather than deployed models, but it bears most directly on the open-source tooling layer through which many organizations consume LLMs.</w:t>
      </w:r>
    </w:p>
    <w:p>
      <w:pPr>
        <w:pStyle w:val="BodyText"/>
      </w:pPr>
      <w:r>
        <w:rPr>
          <w:b/>
          <w:bCs/>
        </w:rPr>
        <w:t>Maintenance as feedback. 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components—such as inference engines, client SDKs, and agent frameworks—should therefore ask whether maintainers respond to measured performance metrics, not how often they release, and may consider contractual or monitoring provisions that require evidence of state-dependent responses rather than cadence alone.</w:t>
      </w:r>
      <w:r>
        <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that track performance drift, standardized error reporting protocols, and research or regulatory access to operators’ error logs and refresh histories are concrete examples. Without such data, neither public repositories nor cadence-based signals can confirm that degradation is being managed, which is why complementary monitoring infrastructure is needed.</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We did not validate the classification against a manually labeled sample, so misclassification remains a limitation.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a hypothesis, give interval estimates, report equivalence tests where the question is whether an effect is small, and avoid claiming that the effects are zero. We also report many specifications without adjusting for multiple comparisons, and the one significant response to bug reports, which appears only when non-bug issues are held fixed, should be read in that light.</w:t>
      </w:r>
    </w:p>
    <w:p>
      <w:pPr>
        <w:pStyle w:val="BodyText"/>
      </w:pPr>
      <w:r>
        <w:rPr>
          <w:b/>
          <w:bCs/>
        </w:rPr>
        <w:t xml:space="preserve">Causality and scope.</w:t>
      </w:r>
      <w:r>
        <w:t xml:space="preserve"> 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Work age and calendar age are correlated (median 0.74), so the separation of the two rules rests on limited variation in the pace of merging, and the wild cluster bootstrap does not reject at 5 percent. The coding of fix entries in release notes is by keyword,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 The package also contains the scripts that produce the empirical estimates in Sections 5.1 to 5.6 and in Table 1, run with fixed random seeds and 999 bootstrap draws.</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show no detectable response to upstream model launches, and the release hazard rises significantly with age in only one repository. The hazard does tend to rise with the stock of merged changes, although the data cannot cleanly separate that stock from calendar time. Release timing in this ecosystem therefore appears to follow user activity and accumulating work, and we find no clear sign that it follows accumulating errors. The findings suggest that release cadence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The comparative statics of the threshold in the refresh cost and in the speed of drift are those of the closed-form threshold </w:t>
      </w:r>
      <w:r>
        <w:rPr>
          <w:i/>
          <w:iCs/>
        </w:rPr>
        <w:t xml:space="preserve">x</w:t>
      </w:r>
      <w:r>
        <w:t xml:space="preserve">* in Section 3.2, which approximates the undiscounted case. We do not derive the effect of the discount factor here.</w:t>
      </w:r>
    </w:p>
    <w:p/>
    <w:p/>
    <w:p>
      <w:pPr>
        <w:pStyle w:val="Heading2"/>
        <w:pageBreakBefore/>
      </w:pPr>
      <w:r>
        <w:t xml:space="preserve">References</w:t>
      </w:r>
    </w:p>
    <w:p>
      <w:pPr>
        <w:pStyle w:val="Bibliography"/>
      </w:pPr>
      <w:r>
        <w:t xml:space="preserve">Aguirregabiria, V., and Mira, P. 2010. “Dynamic Discrete Choice Structural Models: A Survey,” </w:t>
      </w:r>
      <w:r>
        <w:rPr>
          <w:i/>
          <w:iCs/>
        </w:rPr>
        <w:t xml:space="preserve">Journal of Econometrics</w:t>
      </w:r>
      <w:r>
        <w:t xml:space="preserve"> (156:1), pp. 38–67. https://doi.org/10.1016/j.jeconom.2009.09.007</w:t>
      </w:r>
    </w:p>
    <w:p>
      <w:pPr>
        <w:pStyle w:val="Bibliography"/>
      </w:pPr>
      <w:r>
        <w:t xml:space="preserve">Alvarez, F. E., Lippi, F., and Paciello, L. 2011. “Optimal Price Setting with Observation and Menu Costs,” </w:t>
      </w:r>
      <w:r>
        <w:rPr>
          <w:i/>
          <w:iCs/>
        </w:rPr>
        <w:t xml:space="preserve">Quarterly Journal of Economics</w:t>
      </w:r>
      <w:r>
        <w:t xml:space="preserve"> (126:4), pp. 1909–1960. https://doi.org/10.1093/qje/qjr043</w:t>
      </w:r>
    </w:p>
    <w:p>
      <w:pPr>
        <w:pStyle w:val="Bibliography"/>
      </w:pPr>
      <w:r>
        <w:t xml:space="preserve">Amershi, S., Begel, A., Bird, C., DeLine, R., Gall, H., Kamar, E., Nagappan, N., Nushi, B., and Zimmermann, T. 2019. “Software Engineering for Machine Learning: A Case Study,” in </w:t>
      </w:r>
      <w:r>
        <w:rPr>
          <w:i/>
          <w:iCs/>
        </w:rPr>
        <w:t xml:space="preserve">Proceedings of the 41st International Conference on Software Engineering: Software Engineering in Practice (ICSE-SEIP)</w:t>
      </w:r>
      <w:r>
        <w:t xml:space="preserve">, pp. 291–300. https://doi.org/10.1109/ICSE-SEIP.2019.00042</w:t>
      </w:r>
    </w:p>
    <w:p>
      <w:pPr>
        <w:pStyle w:val="Bibliography"/>
      </w:pPr>
      <w:r>
        <w:t xml:space="preserve">Banker, R. D., Datar, S. M., Kemerer, C. F., and Zweig, D. 1993. “Software Complexity and Maintenance Costs,” </w:t>
      </w:r>
      <w:r>
        <w:rPr>
          <w:i/>
          <w:iCs/>
        </w:rPr>
        <w:t xml:space="preserve">Communications of the ACM</w:t>
      </w:r>
      <w:r>
        <w:t xml:space="preserve"> (36:11), pp. 81–94. https://doi.org/10.1145/163359.163375</w:t>
      </w:r>
    </w:p>
    <w:p>
      <w:pPr>
        <w:pStyle w:val="Bibliography"/>
      </w:pPr>
      <w:r>
        <w:t xml:space="preserve">Barlow, R., and Hunter, L. 1960. “Optimum Preventive Maintenance Policies,” </w:t>
      </w:r>
      <w:r>
        <w:rPr>
          <w:i/>
          <w:iCs/>
        </w:rPr>
        <w:t xml:space="preserve">Operations Research</w:t>
      </w:r>
      <w:r>
        <w:t xml:space="preserve"> (8:1), pp. 90–100. https://doi.org/10.1287/opre.8.1.90</w:t>
      </w:r>
    </w:p>
    <w:p>
      <w:pPr>
        <w:pStyle w:val="Bibliography"/>
      </w:pPr>
      <w:r>
        <w:t xml:space="preserve">Caballero, R. J., and Engel, E. M. R. A. 1999. “Explaining Investment Dynamics in U.S. Manufacturing: A Generalized (S,s) Approach,” </w:t>
      </w:r>
      <w:r>
        <w:rPr>
          <w:i/>
          <w:iCs/>
        </w:rPr>
        <w:t xml:space="preserve">Econometrica</w:t>
      </w:r>
      <w:r>
        <w:t xml:space="preserve"> (67:4), pp. 783–826. https://doi.org/10.1111/1468-0262.00053</w:t>
      </w:r>
    </w:p>
    <w:p>
      <w:pPr>
        <w:pStyle w:val="Bibliography"/>
      </w:pPr>
      <w:r>
        <w:t xml:space="preserve">Calvo, G. A. 1983. “Staggered Prices in a Utility-Maximizing Framework,” </w:t>
      </w:r>
      <w:r>
        <w:rPr>
          <w:i/>
          <w:iCs/>
        </w:rPr>
        <w:t xml:space="preserve">Journal of Monetary Economics</w:t>
      </w:r>
      <w:r>
        <w:t xml:space="preserve"> (12:3), pp. 383–398. https://doi.org/10.1016/0304-3932(83)90060-0</w:t>
      </w:r>
    </w:p>
    <w:p>
      <w:pPr>
        <w:pStyle w:val="Bibliography"/>
      </w:pPr>
      <w:r>
        <w:t xml:space="preserve">Cameron, A. C., Gelbach, J. B., and Miller, D. L. 2008. “Bootstrap-Based Improvements for Inference with Clustered Errors,” </w:t>
      </w:r>
      <w:r>
        <w:rPr>
          <w:i/>
          <w:iCs/>
        </w:rPr>
        <w:t xml:space="preserve">Review of Economics and Statistics</w:t>
      </w:r>
      <w:r>
        <w:t xml:space="preserve"> (90:3), pp. 414–427. https://doi.org/10.1162/rest.90.3.414</w:t>
      </w:r>
    </w:p>
    <w:p>
      <w:pPr>
        <w:pStyle w:val="Bibliography"/>
      </w:pPr>
      <w:r>
        <w:t xml:space="preserve">Chen, L., Zaharia, M., and Zou, J. 2024. “How Is ChatGPT’s Behavior Changing over Time?” </w:t>
      </w:r>
      <w:r>
        <w:rPr>
          <w:i/>
          <w:iCs/>
        </w:rPr>
        <w:t xml:space="preserve">Harvard Data Science Review</w:t>
      </w:r>
      <w:r>
        <w:t xml:space="preserve"> (6:2). https://doi.org/10.1162/99608f92.5317da47</w:t>
      </w:r>
    </w:p>
    <w:p>
      <w:pPr>
        <w:pStyle w:val="Bibliography"/>
      </w:pPr>
      <w:r>
        <w:t xml:space="preserve">Chen, W., Liu, X., Krishnan, V., and Zhu, K. 2026. “Strategic Release and Co-Creation: Empirical Insights for Managing Open-Source Software,” </w:t>
      </w:r>
      <w:r>
        <w:rPr>
          <w:i/>
          <w:iCs/>
        </w:rPr>
        <w:t xml:space="preserve">Information Systems Research</w:t>
      </w:r>
      <w:r>
        <w:t xml:space="preserve"> (articles in advance). https://doi.org/10.1287/isre.2021.0601</w:t>
      </w:r>
    </w:p>
    <w:p>
      <w:pPr>
        <w:pStyle w:val="Bibliography"/>
      </w:pPr>
      <w:r>
        <w:t xml:space="preserve">Connelly, B. L., Certo, S. T., Ireland, R. D., and Reutzel, C. R. 2011. “Signaling Theory: A Review and Assessment,” </w:t>
      </w:r>
      <w:r>
        <w:rPr>
          <w:i/>
          <w:iCs/>
        </w:rPr>
        <w:t xml:space="preserve">Journal of Management</w:t>
      </w:r>
      <w:r>
        <w:t xml:space="preserve"> (37:1), pp. 39–67. https://doi.org/10.1177/0149206310388419</w:t>
      </w:r>
    </w:p>
    <w:p>
      <w:pPr>
        <w:pStyle w:val="Bibliography"/>
      </w:pPr>
      <w:r>
        <w:t xml:space="preserve">DerSimonian, R., and Laird, N. 1986. “Meta-Analysis in Clinical Trials,” </w:t>
      </w:r>
      <w:r>
        <w:rPr>
          <w:i/>
          <w:iCs/>
        </w:rPr>
        <w:t xml:space="preserve">Controlled Clinical Trials</w:t>
      </w:r>
      <w:r>
        <w:t xml:space="preserve"> (7:3), pp. 177–188. https://doi.org/10.1016/0197-2456(86)90046-2</w:t>
      </w:r>
    </w:p>
    <w:p>
      <w:pPr>
        <w:pStyle w:val="Bibliography"/>
      </w:pPr>
      <w:r>
        <w:t xml:space="preserve">Duncan, A. J. 1956. “The Economic Design of X̄ Charts Used to Maintain Current Control of a Process,” </w:t>
      </w:r>
      <w:r>
        <w:rPr>
          <w:i/>
          <w:iCs/>
        </w:rPr>
        <w:t xml:space="preserve">Journal of the American Statistical Association</w:t>
      </w:r>
      <w:r>
        <w:t xml:space="preserve"> (51:274), pp. 228–242. https://doi.org/10.2307/2281343</w:t>
      </w:r>
    </w:p>
    <w:p>
      <w:pPr>
        <w:pStyle w:val="Bibliography"/>
      </w:pPr>
      <w:r>
        <w:t xml:space="preserve">Gama, J., Žliobaitė, I., Bifet, A., Pechenizkiy, M., and Bouchachia, A. 2014. “A Survey on Concept Drift Adaptation,” </w:t>
      </w:r>
      <w:r>
        <w:rPr>
          <w:i/>
          <w:iCs/>
        </w:rPr>
        <w:t xml:space="preserve">ACM Computing Surveys</w:t>
      </w:r>
      <w:r>
        <w:t xml:space="preserve"> (46:4), Article 44. https://doi.org/10.1145/2523813</w:t>
      </w:r>
    </w:p>
    <w:p>
      <w:pPr>
        <w:pStyle w:val="Bibliography"/>
      </w:pPr>
      <w:r>
        <w:t xml:space="preserve">Gourieroux, C., Monfort, A., and Trognon, A. 1984. “Pseudo Maximum Likelihood Methods: Applications to Poisson Models,” </w:t>
      </w:r>
      <w:r>
        <w:rPr>
          <w:i/>
          <w:iCs/>
        </w:rPr>
        <w:t xml:space="preserve">Econometrica</w:t>
      </w:r>
      <w:r>
        <w:t xml:space="preserve"> (52:3), pp. 701–720. https://doi.org/10.2307/1913472</w:t>
      </w:r>
    </w:p>
    <w:p>
      <w:pPr>
        <w:pStyle w:val="Bibliography"/>
      </w:pPr>
      <w:r>
        <w:t xml:space="preserve">Heckman, J., and Singer, B. 1984. “A Method for Minimizing the Impact of Distributional Assumptions in Econometric Models for Duration Data,” </w:t>
      </w:r>
      <w:r>
        <w:rPr>
          <w:i/>
          <w:iCs/>
        </w:rPr>
        <w:t xml:space="preserve">Econometrica</w:t>
      </w:r>
      <w:r>
        <w:t xml:space="preserve"> (52:2), pp. 271–320. https://doi.org/10.2307/1911491</w:t>
      </w:r>
    </w:p>
    <w:p>
      <w:pPr>
        <w:pStyle w:val="Bibliography"/>
      </w:pPr>
      <w:r>
        <w:t xml:space="preserve">Hotz, V. J., and Miller, R. A. 1993. “Conditional Choice Probabilities and the Estimation of Dynamic Models,” </w:t>
      </w:r>
      <w:r>
        <w:rPr>
          <w:i/>
          <w:iCs/>
        </w:rPr>
        <w:t xml:space="preserve">Review of Economic Studies</w:t>
      </w:r>
      <w:r>
        <w:t xml:space="preserve"> (60:3), pp. 497–529. https://doi.org/10.2307/2298122</w:t>
      </w:r>
    </w:p>
    <w:p>
      <w:pPr>
        <w:pStyle w:val="Bibliography"/>
      </w:pPr>
      <w:r>
        <w:t xml:space="preserve">Jenkins, S. P. 1995. “Easy Estimation Methods for Discrete-Time Duration Models,” </w:t>
      </w:r>
      <w:r>
        <w:rPr>
          <w:i/>
          <w:iCs/>
        </w:rPr>
        <w:t xml:space="preserve">Oxford Bulletin of Economics and Statistics</w:t>
      </w:r>
      <w:r>
        <w:t xml:space="preserve"> (57:1), pp. 129–138. https://doi.org/10.1111/j.1468-0084.1995.tb00031.x</w:t>
      </w:r>
    </w:p>
    <w:p>
      <w:pPr>
        <w:pStyle w:val="Bibliography"/>
      </w:pPr>
      <w:r>
        <w:t xml:space="preserve">Kemerer, C. F., and Slaughter, S. 1999. “An Empirical Approach to Studying Software Evolution,” </w:t>
      </w:r>
      <w:r>
        <w:rPr>
          <w:i/>
          <w:iCs/>
        </w:rPr>
        <w:t xml:space="preserve">IEEE Transactions on Software Engineering</w:t>
      </w:r>
      <w:r>
        <w:t xml:space="preserve"> (25:4), pp. 493–509. https://doi.org/10.1109/32.799945</w:t>
      </w:r>
    </w:p>
    <w:p>
      <w:pPr>
        <w:pStyle w:val="Bibliography"/>
      </w:pPr>
      <w:r>
        <w:t xml:space="preserve">Khomh, F., Dhaliwal, T., Zou, Y., and Adams, B. 2012. “Do Faster Releases Improve Software Quality? An Empirical Case Study of Mozilla Firefox,” in </w:t>
      </w:r>
      <w:r>
        <w:rPr>
          <w:i/>
          <w:iCs/>
        </w:rPr>
        <w:t xml:space="preserve">Proceedings of the 9th IEEE Working Conference on Mining Software Repositories (MSR)</w:t>
      </w:r>
      <w:r>
        <w:t xml:space="preserve">, pp. 179–188. https://doi.org/10.1109/MSR.2012.6224279</w:t>
      </w:r>
    </w:p>
    <w:p>
      <w:pPr>
        <w:pStyle w:val="Bibliography"/>
      </w:pPr>
      <w:r>
        <w:t xml:space="preserve">Klenow, P. J., and Kryvtsov, O. 2008. “State-Dependent or Time-Dependent Pricing: Does It Matter for Recent U.S. Inflation?” </w:t>
      </w:r>
      <w:r>
        <w:rPr>
          <w:i/>
          <w:iCs/>
        </w:rPr>
        <w:t xml:space="preserve">Quarterly Journal of Economics</w:t>
      </w:r>
      <w:r>
        <w:t xml:space="preserve"> (123:3), pp. 863–904. https://doi.org/10.1162/qjec.2008.123.3.863</w:t>
      </w:r>
    </w:p>
    <w:p>
      <w:pPr>
        <w:pStyle w:val="Bibliography"/>
      </w:pPr>
      <w:r>
        <w:t xml:space="preserve">Lazaridou, A., Kuncoro, A., Gribovskaya, E., Agrawal, D., Liska, A., Terzi, T., Gimenez, M., de Masson d’Autume, C., Kocisky, T., Ruder, S., Yogatama, D., Cao, K., Young, S., and Blunsom, P. 2021. “Mind the Gap: Assessing Temporal Generalization in Neural Language Models,” in </w:t>
      </w:r>
      <w:r>
        <w:rPr>
          <w:i/>
          <w:iCs/>
        </w:rPr>
        <w:t xml:space="preserve">Advances in Neural Information Processing Systems</w:t>
      </w:r>
      <w:r>
        <w:t xml:space="preserve"> (34).</w:t>
      </w:r>
    </w:p>
    <w:p>
      <w:pPr>
        <w:pStyle w:val="Bibliography"/>
      </w:pPr>
      <w:r>
        <w:t xml:space="preserve">Lehman, M. M. 1980. “Programs, Life Cycles, and Laws of Software Evolution,” </w:t>
      </w:r>
      <w:r>
        <w:rPr>
          <w:i/>
          <w:iCs/>
        </w:rPr>
        <w:t xml:space="preserve">Proceedings of the IEEE</w:t>
      </w:r>
      <w:r>
        <w:t xml:space="preserve"> (68:9), pp. 1060–1076. https://doi.org/10.1109/PROC.1980.11805</w:t>
      </w:r>
    </w:p>
    <w:p>
      <w:pPr>
        <w:pStyle w:val="Bibliography"/>
      </w:pPr>
      <w:r>
        <w:t xml:space="preserve">Lerner, J., and Tirole, J. 2002. “Some Simple Economics of Open Source,” </w:t>
      </w:r>
      <w:r>
        <w:rPr>
          <w:i/>
          <w:iCs/>
        </w:rPr>
        <w:t xml:space="preserve">Journal of Industrial Economics</w:t>
      </w:r>
      <w:r>
        <w:t xml:space="preserve"> (50:2), pp. 197–234. https://doi.org/10.1111/1467-6451.00174</w:t>
      </w:r>
    </w:p>
    <w:p>
      <w:pPr>
        <w:pStyle w:val="Bibliography"/>
      </w:pPr>
      <w:r>
        <w:t xml:space="preserve">Luu, K., Khashabi, D., Gururangan, S., Mandyam, K., and Smith, N. A. 2022. “Time Waits for No One! Analysis and Challenges of Temporal Misalignment,” in </w:t>
      </w:r>
      <w:r>
        <w:rPr>
          <w:i/>
          <w:iCs/>
        </w:rPr>
        <w:t xml:space="preserve">Proceedings of the 2022 Conference of the North American Chapter of the Association for Computational Linguistics (NAACL)</w:t>
      </w:r>
      <w:r>
        <w:t xml:space="preserve">, pp. 5944–5958. https://doi.org/10.18653/v1/2022.naacl-main.435</w:t>
      </w:r>
    </w:p>
    <w:p>
      <w:pPr>
        <w:pStyle w:val="Bibliography"/>
      </w:pPr>
      <w:r>
        <w:t xml:space="preserve">Mankiw, N. G., and Reis, R. 2002. “Sticky Information versus Sticky Prices: A Proposal to Replace the New Keynesian Phillips Curve,” </w:t>
      </w:r>
      <w:r>
        <w:rPr>
          <w:i/>
          <w:iCs/>
        </w:rPr>
        <w:t xml:space="preserve">Quarterly Journal of Economics</w:t>
      </w:r>
      <w:r>
        <w:t xml:space="preserve"> (117:4), pp. 1295–1328. https://doi.org/10.1162/003355302320935034</w:t>
      </w:r>
    </w:p>
    <w:p>
      <w:pPr>
        <w:pStyle w:val="Bibliography"/>
      </w:pPr>
      <w:r>
        <w:t xml:space="preserve">Nakamura, E., and Steinsson, J. 2008. “Five Facts about Prices: A Reevaluation of Menu Cost Models,” </w:t>
      </w:r>
      <w:r>
        <w:rPr>
          <w:i/>
          <w:iCs/>
        </w:rPr>
        <w:t xml:space="preserve">Quarterly Journal of Economics</w:t>
      </w:r>
      <w:r>
        <w:t xml:space="preserve"> (123:4), pp. 1415–1464. https://doi.org/10.1162/qjec.2008.123.4.1415</w:t>
      </w:r>
    </w:p>
    <w:p>
      <w:pPr>
        <w:pStyle w:val="Bibliography"/>
      </w:pPr>
      <w:r>
        <w:t xml:space="preserve">Reis, R. 2006. “Inattentive Producers,” </w:t>
      </w:r>
      <w:r>
        <w:rPr>
          <w:i/>
          <w:iCs/>
        </w:rPr>
        <w:t xml:space="preserve">Review of Economic Studies</w:t>
      </w:r>
      <w:r>
        <w:t xml:space="preserve"> (73:3), pp. 793–821. https://doi.org/10.1111/j.1467-937X.2006.00396.x</w:t>
      </w:r>
    </w:p>
    <w:p>
      <w:pPr>
        <w:pStyle w:val="Bibliography"/>
      </w:pPr>
      <w:r>
        <w:t xml:space="preserve">Rust, J. 1987. “Optimal Replacement of GMC Bus Engines: An Empirical Model of Harold Zurcher,” </w:t>
      </w:r>
      <w:r>
        <w:rPr>
          <w:i/>
          <w:iCs/>
        </w:rPr>
        <w:t xml:space="preserve">Econometrica</w:t>
      </w:r>
      <w:r>
        <w:t xml:space="preserve"> (55:5), pp. 999–1033. https://doi.org/10.2307/1911259</w:t>
      </w:r>
    </w:p>
    <w:p>
      <w:pPr>
        <w:pStyle w:val="Bibliography"/>
      </w:pPr>
      <w:r>
        <w:t xml:space="preserve">Sculley, D., Holt, G., Golovin, D., Davydov, E., Phillips, T., Ebner, D., Chaudhary, V., Young, M., Crespo, J.-F., and Dennison, D. 2015. “Hidden Technical Debt in Machine Learning Systems,” in </w:t>
      </w:r>
      <w:r>
        <w:rPr>
          <w:i/>
          <w:iCs/>
        </w:rPr>
        <w:t xml:space="preserve">Advances in Neural Information Processing Systems</w:t>
      </w:r>
      <w:r>
        <w:t xml:space="preserve"> (28), pp. 2503–2511.</w:t>
      </w:r>
    </w:p>
    <w:p>
      <w:pPr>
        <w:pStyle w:val="Bibliography"/>
      </w:pPr>
      <w:r>
        <w:t xml:space="preserve">Sheshinski, E., and Weiss, Y. 1977. “Inflation and Costs of Price Adjustment,” </w:t>
      </w:r>
      <w:r>
        <w:rPr>
          <w:i/>
          <w:iCs/>
        </w:rPr>
        <w:t xml:space="preserve">Review of Economic Studies</w:t>
      </w:r>
      <w:r>
        <w:t xml:space="preserve"> (44:2), pp. 287–303. https://doi.org/10.2307/2297067</w:t>
      </w:r>
    </w:p>
    <w:p>
      <w:pPr>
        <w:pStyle w:val="Bibliography"/>
      </w:pPr>
      <w:r>
        <w:t xml:space="preserve">Sims, C. A. 2003. “Implications of Rational Inattention,” </w:t>
      </w:r>
      <w:r>
        <w:rPr>
          <w:i/>
          <w:iCs/>
        </w:rPr>
        <w:t xml:space="preserve">Journal of Monetary Economics</w:t>
      </w:r>
      <w:r>
        <w:t xml:space="preserve"> (50:3), pp. 665–690. https://doi.org/10.1016/S0304-3932(03)00029-1</w:t>
      </w:r>
    </w:p>
    <w:p>
      <w:pPr>
        <w:pStyle w:val="Bibliography"/>
      </w:pPr>
      <w:r>
        <w:t xml:space="preserve">Song, F., Agarwal, A., and Wen, W. 2026. “The Impact of Generative AI on Collaborative Open-Source Software Development: Evidence from GitHub Copilot,” </w:t>
      </w:r>
      <w:r>
        <w:rPr>
          <w:i/>
          <w:iCs/>
        </w:rPr>
        <w:t xml:space="preserve">Information Systems Research</w:t>
      </w:r>
      <w:r>
        <w:t xml:space="preserve"> (articles in advance). https://doi.org/10.1287/isre.2024.1361</w:t>
      </w:r>
    </w:p>
    <w:p>
      <w:pPr>
        <w:pStyle w:val="Bibliography"/>
      </w:pPr>
      <w:r>
        <w:t xml:space="preserve">Spence, M. 1973. “Job Market Signaling,” </w:t>
      </w:r>
      <w:r>
        <w:rPr>
          <w:i/>
          <w:iCs/>
        </w:rPr>
        <w:t xml:space="preserve">Quarterly Journal of Economics</w:t>
      </w:r>
      <w:r>
        <w:t xml:space="preserve"> (87:3), pp. 355–374. https://doi.org/10.2307/1882010</w:t>
      </w:r>
    </w:p>
    <w:p>
      <w:pPr>
        <w:pStyle w:val="Bibliography"/>
      </w:pPr>
      <w:r>
        <w:t xml:space="preserve">Swanson, E. B. 1976. “The Dimensions of Maintenance,” in </w:t>
      </w:r>
      <w:r>
        <w:rPr>
          <w:i/>
          <w:iCs/>
        </w:rPr>
        <w:t xml:space="preserve">Proceedings of the 2nd International Conference on Software Engineering</w:t>
      </w:r>
      <w:r>
        <w:t xml:space="preserve">, San Francisco: IEEE Computer Society Press, pp. 492–497.</w:t>
      </w:r>
    </w:p>
    <w:p>
      <w:pPr>
        <w:pStyle w:val="Bibliography"/>
      </w:pPr>
      <w:r>
        <w:t xml:space="preserve">Taylor, J. B. 1980. “Aggregate Dynamics and Staggered Contracts,” </w:t>
      </w:r>
      <w:r>
        <w:rPr>
          <w:i/>
          <w:iCs/>
        </w:rPr>
        <w:t xml:space="preserve">Journal of Political Economy</w:t>
      </w:r>
      <w:r>
        <w:t xml:space="preserve"> (88:1), pp. 1–23. https://doi.org/10.1086/260845</w:t>
      </w:r>
    </w:p>
    <w:p>
      <w:pPr>
        <w:pStyle w:val="Bibliography"/>
      </w:pPr>
      <w:r>
        <w:t xml:space="preserve">von Hippel, E., and von Krogh, G. 2003. “Open Source Software and the ‘Private-Collective’ Innovation Model: Issues for Organization Science,” </w:t>
      </w:r>
      <w:r>
        <w:rPr>
          <w:i/>
          <w:iCs/>
        </w:rPr>
        <w:t xml:space="preserve">Organization Science</w:t>
      </w:r>
      <w:r>
        <w:t xml:space="preserve"> (14:2), pp. 209–223. https://doi.org/10.1287/orsc.14.2.209.14992</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36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val="true"/>
      <w:keepLines/>
      <w:spacing w:before="360" w:after="12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48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32"/>
      <w:szCs w:val="32"/>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2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 Releases Respond to Degradation? Evidence from the Open-Source LLM Tooling Ecosystem</dc:title>
</cp:coreProperties>
</file>

<file path=docProps/custom.xml><?xml version="1.0" encoding="utf-8"?>
<Properties xmlns="http://schemas.openxmlformats.org/officeDocument/2006/custom-properties" xmlns:vt="http://schemas.openxmlformats.org/officeDocument/2006/docPropsVTypes"/>
</file>