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eight LLMs in public transaction settings (mean counts of about 0.5, 4.8, and 7.8) and in a randomized email experiment. Direct and day-by-day designs collapse toward a single value in nearly every model and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Promotion effects have the right sign in most settings, yet their size varies by an order of magnitude with model and prompt, and the absolute lift in purchase probability is overstated in 15 of 16 configurations (median about tenfold). Treating the simulator as a decision-support artifact at the interface of information systems and marketing analytics, we show why the Poisson–gamma result becomes a managerial problem when heterogeneity is generated instead of estimated, read the propositions as design constraints and a calibration mechanism, derive design principles and an evaluation protocol, and show that the overstated lifts would lead a firm to approve promotions that a randomized test rejects. We close with organizational implications for validating and governing synthetic data in analytics systems.</w:t>
      </w:r>
    </w:p>
    <w:p>
      <w:pPr>
        <w:pStyle w:val="BodyText"/>
      </w:pPr>
      <w:r>
        <w:rPr>
          <w:bCs/>
          <w:b/>
        </w:rPr>
        <w:t xml:space="preserve">Keywords:</w:t>
      </w:r>
      <w:r>
        <w:t xml:space="preserve"> </w:t>
      </w:r>
      <w:r>
        <w:t xml:space="preserve">synthetic customers, large language models, IT artifact, decision support systems, design science, purchase counts, overdispersion, customer heterogeneity,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The question is also one for information systems research. A synthetic-customer simulator is an IT artifact in the sense of a system that organizations design, deploy, and use to support decisions (Orlikowski and Iacono 2001, Hevner et al. 2004). Its value does not lie in the language model itself but in the decisions it supports, so the relevant test is task–technology fit (Goodhue and Thompson 1995): does the artifact reproduce the properties of customer behavior on which the decision depends? For promotion planning, those properties are the share of customers who do not buy, the weight of heavy buyers, and the absolute size of an effect. We therefore treat the elicitation design, meaning how the model is asked, how its answers become counts, and where heterogeneity comes from, as the artifact’s design variable, and ask which designs fit which decisions.</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which is marketed as a</w:t>
      </w:r>
      <w:r>
        <w:t xml:space="preserve"> </w:t>
      </w:r>
      <w:r>
        <w:t xml:space="preserve">“</w:t>
      </w:r>
      <w:r>
        <w:t xml:space="preserve">digital twin</w:t>
      </w:r>
      <w:r>
        <w:t xml:space="preserve">”</w:t>
      </w:r>
      <w:r>
        <w:t xml:space="preserve"> </w:t>
      </w:r>
      <w:r>
        <w:t xml:space="preserve">of a customer base. A twin is only as useful as the properties it preserves. If it preserves averages but not the spread of behavior, the systems built on it inherit a bias that looks like data but is not. Fluent, plausible output also invites reliance beyond what the system warrants (Lee and See 2004), so the limits of AI-based decision support are not a technical footnote but a question of how organizations should validate and use such outputs. We contribute to that question by showing, for a quantity that analytics systems depend on, which design choices preserve the property that matters and which do not.</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eight LLMs and two prompt variants, against public transaction data sets whose mean counts differ by a factor of ten or more, and we test the same models against a randomized email experiment.</w:t>
      </w:r>
    </w:p>
    <w:p>
      <w:pPr>
        <w:pStyle w:val="BodyText"/>
      </w:pPr>
      <w:r>
        <w:t xml:space="preserve">The study makes five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explain why a familiar statistical result becomes a new managerial problem when behavior is generated rather than estimated (a bound set by the firm’s data assets, a validation paradox, silent failure, and shifting components), and we add a result on customer concentration (Proposition 3). Fifth, we translate these findings into design principles for synthetic-customer systems and a diagnostic evaluation protocol, and we show in a stylized example how the overstated lifts would change a go/no-go decision.</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theoretical-framework-and-hypotheses"/>
    <w:p>
      <w:pPr>
        <w:pStyle w:val="Heading1"/>
      </w:pPr>
      <w:r>
        <w:t xml:space="preserve">3. Theoretical Framework and Hypotheses</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from-propositions-to-system-mechanisms"/>
    <w:p>
      <w:pPr>
        <w:pStyle w:val="Heading2"/>
      </w:pPr>
      <w:r>
        <w:t xml:space="preserve">3.7 From propositions to system mechanisms</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Proposition 1 and Proposition 2 therefore correspond to a separation of responsibilities between the language model, which supplies the level of a customer’s expected behavior, and the statistical layer, which supplies and calibrates the spread.</w:t>
      </w:r>
    </w:p>
    <w:bookmarkEnd w:id="33"/>
    <w:bookmarkStart w:id="34" w:name="X407dae61d11665e7490932e0ac85ab0ce53a5fe"/>
    <w:p>
      <w:pPr>
        <w:pStyle w:val="Heading2"/>
      </w:pPr>
      <w:r>
        <w:t xml:space="preserve">3.8 Why a familiar statistic becomes a managerial problem</w:t>
      </w:r>
    </w:p>
    <w:p>
      <w:pPr>
        <w:pStyle w:val="FirstParagraph"/>
      </w:pPr>
      <w:r>
        <w:t xml:space="preserve">Propositions 1 and 2 follow from the Poisson–gamma model, and a reader may ask whether they say anything beyond it. The model is not new. What is new is the setting in which its implication becomes a problem for organizations, and we argue that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stochastic customer-base models of marketing science, heterogeneity is a latent quantity that the analyst infers from observed behavior, so its magnitude is disciplined by the organization’s own data. In a synthetic-customer system behavior is generated by a pretrained model, and nothing in the generation process ties the spread of the output to the organization’s customers. Proposition 1 shows that this tie cannot be restored through the prompt: a deterministic function of the persona carries only the heterogeneity that the persona describes, and no rewording, persona enrichment, or choice of model changes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The spread is therefore a property of the system’s architecture rather than of its inputs, and it has to be supplied by a component that is connected to data.</w:t>
      </w:r>
    </w:p>
    <w:p>
      <w:pPr>
        <w:pStyle w:val="BodyText"/>
      </w:pPr>
      <w:r>
        <w:rPr>
          <w:iCs/>
          <w:i/>
        </w:rPr>
        <w:t xml:space="preserve">A bound set by the organization’s data assets.</w:t>
      </w:r>
      <w:r>
        <w:t xml:space="preserve"> </w:t>
      </w:r>
      <w:r>
        <w:t xml:space="preserve">Proposition 1 also says where the limit lies. The share of heterogeneity a simulator can carry is the share explained by the persona, and the persona can contain only what the organization knows about its customers. In our demographic experiment that share was about 1%. This is a statement of complementarity between a generative model and the firm’s data assets, a theme familiar from research on IT business value (Melville et al. 2004), with a sharp form: more capable models cannot compensate for uninformative customer data, and the value of a synthetic-customer system is bounded by the explanatory power of first-party data. A common managerial assumption is the opposite, namely that a more capable model will substitute for the missing data.</w:t>
      </w:r>
    </w:p>
    <w:p>
      <w:pPr>
        <w:pStyle w:val="BodyText"/>
      </w:pPr>
      <w:r>
        <w:rPr>
          <w:iCs/>
          <w:i/>
        </w:rPr>
        <w:t xml:space="preserve">The validation paradox.</w:t>
      </w:r>
      <w:r>
        <w:t xml:space="preserve"> </w:t>
      </w:r>
      <w:r>
        <w:t xml:space="preserve">Synthetic customers are adopted where real data are scarce or costly. Yet the quantity that Proposition 1 shows to be lost, the unexplained part</w:t>
      </w:r>
      <w:r>
        <w:t xml:space="preserve"> </w:t>
      </w:r>
      <m:oMath>
        <m:r>
          <m:t>R</m:t>
        </m:r>
      </m:oMath>
      <w:r>
        <w:t xml:space="preserve"> </w:t>
      </w:r>
      <w:r>
        <w:t xml:space="preserve">of the heterogeneity, is invisible inside the system and can be detected only against real data on the same distributional properties. The evidence that would reveal the error is the evidence the system was meant to economize. This is a validation paradox. It is resolved only by partial validation, in which a small amount of real data, such as a historical customer file and a few past randomized tests, is used to calibrate and audit a large amount of synthetic data. Proposition 2 provides the calibration step for such an arrangement.</w:t>
      </w:r>
    </w:p>
    <w:p>
      <w:pPr>
        <w:pStyle w:val="BodyText"/>
      </w:pPr>
      <w:r>
        <w:rPr>
          <w:iCs/>
          <w:i/>
        </w:rPr>
        <w:t xml:space="preserve">Silent failure and shifting components.</w:t>
      </w:r>
      <w:r>
        <w:t xml:space="preserve"> </w:t>
      </w:r>
      <w:r>
        <w:t xml:space="preserve">Output that is fluent and has the right sign gives the user no signal of failure. A compressed spread does not show up in a mean or in a headline result, and a decision that is wrong because of it, such as a launch that does not pay, becomes visible only after several campaign cycles, if at all. In addition the component that generates the behavior is outside the organization’s control. Model versions and providers change, and in our runs eight models produced very different levels and spreads for the same prompt. Whereas a statistical model that the organization owns is calibrated once, a model that the organization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 customer rates be gamma distributed with mean</w:t>
      </w:r>
      <w:r>
        <w:t xml:space="preserve"> </w:t>
      </w:r>
      <m:oMath>
        <m:r>
          <m:t>μ</m:t>
        </m:r>
      </m:oMath>
      <w:r>
        <w:t xml:space="preserve"> </w:t>
      </w:r>
      <w:r>
        <w:t xml:space="preserve">and squared coefficient of variation</w:t>
      </w:r>
      <w:r>
        <w:t xml:space="preserve"> </w:t>
      </w:r>
      <m:oMath>
        <m:r>
          <m:t>α</m:t>
        </m:r>
      </m:oMath>
      <w:r>
        <w:t xml:space="preserve">, and let</w:t>
      </w:r>
      <w:r>
        <w:t xml:space="preserve"> </w:t>
      </w:r>
      <m:oMath>
        <m:sSub>
          <m:e>
            <m:r>
              <m:t>S</m:t>
            </m:r>
          </m:e>
          <m:sub>
            <m:r>
              <m:t>q</m:t>
            </m:r>
          </m:sub>
        </m:sSub>
        <m:d>
          <m:dPr>
            <m:begChr m:val="("/>
            <m:endChr m:val=")"/>
            <m:sepChr m:val=""/>
            <m:grow/>
          </m:dPr>
          <m:e>
            <m:r>
              <m:t>α</m:t>
            </m:r>
          </m:e>
        </m:d>
      </m:oMath>
      <w:r>
        <w:t xml:space="preserve"> </w:t>
      </w:r>
      <w:r>
        <w:t xml:space="preserve">denote the share of all expected purchases made by the fraction</w:t>
      </w:r>
      <w:r>
        <w:t xml:space="preserve"> </w:t>
      </w:r>
      <m:oMath>
        <m:r>
          <m:t>q</m:t>
        </m:r>
      </m:oMath>
      <w:r>
        <w:t xml:space="preserve"> </w:t>
      </w:r>
      <w:r>
        <w:t xml:space="preserve">of customers with the highest rates. With shape</w:t>
      </w:r>
      <w:r>
        <w:t xml:space="preserve"> </w:t>
      </w:r>
      <m:oMath>
        <m:r>
          <m:t>k</m:t>
        </m:r>
        <m:r>
          <m:rPr>
            <m:sty m:val="p"/>
          </m:rPr>
          <m:t>=</m:t>
        </m:r>
        <m:r>
          <m:t>1</m:t>
        </m:r>
        <m:r>
          <m:rPr>
            <m:sty m:val="p"/>
          </m:rPr>
          <m:t>/</m:t>
        </m:r>
        <m:r>
          <m:t>α</m:t>
        </m:r>
      </m:oMath>
      <w:r>
        <w:t xml:space="preserve">,</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gamma distribution function with shape</w:t>
      </w:r>
      <w:r>
        <w:t xml:space="preserve"> </w:t>
      </w:r>
      <m:oMath>
        <m:r>
          <m:t>k</m:t>
        </m:r>
      </m:oMath>
      <w:r>
        <w:t xml:space="preserve"> </w:t>
      </w:r>
      <w:r>
        <w:t xml:space="preserve">and unit scale.</w:t>
      </w:r>
      <w:r>
        <w:t xml:space="preserve"> </w:t>
      </w:r>
      <m:oMath>
        <m:sSub>
          <m:e>
            <m:r>
              <m:t>S</m:t>
            </m:r>
          </m:e>
          <m:sub>
            <m:r>
              <m:t>q</m:t>
            </m:r>
          </m:sub>
        </m:sSub>
      </m:oMath>
      <w:r>
        <w:t xml:space="preserve"> </w:t>
      </w:r>
      <w:r>
        <w:t xml:space="preserve">increases in</w:t>
      </w:r>
      <w:r>
        <w:t xml:space="preserve"> </w:t>
      </w:r>
      <m:oMath>
        <m:r>
          <m:t>α</m:t>
        </m:r>
      </m:oMath>
      <w:r>
        <w:t xml:space="preserve"> </w:t>
      </w:r>
      <w:r>
        <w:t xml:space="preserve">and tends to</w:t>
      </w:r>
      <w:r>
        <w:t xml:space="preserve"> </w:t>
      </w:r>
      <m:oMath>
        <m:r>
          <m:t>q</m:t>
        </m:r>
      </m:oMath>
      <w:r>
        <w:t xml:space="preserve"> </w:t>
      </w:r>
      <w:r>
        <w:t xml:space="preserve">as</w:t>
      </w:r>
      <w:r>
        <w:t xml:space="preserve"> </w:t>
      </w:r>
      <m:oMath>
        <m:r>
          <m:t>α</m:t>
        </m:r>
        <m:r>
          <m:rPr>
            <m:sty m:val="p"/>
          </m:rPr>
          <m:t>→</m:t>
        </m:r>
        <m:r>
          <m:t>0</m:t>
        </m:r>
      </m:oMath>
      <w:r>
        <w:t xml:space="preserve">. A deterministic persona-conditioned simulator has</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&lt;</m:t>
        </m:r>
        <m:sSup>
          <m:e>
            <m:r>
              <m:t>c</m:t>
            </m:r>
          </m:e>
          <m:sup>
            <m:r>
              <m:t>2</m:t>
            </m:r>
          </m:sup>
        </m:sSup>
      </m:oMath>
      <w:r>
        <w:t xml:space="preserve"> </w:t>
      </w:r>
      <w:r>
        <w:t xml:space="preserve">(Proposition 1), so the concentration it can represent is at most</w:t>
      </w:r>
      <w:r>
        <w:t xml:space="preserve"> </w:t>
      </w:r>
      <m:oMath>
        <m:sSub>
          <m:e>
            <m:r>
              <m:t>S</m:t>
            </m:r>
          </m:e>
          <m:sub>
            <m:r>
              <m:t>q</m:t>
            </m:r>
          </m:sub>
        </m:sSub>
        <m:d>
          <m:dPr>
            <m:begChr m:val="("/>
            <m:endChr m:val=")"/>
            <m:sepChr m:val=""/>
            <m:grow/>
          </m:dPr>
          <m:e>
            <m:sSup>
              <m:e>
                <m:r>
                  <m:t>c</m:t>
                </m:r>
              </m:e>
              <m:sup>
                <m:r>
                  <m:t>2</m:t>
                </m:r>
              </m:sup>
            </m:sSup>
          </m:e>
        </m:d>
      </m:oMath>
      <w:r>
        <w:t xml:space="preserve">.</w:t>
      </w:r>
    </w:p>
    <w:p>
      <w:pPr>
        <w:pStyle w:val="BodyText"/>
      </w:pPr>
      <w:r>
        <w:rPr>
          <w:iCs/>
          <w:i/>
        </w:rPr>
        <w:t xml:space="preserve">Proof.</w:t>
      </w:r>
      <w:r>
        <w:t xml:space="preserve"> </w:t>
      </w:r>
      <w:r>
        <w:t xml:space="preserve">The expected purchases contributed by customers with rate above</w:t>
      </w:r>
      <w:r>
        <w:t xml:space="preserve"> </w:t>
      </w:r>
      <m:oMath>
        <m:r>
          <m:t>x</m:t>
        </m:r>
      </m:oMath>
      <w:r>
        <w:t xml:space="preserve"> </w:t>
      </w:r>
      <w:r>
        <w:t xml:space="preserve">are proportional to</w:t>
      </w:r>
      <w:r>
        <w:t xml:space="preserve"> </w:t>
      </w:r>
      <m:oMath>
        <m:nary>
          <m:naryPr>
            <m:chr m:val="∫"/>
            <m:limLoc m:val="subSup"/>
            <m:subHide m:val="off"/>
            <m:supHide m:val="off"/>
          </m:naryPr>
          <m:sub>
            <m:r>
              <m:t>x</m:t>
            </m:r>
          </m:sub>
          <m:sup>
            <m:r>
              <m:rPr>
                <m:sty m:val="p"/>
              </m:rPr>
              <m:t>∞</m:t>
            </m:r>
          </m:sup>
          <m:e>
            <m:r>
              <m:t>λ</m:t>
            </m:r>
          </m:e>
        </m:nary>
        <m:r>
          <m:t> </m:t>
        </m:r>
        <m:sSub>
          <m:e>
            <m:r>
              <m:t>f</m:t>
            </m:r>
          </m:e>
          <m:sub>
            <m:r>
              <m:t>k</m:t>
            </m:r>
          </m:sub>
        </m:sSub>
        <m:d>
          <m:dPr>
            <m:begChr m:val="("/>
            <m:endChr m:val=")"/>
            <m:sepChr m:val=""/>
            <m:grow/>
          </m:dPr>
          <m:e>
            <m:r>
              <m:t>λ</m:t>
            </m:r>
          </m:e>
        </m:d>
        <m:r>
          <m:t> </m:t>
        </m:r>
        <m:r>
          <m:t>d</m:t>
        </m:r>
        <m:r>
          <m:t>λ</m:t>
        </m:r>
      </m:oMath>
      <w:r>
        <w:t xml:space="preserve">, and</w:t>
      </w:r>
      <w:r>
        <w:t xml:space="preserve"> </w:t>
      </w:r>
      <m:oMath>
        <m:r>
          <m:t>λ</m:t>
        </m:r>
        <m:sSub>
          <m:e>
            <m:r>
              <m:t>f</m:t>
            </m:r>
          </m:e>
          <m:sub>
            <m:r>
              <m:t>k</m:t>
            </m:r>
          </m:sub>
        </m:sSub>
        <m:d>
          <m:dPr>
            <m:begChr m:val="("/>
            <m:endChr m:val=")"/>
            <m:sepChr m:val=""/>
            <m:grow/>
          </m:dPr>
          <m:e>
            <m:r>
              <m:t>λ</m:t>
            </m:r>
          </m:e>
        </m:d>
      </m:oMath>
      <w:r>
        <w:t xml:space="preserve"> </w:t>
      </w:r>
      <w:r>
        <w:t xml:space="preserve">is proportional to the gamma density with shape</w:t>
      </w:r>
      <w:r>
        <w:t xml:space="preserve"> </w:t>
      </w:r>
      <m:oMath>
        <m:r>
          <m:t>k</m:t>
        </m:r>
        <m:r>
          <m:rPr>
            <m:sty m:val="p"/>
          </m:rPr>
          <m:t>+</m:t>
        </m:r>
        <m:r>
          <m:t>1</m:t>
        </m:r>
      </m:oMath>
      <w:r>
        <w:t xml:space="preserve">, which gives the stated form. Monotonicity in</w:t>
      </w:r>
      <w:r>
        <w:t xml:space="preserve"> </w:t>
      </w:r>
      <m:oMath>
        <m:r>
          <m:t>α</m:t>
        </m:r>
      </m:oMath>
      <w:r>
        <w:t xml:space="preserve"> </w:t>
      </w:r>
      <w:r>
        <w:t xml:space="preserve">follows because a gamma distribution with a smaller shape is larger in the convex (Lorenz) order, and the limit follows from the degeneracy of the rate distribution as</w:t>
      </w:r>
      <w:r>
        <w:t xml:space="preserve"> </w:t>
      </w:r>
      <m:oMath>
        <m:r>
          <m:t>k</m:t>
        </m:r>
        <m:r>
          <m:rPr>
            <m:sty m:val="p"/>
          </m:rPr>
          <m:t>→</m:t>
        </m:r>
        <m:r>
          <m:rPr>
            <m:sty m:val="p"/>
          </m:rPr>
          <m:t>∞</m:t>
        </m:r>
      </m:oMath>
      <w:r>
        <w:t xml:space="preserve">. The last statement applies Proposition 1.</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the top tenth of customers account for 52% of expected purchases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A simulator that carries only the persona-described heterogeneity of the demographic experiment (</w:t>
      </w:r>
      <m:oMath>
        <m:sSup>
          <m:e>
            <m:r>
              <m:t>c</m:t>
            </m:r>
          </m:e>
          <m:sup>
            <m:r>
              <m:t>2</m:t>
            </m:r>
          </m:sup>
        </m:sSup>
        <m:r>
          <m:rPr>
            <m:sty m:val="p"/>
          </m:rPr>
          <m:t>=</m:t>
        </m:r>
        <m:r>
          <m:t>0.006</m:t>
        </m:r>
      </m:oMath>
      <w:r>
        <w:t xml:space="preserve">) represents a share of 11%. Decisions that depend on concentration, such as how deeply to target a promotion, how to set loyalty tiers, or how to size a budget ceiling for heavy buyers, are therefore biased in a known direction when the spread is lost. The direction of the bias, not only its size, is predictable,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The first three models (GPT-4o-mini, Llama-3.3-70B, and Haiku 5.5) were run on three random seeds, that is, on three independent samples of customers; the five newer models were run on one seed. In the low-mean setting GPT-4o-mini and Llama were run at temperatures 0.3, 0.7, and 1.0 in the first seed and at 0.7 in the two further seeds, giving 1,000 customers per cell; Haiku 5.5 contributes 600 (three seeds of 200), and the other five models 200. In the two high-mean settings the temperature was fixed at 0.7, with 600 customers per cell for the three models run on three seeds and 200 for the others. In the email experiment each seed uses 300 customers (900 for the three models run on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4"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2.15</w:t>
            </w:r>
          </w:p>
        </w:tc>
        <w:tc>
          <w:tcPr/>
          <w:p>
            <w:pPr>
              <w:pStyle w:val="Compact"/>
              <w:spacing w:before="20" w:after="20" w:line="240" w:lineRule="auto"/>
              <w:ind w:firstLine="0"/>
              <w:jc w:val="left"/>
            </w:pPr>
            <w:r>
              <w:rPr>
                <w:rFonts w:ascii="Times New Roman" w:hAnsi="Times New Roman"/>
                <w:sz w:val="17"/>
              </w:rPr>
              <w:t xml:space="preserve">0.00 to 18.37</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8.06</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2.96</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-0.67 to 0.63</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0.95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-0.10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 to 0.93</w:t>
            </w:r>
          </w:p>
        </w:tc>
        <w:tc>
          <w:tcPr/>
          <w:p>
            <w:pPr>
              <w:pStyle w:val="Compact"/>
              <w:spacing w:before="20" w:after="20" w:line="240" w:lineRule="auto"/>
              <w:ind w:firstLine="0"/>
              <w:jc w:val="left"/>
            </w:pPr>
            <w:r>
              <w:rPr>
                <w:rFonts w:ascii="Times New Roman" w:hAnsi="Times New Roman"/>
                <w:sz w:val="17"/>
              </w:rPr>
              <w:t xml:space="preserve">1.46 to 3.38</w:t>
            </w:r>
          </w:p>
        </w:tc>
        <w:tc>
          <w:tcPr/>
          <w:p>
            <w:pPr>
              <w:pStyle w:val="Compact"/>
              <w:spacing w:before="20" w:after="20" w:line="240" w:lineRule="auto"/>
              <w:ind w:firstLine="0"/>
              <w:jc w:val="left"/>
            </w:pPr>
            <w:r>
              <w:rPr>
                <w:rFonts w:ascii="Times New Roman" w:hAnsi="Times New Roman"/>
                <w:sz w:val="17"/>
              </w:rPr>
              <w:t xml:space="preserve">0.63 to 0.80</w:t>
            </w:r>
          </w:p>
        </w:tc>
        <w:tc>
          <w:tcPr/>
          <w:p>
            <w:pPr>
              <w:pStyle w:val="Compact"/>
              <w:spacing w:before="20" w:after="20" w:line="240" w:lineRule="auto"/>
              <w:ind w:firstLine="0"/>
              <w:jc w:val="left"/>
            </w:pPr>
            <w:r>
              <w:rPr>
                <w:rFonts w:ascii="Times New Roman" w:hAnsi="Times New Roman"/>
                <w:sz w:val="17"/>
              </w:rPr>
              <w:t xml:space="preserve">1.67 to 4.06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11.82</w:t>
            </w:r>
          </w:p>
        </w:tc>
        <w:tc>
          <w:tcPr/>
          <w:p>
            <w:pPr>
              <w:pStyle w:val="Compact"/>
              <w:spacing w:before="20" w:after="20" w:line="240" w:lineRule="auto"/>
              <w:ind w:firstLine="0"/>
              <w:jc w:val="left"/>
            </w:pPr>
            <w:r>
              <w:rPr>
                <w:rFonts w:ascii="Times New Roman" w:hAnsi="Times New Roman"/>
                <w:sz w:val="17"/>
              </w:rPr>
              <w:t xml:space="preserve">0.00 to 2.38</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 to 16.65</w:t>
            </w:r>
          </w:p>
        </w:tc>
        <w:tc>
          <w:tcPr/>
          <w:p>
            <w:pPr>
              <w:pStyle w:val="Compact"/>
              <w:spacing w:before="20" w:after="20" w:line="240" w:lineRule="auto"/>
              <w:ind w:firstLine="0"/>
              <w:jc w:val="left"/>
            </w:pPr>
            <w:r>
              <w:rPr>
                <w:rFonts w:ascii="Times New Roman" w:hAnsi="Times New Roman"/>
                <w:sz w:val="17"/>
              </w:rPr>
              <w:t xml:space="preserve">0.04 to 0.40</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-0.19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 to 7.79</w:t>
            </w:r>
          </w:p>
        </w:tc>
        <w:tc>
          <w:tcPr/>
          <w:p>
            <w:pPr>
              <w:pStyle w:val="Compact"/>
              <w:spacing w:before="20" w:after="20" w:line="240" w:lineRule="auto"/>
              <w:ind w:firstLine="0"/>
              <w:jc w:val="left"/>
            </w:pPr>
            <w:r>
              <w:rPr>
                <w:rFonts w:ascii="Times New Roman" w:hAnsi="Times New Roman"/>
                <w:sz w:val="17"/>
              </w:rPr>
              <w:t xml:space="preserve">3.18 to 6.44</w:t>
            </w:r>
          </w:p>
        </w:tc>
        <w:tc>
          <w:tcPr/>
          <w:p>
            <w:pPr>
              <w:pStyle w:val="Compact"/>
              <w:spacing w:before="20" w:after="20" w:line="240" w:lineRule="auto"/>
              <w:ind w:firstLine="0"/>
              <w:jc w:val="left"/>
            </w:pPr>
            <w:r>
              <w:rPr>
                <w:rFonts w:ascii="Times New Roman" w:hAnsi="Times New Roman"/>
                <w:sz w:val="17"/>
              </w:rPr>
              <w:t xml:space="preserve">0.01 to 0.14</w:t>
            </w:r>
          </w:p>
        </w:tc>
        <w:tc>
          <w:tcPr/>
          <w:p>
            <w:pPr>
              <w:pStyle w:val="Compact"/>
              <w:spacing w:before="20" w:after="20" w:line="240" w:lineRule="auto"/>
              <w:ind w:firstLine="0"/>
              <w:jc w:val="left"/>
            </w:pPr>
            <w:r>
              <w:rPr>
                <w:rFonts w:ascii="Times New Roman" w:hAnsi="Times New Roman"/>
                <w:sz w:val="17"/>
              </w:rPr>
              <w:t xml:space="preserve">0.40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 to 7.87</w:t>
            </w:r>
          </w:p>
        </w:tc>
        <w:tc>
          <w:tcPr/>
          <w:p>
            <w:pPr>
              <w:pStyle w:val="Compact"/>
              <w:spacing w:before="20" w:after="20" w:line="240" w:lineRule="auto"/>
              <w:ind w:firstLine="0"/>
              <w:jc w:val="left"/>
            </w:pPr>
            <w:r>
              <w:rPr>
                <w:rFonts w:ascii="Times New Roman" w:hAnsi="Times New Roman"/>
                <w:sz w:val="17"/>
              </w:rPr>
              <w:t xml:space="preserve">5.84 to 13.01</w:t>
            </w:r>
          </w:p>
        </w:tc>
        <w:tc>
          <w:tcPr/>
          <w:p>
            <w:pPr>
              <w:pStyle w:val="Compact"/>
              <w:spacing w:before="20" w:after="20" w:line="240" w:lineRule="auto"/>
              <w:ind w:firstLine="0"/>
              <w:jc w:val="left"/>
            </w:pPr>
            <w:r>
              <w:rPr>
                <w:rFonts w:ascii="Times New Roman" w:hAnsi="Times New Roman"/>
                <w:sz w:val="17"/>
              </w:rPr>
              <w:t xml:space="preserve">0.09 to 0.28</w:t>
            </w:r>
          </w:p>
        </w:tc>
        <w:tc>
          <w:tcPr/>
          <w:p>
            <w:pPr>
              <w:pStyle w:val="Compact"/>
              <w:spacing w:before="20" w:after="20" w:line="240" w:lineRule="auto"/>
              <w:ind w:firstLine="0"/>
              <w:jc w:val="left"/>
            </w:pPr>
            <w:r>
              <w:rPr>
                <w:rFonts w:ascii="Times New Roman" w:hAnsi="Times New Roman"/>
                <w:sz w:val="17"/>
              </w:rPr>
              <w:t xml:space="preserve">0.95 to 2.11</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18.4 (interval 3.0 to 30.6), because a few customers receive very large counts alongside many zeros (mean 2.15, zero share 0.55); and Sonnet 5 without the anchor gives daily simulations with a ratio of 2.96 (2.58 to 3.34). Elsewhere direct answers are the most compressed, with ratios of at most 0.86 in 12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With the anchor, five cells in all (those three, and Sonnet 5 and GPT-5.6-terra for daily simulation) return</w:t>
      </w:r>
      <w:r>
        <w:t xml:space="preserve"> </w:t>
      </w:r>
      <w:r>
        <w:t xml:space="preserve">“</w:t>
      </w:r>
      <w:r>
        <w:t xml:space="preserve">0</w:t>
      </w:r>
      <w:r>
        <w:t xml:space="preserve">”</w:t>
      </w:r>
      <w:r>
        <w:t xml:space="preserve"> </w:t>
      </w:r>
      <w:r>
        <w:t xml:space="preserve">for 97%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0.95 to 1.61, below its own ceiling of 2.10 in all 16 cells, and its zero share is too low (0.32 to 0.71, against 0.74) in every cell.</w:t>
      </w:r>
    </w:p>
    <w:p>
      <w:pPr>
        <w:pStyle w:val="BodyText"/>
      </w:pPr>
      <w:r>
        <w:t xml:space="preserve">The hybrid matches the reference ratio in 7 of 16 cells, the mean in 8, the zero share in 13, and</w:t>
      </w:r>
      <w:r>
        <w:t xml:space="preserve"> </w:t>
      </w:r>
      <m:oMath>
        <m:r>
          <m:t>α</m:t>
        </m:r>
      </m:oMath>
      <w:r>
        <w:t xml:space="preserve"> </w:t>
      </w:r>
      <w:r>
        <w:t xml:space="preserve">in 14; all four in 5 cells (DeepSeek-V4-Pro in both prompt variants, and Gemini 3.1 Flash-Lite, Mistral Large 4, and GPT-5.6-terra with the anchor).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(Table B2, Figure 1b). In 15 of 16 cells the variance-to-mean ratio of design A lies between 0.00 and 0.76, against a reference of 7.85. The exception is Mistral Large 4 without the anchor, whose direct answers have real spread (ratio 2.38, interval 1.82 to 3.02,</w:t>
      </w:r>
      <w:r>
        <w:t xml:space="preserve"> </w:t>
      </w:r>
      <m:oMath>
        <m:r>
          <m:t>α</m:t>
        </m:r>
        <m:r>
          <m:rPr>
            <m:sty m:val="p"/>
          </m:rPr>
          <m:t>=</m:t>
        </m:r>
        <m:r>
          <m:rPr>
            <m:sty m:val="p"/>
          </m:rPr>
          <m:t>+</m:t>
        </m:r>
        <m:r>
          <m:t>0.16</m:t>
        </m:r>
      </m:oMath>
      <w:r>
        <w:t xml:space="preserve">) but still carry only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5.20), so that the answer carries little persona information. Daily simulation again misses the mean (4.45 to 16.65 trips against 4.84) and has almost no dispersion (ratios of 0.04 to 0.40, zero share of at most 0.01). In all 48 cells of designs A, B, and C the variance-to-mean interval lies entirely below the reference.</w:t>
      </w:r>
    </w:p>
    <w:p>
      <w:pPr>
        <w:pStyle w:val="BodyText"/>
      </w:pPr>
      <w:r>
        <w:t xml:space="preserve">Describing a distribution reaches ratios of 3.18 to 6.44. Its intervals contain the ceiling of 6.61 in only 4 of 16 cells (4 of the 8 anchored cells), so the impression from the first three models that the anchor lets design C reach the ceiling does not generalize. Its weak point is the zero share: 0.01 to 0.14 against the real 0.19, below the reference in every cell. The hybrid matches the reference ratio in 15 of 16 cells, the mean in 7, the zero share in 8, and all four of mean, ratio, zero share, and</w:t>
      </w:r>
      <w:r>
        <w:t xml:space="preserve"> </w:t>
      </w:r>
      <m:oMath>
        <m:r>
          <m:t>α</m:t>
        </m:r>
      </m:oMath>
      <w:r>
        <w:t xml:space="preserve"> </w:t>
      </w:r>
      <w:r>
        <w:t xml:space="preserve">in 5: Haiku 5.5 without the anchor, GPT-4o-mini with it, Sonnet 5 in both variants, and Gemini 3.1 Flash-Lite with it. The remaining cells fail because the model’s mean is wrong, for example 3.09 for Mistral Large 4 with the anchor and 7.87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12 of 16 direct-answer cells have variance-to-mean ratios of at most 0.86, three more are cells in which nearly every answer was</w:t>
      </w:r>
      <w:r>
        <w:t xml:space="preserve"> </w:t>
      </w:r>
      <w:r>
        <w:t xml:space="preserve">“</w:t>
      </w:r>
      <w:r>
        <w:t xml:space="preserve">0</w:t>
      </w:r>
      <w:r>
        <w:t xml:space="preserve">”</w:t>
      </w:r>
      <w:r>
        <w:t xml:space="preserve">, and one (DeepSeek-V4-Pro without the anchor) is overdispersed; at a mean of 4.8 the ratio is at most 0.76 in 15 of 16 cells, and at a mean of 7.8 it is at most 1.32.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0.31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1.32, zero share at most 0.01) with</w:t>
      </w:r>
      <w:r>
        <w:t xml:space="preserve"> </w:t>
      </w:r>
      <m:oMath>
        <m:r>
          <m:t>α</m:t>
        </m:r>
      </m:oMath>
      <w:r>
        <w:t xml:space="preserve"> </w:t>
      </w:r>
      <w:r>
        <w:t xml:space="preserve">between -0.16 and +0.03.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(6.0 to 17.2 against 7.83) and has ratios of 0.07 to 0.31. Describing a distribution reaches ratios of 2.78 to 6.11, and its intervals contain the ceiling of 5.01 in 9 of 16 cells (6 of the 8 anchored cells); its zero share (0.01 to 0.13) matches the small real share of 0.03 in 11 of 16 cells. The hybrid matches the reference ratio in 13 of 16 cells, but its mean in only 5 of 16: the model’s</w:t>
      </w:r>
      <w:r>
        <w:t xml:space="preserve"> </w:t>
      </w:r>
      <m:oMath>
        <m:r>
          <m:t>λ</m:t>
        </m:r>
      </m:oMath>
      <w:r>
        <w:t xml:space="preserve"> </w:t>
      </w:r>
      <w:r>
        <w:t xml:space="preserve">is usually too low (3.95 to 6.57 in the cells that miss, against 7.83). It also matches the zero share in only 2 of 16 cells (0.06 to 0.14 against 0.03), and all four of mean, ratio, zero share, and</w:t>
      </w:r>
      <w:r>
        <w:t xml:space="preserve"> </w:t>
      </w:r>
      <m:oMath>
        <m:r>
          <m:t>α</m:t>
        </m:r>
      </m:oMath>
      <w:r>
        <w:t xml:space="preserve"> </w:t>
      </w:r>
      <w:r>
        <w:t xml:space="preserve">in 2 of 16 cells (DeepSeek-V4-Pro with the anchor and Gemini 3.1 Flash-Lite without it).</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 to 10.24</w:t>
            </w:r>
          </w:p>
        </w:tc>
        <w:tc>
          <w:tcPr/>
          <w:p>
            <w:pPr>
              <w:pStyle w:val="Compact"/>
              <w:spacing w:before="20" w:after="20" w:line="240" w:lineRule="auto"/>
              <w:ind w:firstLine="0"/>
              <w:jc w:val="left"/>
            </w:pPr>
            <w:r>
              <w:rPr>
                <w:rFonts w:ascii="Times New Roman" w:hAnsi="Times New Roman"/>
                <w:sz w:val="17"/>
              </w:rPr>
              <w:t xml:space="preserve">0.00 to 1.32</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-0.16 to 0.03</w:t>
            </w:r>
          </w:p>
        </w:tc>
        <w:tc>
          <w:tcPr/>
          <w:p>
            <w:pPr>
              <w:pStyle w:val="Compact"/>
              <w:spacing w:before="20" w:after="20" w:line="240" w:lineRule="auto"/>
              <w:ind w:firstLine="0"/>
              <w:jc w:val="left"/>
            </w:pPr>
            <w:r>
              <w:rPr>
                <w:rFonts w:ascii="Times New Roman" w:hAnsi="Times New Roman"/>
                <w:sz w:val="17"/>
              </w:rPr>
              <w:t xml:space="preserve">-0.17 to +0.07</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 to 17.21</w:t>
            </w:r>
          </w:p>
        </w:tc>
        <w:tc>
          <w:tcPr/>
          <w:p>
            <w:pPr>
              <w:pStyle w:val="Compact"/>
              <w:spacing w:before="20" w:after="20" w:line="240" w:lineRule="auto"/>
              <w:ind w:firstLine="0"/>
              <w:jc w:val="left"/>
            </w:pPr>
            <w:r>
              <w:rPr>
                <w:rFonts w:ascii="Times New Roman" w:hAnsi="Times New Roman"/>
                <w:sz w:val="17"/>
              </w:rPr>
              <w:t xml:space="preserve">0.07 to 0.31</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 to 8.79</w:t>
            </w:r>
          </w:p>
        </w:tc>
        <w:tc>
          <w:tcPr/>
          <w:p>
            <w:pPr>
              <w:pStyle w:val="Compact"/>
              <w:spacing w:before="20" w:after="20" w:line="240" w:lineRule="auto"/>
              <w:ind w:firstLine="0"/>
              <w:jc w:val="left"/>
            </w:pPr>
            <w:r>
              <w:rPr>
                <w:rFonts w:ascii="Times New Roman" w:hAnsi="Times New Roman"/>
                <w:sz w:val="17"/>
              </w:rPr>
              <w:t xml:space="preserve">2.78 to 6.11</w:t>
            </w:r>
          </w:p>
        </w:tc>
        <w:tc>
          <w:tcPr/>
          <w:p>
            <w:pPr>
              <w:pStyle w:val="Compact"/>
              <w:spacing w:before="20" w:after="20" w:line="240" w:lineRule="auto"/>
              <w:ind w:firstLine="0"/>
              <w:jc w:val="left"/>
            </w:pPr>
            <w:r>
              <w:rPr>
                <w:rFonts w:ascii="Times New Roman" w:hAnsi="Times New Roman"/>
                <w:sz w:val="17"/>
              </w:rPr>
              <w:t xml:space="preserve">0.01 to 0.13</w:t>
            </w:r>
          </w:p>
        </w:tc>
        <w:tc>
          <w:tcPr/>
          <w:p>
            <w:pPr>
              <w:pStyle w:val="Compact"/>
              <w:spacing w:before="20" w:after="20" w:line="240" w:lineRule="auto"/>
              <w:ind w:firstLine="0"/>
              <w:jc w:val="left"/>
            </w:pPr>
            <w:r>
              <w:rPr>
                <w:rFonts w:ascii="Times New Roman" w:hAnsi="Times New Roman"/>
                <w:sz w:val="17"/>
              </w:rPr>
              <w:t xml:space="preserve">0.32 to 0.79</w:t>
            </w:r>
          </w:p>
        </w:tc>
        <w:tc>
          <w:tcPr/>
          <w:p>
            <w:pPr>
              <w:pStyle w:val="Compact"/>
              <w:spacing w:before="20" w:after="20" w:line="240" w:lineRule="auto"/>
              <w:ind w:firstLine="0"/>
              <w:jc w:val="left"/>
            </w:pPr>
            <w:r>
              <w:rPr>
                <w:rFonts w:ascii="Times New Roman" w:hAnsi="Times New Roman"/>
                <w:sz w:val="17"/>
              </w:rPr>
              <w:t xml:space="preserve">-0.01 to +0.16</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 to 7.53</w:t>
            </w:r>
          </w:p>
        </w:tc>
        <w:tc>
          <w:tcPr/>
          <w:p>
            <w:pPr>
              <w:pStyle w:val="Compact"/>
              <w:spacing w:before="20" w:after="20" w:line="240" w:lineRule="auto"/>
              <w:ind w:firstLine="0"/>
              <w:jc w:val="left"/>
            </w:pPr>
            <w:r>
              <w:rPr>
                <w:rFonts w:ascii="Times New Roman" w:hAnsi="Times New Roman"/>
                <w:sz w:val="17"/>
              </w:rPr>
              <w:t xml:space="preserve">3.97 to 8.58</w:t>
            </w:r>
          </w:p>
        </w:tc>
        <w:tc>
          <w:tcPr/>
          <w:p>
            <w:pPr>
              <w:pStyle w:val="Compact"/>
              <w:spacing w:before="20" w:after="20" w:line="240" w:lineRule="auto"/>
              <w:ind w:firstLine="0"/>
              <w:jc w:val="left"/>
            </w:pPr>
            <w:r>
              <w:rPr>
                <w:rFonts w:ascii="Times New Roman" w:hAnsi="Times New Roman"/>
                <w:sz w:val="17"/>
              </w:rPr>
              <w:t xml:space="preserve">0.06 to 0.14</w:t>
            </w:r>
          </w:p>
        </w:tc>
        <w:tc>
          <w:tcPr/>
          <w:p>
            <w:pPr>
              <w:pStyle w:val="Compact"/>
              <w:spacing w:before="20" w:after="20" w:line="240" w:lineRule="auto"/>
              <w:ind w:firstLine="0"/>
              <w:jc w:val="left"/>
            </w:pPr>
            <w:r>
              <w:rPr>
                <w:rFonts w:ascii="Times New Roman" w:hAnsi="Times New Roman"/>
                <w:sz w:val="17"/>
              </w:rPr>
              <w:t xml:space="preserve">0.71 to 1.11</w:t>
            </w:r>
          </w:p>
        </w:tc>
        <w:tc>
          <w:tcPr/>
          <w:p>
            <w:pPr>
              <w:pStyle w:val="Compact"/>
              <w:spacing w:before="20" w:after="20" w:line="240" w:lineRule="auto"/>
              <w:ind w:firstLine="0"/>
              <w:jc w:val="left"/>
            </w:pPr>
            <w:r>
              <w:rPr>
                <w:rFonts w:ascii="Times New Roman" w:hAnsi="Times New Roman"/>
                <w:sz w:val="17"/>
              </w:rPr>
              <w:t xml:space="preserve">-0.10 to +0.06</w:t>
            </w:r>
          </w:p>
        </w:tc>
      </w:tr>
    </w:tbl>
    <w:p>
      <w:pPr>
        <w:pStyle w:val="BodyText"/>
        <w:spacing w:line="240" w:lineRule="auto"/>
        <w:ind w:firstLine="0"/>
      </w:pPr>
      <w:r>
        <w:rPr>
          <w:iCs/>
          <w:i/>
        </w:rPr>
        <w:t xml:space="preserve">Table 3. Persona experiment with real household demographics: range of results across the 16 model-and-prompt cells of each design (200 households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-0.17 and +0.16, and the interval excludes zero in only three cells (two positive, one negative). The model’s own</w:t>
      </w:r>
      <w:r>
        <w:t xml:space="preserve"> </w:t>
      </w:r>
      <m:oMath>
        <m:r>
          <m:t>λ</m:t>
        </m:r>
      </m:oMath>
      <w:r>
        <w:t xml:space="preserve"> </w:t>
      </w:r>
      <w:r>
        <w:t xml:space="preserve">in design D correlates between -0.05 and +0.05 with the real count, and none of its 16 intervals excludes zero. With 79 intervals, about four exclusions are expected by chance at the 5% level. Design C is the only design whose correlations are mostly positive (14 of 16 cells, median +0.06), but the models were run on overlapping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0.223</w:t>
            </w:r>
          </w:p>
        </w:tc>
        <w:tc>
          <w:tcPr/>
          <w:p>
            <w:pPr>
              <w:pStyle w:val="Compact"/>
              <w:spacing w:before="20" w:after="20" w:line="240" w:lineRule="auto"/>
              <w:ind w:firstLine="0"/>
              <w:jc w:val="left"/>
            </w:pPr>
            <w:r>
              <w:rPr>
                <w:rFonts w:ascii="Times New Roman" w:hAnsi="Times New Roman"/>
                <w:sz w:val="17"/>
              </w:rPr>
              <w:t xml:space="preserve">+0.137 [+0.120, +0.153]*</w:t>
            </w:r>
          </w:p>
        </w:tc>
        <w:tc>
          <w:tcPr/>
          <w:p>
            <w:pPr>
              <w:pStyle w:val="Compact"/>
              <w:spacing w:before="20" w:after="20" w:line="240" w:lineRule="auto"/>
              <w:ind w:firstLine="0"/>
              <w:jc w:val="left"/>
            </w:pPr>
            <w:r>
              <w:rPr>
                <w:rFonts w:ascii="Times New Roman" w:hAnsi="Times New Roman"/>
                <w:sz w:val="17"/>
              </w:rPr>
              <w:t xml:space="preserve">+0.141 [+0.125, +0.157]*</w:t>
            </w:r>
          </w:p>
        </w:tc>
        <w:tc>
          <w:tcPr/>
          <w:p>
            <w:pPr>
              <w:pStyle w:val="Compact"/>
              <w:spacing w:before="20" w:after="20" w:line="240" w:lineRule="auto"/>
              <w:ind w:firstLine="0"/>
              <w:jc w:val="left"/>
            </w:pPr>
            <w:r>
              <w:rPr>
                <w:rFonts w:ascii="Times New Roman" w:hAnsi="Times New Roman"/>
                <w:sz w:val="17"/>
              </w:rPr>
              <w:t xml:space="preserve">-0.004 [-0.031, +0.024]*</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+0.025 [+0.012, +0.040]*</w:t>
            </w:r>
          </w:p>
        </w:tc>
        <w:tc>
          <w:tcPr/>
          <w:p>
            <w:pPr>
              <w:pStyle w:val="Compact"/>
              <w:spacing w:before="20" w:after="20" w:line="240" w:lineRule="auto"/>
              <w:ind w:firstLine="0"/>
              <w:jc w:val="left"/>
            </w:pPr>
            <w:r>
              <w:rPr>
                <w:rFonts w:ascii="Times New Roman" w:hAnsi="Times New Roman"/>
                <w:sz w:val="17"/>
              </w:rPr>
              <w:t xml:space="preserve">+0.025 [+0.011, +0.040]*</w:t>
            </w:r>
          </w:p>
        </w:tc>
        <w:tc>
          <w:tcPr/>
          <w:p>
            <w:pPr>
              <w:pStyle w:val="Compact"/>
              <w:spacing w:before="20" w:after="20" w:line="240" w:lineRule="auto"/>
              <w:ind w:firstLine="0"/>
              <w:jc w:val="left"/>
            </w:pPr>
            <w:r>
              <w:rPr>
                <w:rFonts w:ascii="Times New Roman" w:hAnsi="Times New Roman"/>
                <w:sz w:val="17"/>
              </w:rPr>
              <w:t xml:space="preserve">-0.000 [-0.022, +0.020]*</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1.13*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0.282</w:t>
            </w:r>
          </w:p>
        </w:tc>
        <w:tc>
          <w:tcPr/>
          <w:p>
            <w:pPr>
              <w:pStyle w:val="Compact"/>
              <w:spacing w:before="20" w:after="20" w:line="240" w:lineRule="auto"/>
              <w:ind w:firstLine="0"/>
              <w:jc w:val="left"/>
            </w:pPr>
            <w:r>
              <w:rPr>
                <w:rFonts w:ascii="Times New Roman" w:hAnsi="Times New Roman"/>
                <w:sz w:val="17"/>
              </w:rPr>
              <w:t xml:space="preserve">+0.050 [+0.033, +0.069]*</w:t>
            </w:r>
          </w:p>
        </w:tc>
        <w:tc>
          <w:tcPr/>
          <w:p>
            <w:pPr>
              <w:pStyle w:val="Compact"/>
              <w:spacing w:before="20" w:after="20" w:line="240" w:lineRule="auto"/>
              <w:ind w:firstLine="0"/>
              <w:jc w:val="left"/>
            </w:pPr>
            <w:r>
              <w:rPr>
                <w:rFonts w:ascii="Times New Roman" w:hAnsi="Times New Roman"/>
                <w:sz w:val="17"/>
              </w:rPr>
              <w:t xml:space="preserve">+0.052 [+0.035, +0.070]</w:t>
            </w:r>
          </w:p>
        </w:tc>
        <w:tc>
          <w:tcPr/>
          <w:p>
            <w:pPr>
              <w:pStyle w:val="Compact"/>
              <w:spacing w:before="20" w:after="20" w:line="240" w:lineRule="auto"/>
              <w:ind w:firstLine="0"/>
              <w:jc w:val="left"/>
            </w:pPr>
            <w:r>
              <w:rPr>
                <w:rFonts w:ascii="Times New Roman" w:hAnsi="Times New Roman"/>
                <w:sz w:val="17"/>
              </w:rPr>
              <w:t xml:space="preserve">-0.001 [-0.030, +0.027]*</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0.102</w:t>
            </w:r>
          </w:p>
        </w:tc>
        <w:tc>
          <w:tcPr/>
          <w:p>
            <w:pPr>
              <w:pStyle w:val="Compact"/>
              <w:spacing w:before="20" w:after="20" w:line="240" w:lineRule="auto"/>
              <w:ind w:firstLine="0"/>
              <w:jc w:val="left"/>
            </w:pPr>
            <w:r>
              <w:rPr>
                <w:rFonts w:ascii="Times New Roman" w:hAnsi="Times New Roman"/>
                <w:sz w:val="17"/>
              </w:rPr>
              <w:t xml:space="preserve">+0.075 [+0.063, +0.087]</w:t>
            </w:r>
          </w:p>
        </w:tc>
        <w:tc>
          <w:tcPr/>
          <w:p>
            <w:pPr>
              <w:pStyle w:val="Compact"/>
              <w:spacing w:before="20" w:after="20" w:line="240" w:lineRule="auto"/>
              <w:ind w:firstLine="0"/>
              <w:jc w:val="left"/>
            </w:pPr>
            <w:r>
              <w:rPr>
                <w:rFonts w:ascii="Times New Roman" w:hAnsi="Times New Roman"/>
                <w:sz w:val="17"/>
              </w:rPr>
              <w:t xml:space="preserve">+0.083 [+0.070, +0.095]*</w:t>
            </w:r>
          </w:p>
        </w:tc>
        <w:tc>
          <w:tcPr/>
          <w:p>
            <w:pPr>
              <w:pStyle w:val="Compact"/>
              <w:spacing w:before="20" w:after="20" w:line="240" w:lineRule="auto"/>
              <w:ind w:firstLine="0"/>
              <w:jc w:val="left"/>
            </w:pPr>
            <w:r>
              <w:rPr>
                <w:rFonts w:ascii="Times New Roman" w:hAnsi="Times New Roman"/>
                <w:sz w:val="17"/>
              </w:rPr>
              <w:t xml:space="preserve">-0.008 [-0.028, +0.013]*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+0.037 [+0.012, +0.058]*</w:t>
            </w:r>
          </w:p>
        </w:tc>
        <w:tc>
          <w:tcPr/>
          <w:p>
            <w:pPr>
              <w:pStyle w:val="Compact"/>
              <w:spacing w:before="20" w:after="20" w:line="240" w:lineRule="auto"/>
              <w:ind w:firstLine="0"/>
              <w:jc w:val="left"/>
            </w:pPr>
            <w:r>
              <w:rPr>
                <w:rFonts w:ascii="Times New Roman" w:hAnsi="Times New Roman"/>
                <w:sz w:val="17"/>
              </w:rPr>
              <w:t xml:space="preserve">+0.035 [+0.010, +0.059]</w:t>
            </w:r>
          </w:p>
        </w:tc>
        <w:tc>
          <w:tcPr/>
          <w:p>
            <w:pPr>
              <w:pStyle w:val="Compact"/>
              <w:spacing w:before="20" w:after="20" w:line="240" w:lineRule="auto"/>
              <w:ind w:firstLine="0"/>
              <w:jc w:val="left"/>
            </w:pPr>
            <w:r>
              <w:rPr>
                <w:rFonts w:ascii="Times New Roman" w:hAnsi="Times New Roman"/>
                <w:sz w:val="17"/>
              </w:rPr>
              <w:t xml:space="preserve">+0.001 [-0.024, +0.026]*</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+0.196 [+0.178, +0.213]*</w:t>
            </w:r>
          </w:p>
        </w:tc>
        <w:tc>
          <w:tcPr/>
          <w:p>
            <w:pPr>
              <w:pStyle w:val="Compact"/>
              <w:spacing w:before="20" w:after="20" w:line="240" w:lineRule="auto"/>
              <w:ind w:firstLine="0"/>
              <w:jc w:val="left"/>
            </w:pPr>
            <w:r>
              <w:rPr>
                <w:rFonts w:ascii="Times New Roman" w:hAnsi="Times New Roman"/>
                <w:sz w:val="17"/>
              </w:rPr>
              <w:t xml:space="preserve">+0.183 [+0.165, +0.200]*</w:t>
            </w:r>
          </w:p>
        </w:tc>
        <w:tc>
          <w:tcPr/>
          <w:p>
            <w:pPr>
              <w:pStyle w:val="Compact"/>
              <w:spacing w:before="20" w:after="20" w:line="240" w:lineRule="auto"/>
              <w:ind w:firstLine="0"/>
              <w:jc w:val="left"/>
            </w:pPr>
            <w:r>
              <w:rPr>
                <w:rFonts w:ascii="Times New Roman" w:hAnsi="Times New Roman"/>
                <w:sz w:val="17"/>
              </w:rPr>
              <w:t xml:space="preserve">+0.013 [-0.011, +0.036]</w:t>
            </w:r>
          </w:p>
        </w:tc>
        <w:tc>
          <w:tcPr/>
          <w:p>
            <w:pPr>
              <w:pStyle w:val="Compact"/>
              <w:spacing w:before="20" w:after="20" w:line="240" w:lineRule="auto"/>
              <w:ind w:firstLine="0"/>
              <w:jc w:val="left"/>
            </w:pPr>
            <w:r>
              <w:rPr>
                <w:rFonts w:ascii="Times New Roman" w:hAnsi="Times New Roman"/>
                <w:sz w:val="17"/>
              </w:rPr>
              <w:t xml:space="preserve">3.82*</w:t>
            </w:r>
          </w:p>
        </w:tc>
        <w:tc>
          <w:tcPr/>
          <w:p>
            <w:pPr>
              <w:pStyle w:val="Compact"/>
              <w:spacing w:before="20" w:after="20" w:line="240" w:lineRule="auto"/>
              <w:ind w:firstLine="0"/>
              <w:jc w:val="left"/>
            </w:pPr>
            <w:r>
              <w:rPr>
                <w:rFonts w:ascii="Times New Roman" w:hAnsi="Times New Roman"/>
                <w:sz w:val="17"/>
              </w:rPr>
              <w:t xml:space="preserve">3.63*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0.126</w:t>
            </w:r>
          </w:p>
        </w:tc>
        <w:tc>
          <w:tcPr/>
          <w:p>
            <w:pPr>
              <w:pStyle w:val="Compact"/>
              <w:spacing w:before="20" w:after="20" w:line="240" w:lineRule="auto"/>
              <w:ind w:firstLine="0"/>
              <w:jc w:val="left"/>
            </w:pPr>
            <w:r>
              <w:rPr>
                <w:rFonts w:ascii="Times New Roman" w:hAnsi="Times New Roman"/>
                <w:sz w:val="17"/>
              </w:rPr>
              <w:t xml:space="preserve">+0.050 [+0.035, +0.067]*</w:t>
            </w:r>
          </w:p>
        </w:tc>
        <w:tc>
          <w:tcPr/>
          <w:p>
            <w:pPr>
              <w:pStyle w:val="Compact"/>
              <w:spacing w:before="20" w:after="20" w:line="240" w:lineRule="auto"/>
              <w:ind w:firstLine="0"/>
              <w:jc w:val="left"/>
            </w:pPr>
            <w:r>
              <w:rPr>
                <w:rFonts w:ascii="Times New Roman" w:hAnsi="Times New Roman"/>
                <w:sz w:val="17"/>
              </w:rPr>
              <w:t xml:space="preserve">+0.044 [+0.029, +0.060]</w:t>
            </w:r>
          </w:p>
        </w:tc>
        <w:tc>
          <w:tcPr/>
          <w:p>
            <w:pPr>
              <w:pStyle w:val="Compact"/>
              <w:spacing w:before="20" w:after="20" w:line="240" w:lineRule="auto"/>
              <w:ind w:firstLine="0"/>
              <w:jc w:val="left"/>
            </w:pPr>
            <w:r>
              <w:rPr>
                <w:rFonts w:ascii="Times New Roman" w:hAnsi="Times New Roman"/>
                <w:sz w:val="17"/>
              </w:rPr>
              <w:t xml:space="preserve">+0.006 [-0.022, +0.033]</w:t>
            </w:r>
          </w:p>
        </w:tc>
        <w:tc>
          <w:tcPr/>
          <w:p>
            <w:pPr>
              <w:pStyle w:val="Compact"/>
              <w:spacing w:before="20" w:after="20" w:line="240" w:lineRule="auto"/>
              <w:ind w:firstLine="0"/>
              <w:jc w:val="left"/>
            </w:pPr>
            <w:r>
              <w:rPr>
                <w:rFonts w:ascii="Times New Roman" w:hAnsi="Times New Roman"/>
                <w:sz w:val="17"/>
              </w:rPr>
              <w:t xml:space="preserve">1.39*</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+0.062 [+0.053, +0.070]*</w:t>
            </w:r>
          </w:p>
        </w:tc>
        <w:tc>
          <w:tcPr/>
          <w:p>
            <w:pPr>
              <w:pStyle w:val="Compact"/>
              <w:spacing w:before="20" w:after="20" w:line="240" w:lineRule="auto"/>
              <w:ind w:firstLine="0"/>
              <w:jc w:val="left"/>
            </w:pPr>
            <w:r>
              <w:rPr>
                <w:rFonts w:ascii="Times New Roman" w:hAnsi="Times New Roman"/>
                <w:sz w:val="17"/>
              </w:rPr>
              <w:t xml:space="preserve">+0.054 [+0.046, +0.063]*</w:t>
            </w:r>
          </w:p>
        </w:tc>
        <w:tc>
          <w:tcPr/>
          <w:p>
            <w:pPr>
              <w:pStyle w:val="Compact"/>
              <w:spacing w:before="20" w:after="20" w:line="240" w:lineRule="auto"/>
              <w:ind w:firstLine="0"/>
              <w:jc w:val="left"/>
            </w:pPr>
            <w:r>
              <w:rPr>
                <w:rFonts w:ascii="Times New Roman" w:hAnsi="Times New Roman"/>
                <w:sz w:val="17"/>
              </w:rPr>
              <w:t xml:space="preserve">+0.008 [-0.007, +0.021]*</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0.235</w:t>
            </w:r>
          </w:p>
        </w:tc>
        <w:tc>
          <w:tcPr/>
          <w:p>
            <w:pPr>
              <w:pStyle w:val="Compact"/>
              <w:spacing w:before="20" w:after="20" w:line="240" w:lineRule="auto"/>
              <w:ind w:firstLine="0"/>
              <w:jc w:val="left"/>
            </w:pPr>
            <w:r>
              <w:rPr>
                <w:rFonts w:ascii="Times New Roman" w:hAnsi="Times New Roman"/>
                <w:sz w:val="17"/>
              </w:rPr>
              <w:t xml:space="preserve">+0.080 [+0.058, +0.100]</w:t>
            </w:r>
          </w:p>
        </w:tc>
        <w:tc>
          <w:tcPr/>
          <w:p>
            <w:pPr>
              <w:pStyle w:val="Compact"/>
              <w:spacing w:before="20" w:after="20" w:line="240" w:lineRule="auto"/>
              <w:ind w:firstLine="0"/>
              <w:jc w:val="left"/>
            </w:pPr>
            <w:r>
              <w:rPr>
                <w:rFonts w:ascii="Times New Roman" w:hAnsi="Times New Roman"/>
                <w:sz w:val="17"/>
              </w:rPr>
              <w:t xml:space="preserve">+0.075 [+0.053, +0.095]*</w:t>
            </w:r>
          </w:p>
        </w:tc>
        <w:tc>
          <w:tcPr/>
          <w:p>
            <w:pPr>
              <w:pStyle w:val="Compact"/>
              <w:spacing w:before="20" w:after="20" w:line="240" w:lineRule="auto"/>
              <w:ind w:firstLine="0"/>
              <w:jc w:val="left"/>
            </w:pPr>
            <w:r>
              <w:rPr>
                <w:rFonts w:ascii="Times New Roman" w:hAnsi="Times New Roman"/>
                <w:sz w:val="17"/>
              </w:rPr>
              <w:t xml:space="preserve">+0.005 [-0.033, +0.043]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[+0.029, +0.049]*</w:t>
            </w:r>
          </w:p>
        </w:tc>
        <w:tc>
          <w:tcPr/>
          <w:p>
            <w:pPr>
              <w:pStyle w:val="Compact"/>
              <w:spacing w:before="20" w:after="20" w:line="240" w:lineRule="auto"/>
              <w:ind w:firstLine="0"/>
              <w:jc w:val="left"/>
            </w:pPr>
            <w:r>
              <w:rPr>
                <w:rFonts w:ascii="Times New Roman" w:hAnsi="Times New Roman"/>
                <w:sz w:val="17"/>
              </w:rPr>
              <w:t xml:space="preserve">+0.030 [+0.021, +0.040]*</w:t>
            </w:r>
          </w:p>
        </w:tc>
        <w:tc>
          <w:tcPr/>
          <w:p>
            <w:pPr>
              <w:pStyle w:val="Compact"/>
              <w:spacing w:before="20" w:after="20" w:line="240" w:lineRule="auto"/>
              <w:ind w:firstLine="0"/>
              <w:jc w:val="left"/>
            </w:pPr>
            <w:r>
              <w:rPr>
                <w:rFonts w:ascii="Times New Roman" w:hAnsi="Times New Roman"/>
                <w:sz w:val="17"/>
              </w:rPr>
              <w:t xml:space="preserve">+0.008 [-0.008, +0.024]*</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0.094</w:t>
            </w:r>
          </w:p>
        </w:tc>
        <w:tc>
          <w:tcPr/>
          <w:p>
            <w:pPr>
              <w:pStyle w:val="Compact"/>
              <w:spacing w:before="20" w:after="20" w:line="240" w:lineRule="auto"/>
              <w:ind w:firstLine="0"/>
              <w:jc w:val="left"/>
            </w:pPr>
            <w:r>
              <w:rPr>
                <w:rFonts w:ascii="Times New Roman" w:hAnsi="Times New Roman"/>
                <w:sz w:val="17"/>
              </w:rPr>
              <w:t xml:space="preserve">+0.050 [+0.040, +0.060]*</w:t>
            </w:r>
          </w:p>
        </w:tc>
        <w:tc>
          <w:tcPr/>
          <w:p>
            <w:pPr>
              <w:pStyle w:val="Compact"/>
              <w:spacing w:before="20" w:after="20" w:line="240" w:lineRule="auto"/>
              <w:ind w:firstLine="0"/>
              <w:jc w:val="left"/>
            </w:pPr>
            <w:r>
              <w:rPr>
                <w:rFonts w:ascii="Times New Roman" w:hAnsi="Times New Roman"/>
                <w:sz w:val="17"/>
              </w:rPr>
              <w:t xml:space="preserve">+0.054 [+0.045, +0.063]*</w:t>
            </w:r>
          </w:p>
        </w:tc>
        <w:tc>
          <w:tcPr/>
          <w:p>
            <w:pPr>
              <w:pStyle w:val="Compact"/>
              <w:spacing w:before="20" w:after="20" w:line="240" w:lineRule="auto"/>
              <w:ind w:firstLine="0"/>
              <w:jc w:val="left"/>
            </w:pPr>
            <w:r>
              <w:rPr>
                <w:rFonts w:ascii="Times New Roman" w:hAnsi="Times New Roman"/>
                <w:sz w:val="17"/>
              </w:rPr>
              <w:t xml:space="preserve">-0.004 [-0.020, +0.012]</w:t>
            </w:r>
          </w:p>
        </w:tc>
        <w:tc>
          <w:tcPr/>
          <w:p>
            <w:pPr>
              <w:pStyle w:val="Compact"/>
              <w:spacing w:before="20" w:after="20" w:line="240" w:lineRule="auto"/>
              <w:ind w:firstLine="0"/>
              <w:jc w:val="left"/>
            </w:pPr>
            <w:r>
              <w:rPr>
                <w:rFonts w:ascii="Times New Roman" w:hAnsi="Times New Roman"/>
                <w:sz w:val="17"/>
              </w:rPr>
              <w:t xml:space="preserve">1.53*</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0.046</w:t>
            </w:r>
          </w:p>
        </w:tc>
        <w:tc>
          <w:tcPr/>
          <w:p>
            <w:pPr>
              <w:pStyle w:val="Compact"/>
              <w:spacing w:before="20" w:after="20" w:line="240" w:lineRule="auto"/>
              <w:ind w:firstLine="0"/>
              <w:jc w:val="left"/>
            </w:pPr>
            <w:r>
              <w:rPr>
                <w:rFonts w:ascii="Times New Roman" w:hAnsi="Times New Roman"/>
                <w:sz w:val="17"/>
              </w:rPr>
              <w:t xml:space="preserve">+0.004 [-0.002, +0.010]</w:t>
            </w:r>
          </w:p>
        </w:tc>
        <w:tc>
          <w:tcPr/>
          <w:p>
            <w:pPr>
              <w:pStyle w:val="Compact"/>
              <w:spacing w:before="20" w:after="20" w:line="240" w:lineRule="auto"/>
              <w:ind w:firstLine="0"/>
              <w:jc w:val="left"/>
            </w:pPr>
            <w:r>
              <w:rPr>
                <w:rFonts w:ascii="Times New Roman" w:hAnsi="Times New Roman"/>
                <w:sz w:val="17"/>
              </w:rPr>
              <w:t xml:space="preserve">+0.006 [-0.001, +0.013]</w:t>
            </w:r>
          </w:p>
        </w:tc>
        <w:tc>
          <w:tcPr/>
          <w:p>
            <w:pPr>
              <w:pStyle w:val="Compact"/>
              <w:spacing w:before="20" w:after="20" w:line="240" w:lineRule="auto"/>
              <w:ind w:firstLine="0"/>
              <w:jc w:val="left"/>
            </w:pPr>
            <w:r>
              <w:rPr>
                <w:rFonts w:ascii="Times New Roman" w:hAnsi="Times New Roman"/>
                <w:sz w:val="17"/>
              </w:rPr>
              <w:t xml:space="preserve">-0.002 [-0.011, +0.007]</w:t>
            </w:r>
          </w:p>
        </w:tc>
        <w:tc>
          <w:tcPr/>
          <w:p>
            <w:pPr>
              <w:pStyle w:val="Compact"/>
              <w:spacing w:before="20" w:after="20" w:line="240" w:lineRule="auto"/>
              <w:ind w:firstLine="0"/>
              <w:jc w:val="left"/>
            </w:pPr>
            <w:r>
              <w:rPr>
                <w:rFonts w:ascii="Times New Roman" w:hAnsi="Times New Roman"/>
                <w:sz w:val="17"/>
              </w:rPr>
              <w:t xml:space="preserve">1.09*</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+0.115 [+0.103, +0.128]*</w:t>
            </w:r>
          </w:p>
        </w:tc>
        <w:tc>
          <w:tcPr/>
          <w:p>
            <w:pPr>
              <w:pStyle w:val="Compact"/>
              <w:spacing w:before="20" w:after="20" w:line="240" w:lineRule="auto"/>
              <w:ind w:firstLine="0"/>
              <w:jc w:val="left"/>
            </w:pPr>
            <w:r>
              <w:rPr>
                <w:rFonts w:ascii="Times New Roman" w:hAnsi="Times New Roman"/>
                <w:sz w:val="17"/>
              </w:rPr>
              <w:t xml:space="preserve">+0.106 [+0.095, +0.117]*</w:t>
            </w:r>
          </w:p>
        </w:tc>
        <w:tc>
          <w:tcPr/>
          <w:p>
            <w:pPr>
              <w:pStyle w:val="Compact"/>
              <w:spacing w:before="20" w:after="20" w:line="240" w:lineRule="auto"/>
              <w:ind w:firstLine="0"/>
              <w:jc w:val="left"/>
            </w:pPr>
            <w:r>
              <w:rPr>
                <w:rFonts w:ascii="Times New Roman" w:hAnsi="Times New Roman"/>
                <w:sz w:val="17"/>
              </w:rPr>
              <w:t xml:space="preserve">+0.009 [-0.010, +0.027]</w:t>
            </w:r>
          </w:p>
        </w:tc>
        <w:tc>
          <w:tcPr/>
          <w:p>
            <w:pPr>
              <w:pStyle w:val="Compact"/>
              <w:spacing w:before="20" w:after="20" w:line="240" w:lineRule="auto"/>
              <w:ind w:firstLine="0"/>
              <w:jc w:val="left"/>
            </w:pPr>
            <w:r>
              <w:rPr>
                <w:rFonts w:ascii="Times New Roman" w:hAnsi="Times New Roman"/>
                <w:sz w:val="17"/>
              </w:rPr>
              <w:t xml:space="preserve">2.58*</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+0.017 [+0.013, +0.020]*</w:t>
            </w:r>
          </w:p>
        </w:tc>
        <w:tc>
          <w:tcPr/>
          <w:p>
            <w:pPr>
              <w:pStyle w:val="Compact"/>
              <w:spacing w:before="20" w:after="20" w:line="240" w:lineRule="auto"/>
              <w:ind w:firstLine="0"/>
              <w:jc w:val="left"/>
            </w:pPr>
            <w:r>
              <w:rPr>
                <w:rFonts w:ascii="Times New Roman" w:hAnsi="Times New Roman"/>
                <w:sz w:val="17"/>
              </w:rPr>
              <w:t xml:space="preserve">+0.016 [+0.013, +0.019]*</w:t>
            </w:r>
          </w:p>
        </w:tc>
        <w:tc>
          <w:tcPr/>
          <w:p>
            <w:pPr>
              <w:pStyle w:val="Compact"/>
              <w:spacing w:before="20" w:after="20" w:line="240" w:lineRule="auto"/>
              <w:ind w:firstLine="0"/>
              <w:jc w:val="left"/>
            </w:pPr>
            <w:r>
              <w:rPr>
                <w:rFonts w:ascii="Times New Roman" w:hAnsi="Times New Roman"/>
                <w:sz w:val="17"/>
              </w:rPr>
              <w:t xml:space="preserve">+0.001 [-0.005, +0.006]</w:t>
            </w:r>
          </w:p>
        </w:tc>
        <w:tc>
          <w:tcPr/>
          <w:p>
            <w:pPr>
              <w:pStyle w:val="Compact"/>
              <w:spacing w:before="20" w:after="20" w:line="240" w:lineRule="auto"/>
              <w:ind w:firstLine="0"/>
              <w:jc w:val="left"/>
            </w:pPr>
            <w:r>
              <w:rPr>
                <w:rFonts w:ascii="Times New Roman" w:hAnsi="Times New Roman"/>
                <w:sz w:val="17"/>
              </w:rPr>
              <w:t xml:space="preserve">3.15*</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+0.028 [+0.010, +0.045]*</w:t>
            </w:r>
          </w:p>
        </w:tc>
        <w:tc>
          <w:tcPr/>
          <w:p>
            <w:pPr>
              <w:pStyle w:val="Compact"/>
              <w:spacing w:before="20" w:after="20" w:line="240" w:lineRule="auto"/>
              <w:ind w:firstLine="0"/>
              <w:jc w:val="left"/>
            </w:pPr>
            <w:r>
              <w:rPr>
                <w:rFonts w:ascii="Times New Roman" w:hAnsi="Times New Roman"/>
                <w:sz w:val="17"/>
              </w:rPr>
              <w:t xml:space="preserve">+0.025 [+0.009, +0.042]*</w:t>
            </w:r>
          </w:p>
        </w:tc>
        <w:tc>
          <w:tcPr/>
          <w:p>
            <w:pPr>
              <w:pStyle w:val="Compact"/>
              <w:spacing w:before="20" w:after="20" w:line="240" w:lineRule="auto"/>
              <w:ind w:firstLine="0"/>
              <w:jc w:val="left"/>
            </w:pPr>
            <w:r>
              <w:rPr>
                <w:rFonts w:ascii="Times New Roman" w:hAnsi="Times New Roman"/>
                <w:sz w:val="17"/>
              </w:rPr>
              <w:t xml:space="preserve">+0.003 [-0.016, +0.020]</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0.076</w:t>
            </w:r>
          </w:p>
        </w:tc>
        <w:tc>
          <w:tcPr/>
          <w:p>
            <w:pPr>
              <w:pStyle w:val="Compact"/>
              <w:spacing w:before="20" w:after="20" w:line="240" w:lineRule="auto"/>
              <w:ind w:firstLine="0"/>
              <w:jc w:val="left"/>
            </w:pPr>
            <w:r>
              <w:rPr>
                <w:rFonts w:ascii="Times New Roman" w:hAnsi="Times New Roman"/>
                <w:sz w:val="17"/>
              </w:rPr>
              <w:t xml:space="preserve">+0.128 [+0.108, +0.150]*</w:t>
            </w:r>
          </w:p>
        </w:tc>
        <w:tc>
          <w:tcPr/>
          <w:p>
            <w:pPr>
              <w:pStyle w:val="Compact"/>
              <w:spacing w:before="20" w:after="20" w:line="240" w:lineRule="auto"/>
              <w:ind w:firstLine="0"/>
              <w:jc w:val="left"/>
            </w:pPr>
            <w:r>
              <w:rPr>
                <w:rFonts w:ascii="Times New Roman" w:hAnsi="Times New Roman"/>
                <w:sz w:val="17"/>
              </w:rPr>
              <w:t xml:space="preserve">+0.105 [+0.088, +0.124]*</w:t>
            </w:r>
          </w:p>
        </w:tc>
        <w:tc>
          <w:tcPr/>
          <w:p>
            <w:pPr>
              <w:pStyle w:val="Compact"/>
              <w:spacing w:before="20" w:after="20" w:line="240" w:lineRule="auto"/>
              <w:ind w:firstLine="0"/>
              <w:jc w:val="left"/>
            </w:pPr>
            <w:r>
              <w:rPr>
                <w:rFonts w:ascii="Times New Roman" w:hAnsi="Times New Roman"/>
                <w:sz w:val="17"/>
              </w:rPr>
              <w:t xml:space="preserve">+0.023 [+0.000, +0.047]</w:t>
            </w:r>
          </w:p>
        </w:tc>
        <w:tc>
          <w:tcPr/>
          <w:p>
            <w:pPr>
              <w:pStyle w:val="Compact"/>
              <w:spacing w:before="20" w:after="20" w:line="240" w:lineRule="auto"/>
              <w:ind w:firstLine="0"/>
              <w:jc w:val="left"/>
            </w:pPr>
            <w:r>
              <w:rPr>
                <w:rFonts w:ascii="Times New Roman" w:hAnsi="Times New Roman"/>
                <w:sz w:val="17"/>
              </w:rPr>
              <w:t xml:space="preserve">2.68*</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+0.032 [+0.025, +0.039]*</w:t>
            </w:r>
          </w:p>
        </w:tc>
        <w:tc>
          <w:tcPr/>
          <w:p>
            <w:pPr>
              <w:pStyle w:val="Compact"/>
              <w:spacing w:before="20" w:after="20" w:line="240" w:lineRule="auto"/>
              <w:ind w:firstLine="0"/>
              <w:jc w:val="left"/>
            </w:pPr>
            <w:r>
              <w:rPr>
                <w:rFonts w:ascii="Times New Roman" w:hAnsi="Times New Roman"/>
                <w:sz w:val="17"/>
              </w:rPr>
              <w:t xml:space="preserve">+0.028 [+0.021, +0.035]*</w:t>
            </w:r>
          </w:p>
        </w:tc>
        <w:tc>
          <w:tcPr/>
          <w:p>
            <w:pPr>
              <w:pStyle w:val="Compact"/>
              <w:spacing w:before="20" w:after="20" w:line="240" w:lineRule="auto"/>
              <w:ind w:firstLine="0"/>
              <w:jc w:val="left"/>
            </w:pPr>
            <w:r>
              <w:rPr>
                <w:rFonts w:ascii="Times New Roman" w:hAnsi="Times New Roman"/>
                <w:sz w:val="17"/>
              </w:rPr>
              <w:t xml:space="preserve">+0.004 [-0.008, +0.016]</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+0.015 [+0.013, +0.018]*</w:t>
            </w:r>
          </w:p>
        </w:tc>
        <w:tc>
          <w:tcPr/>
          <w:p>
            <w:pPr>
              <w:pStyle w:val="Compact"/>
              <w:spacing w:before="20" w:after="20" w:line="240" w:lineRule="auto"/>
              <w:ind w:firstLine="0"/>
              <w:jc w:val="left"/>
            </w:pPr>
            <w:r>
              <w:rPr>
                <w:rFonts w:ascii="Times New Roman" w:hAnsi="Times New Roman"/>
                <w:sz w:val="17"/>
              </w:rPr>
              <w:t xml:space="preserve">+0.011 [+0.009, +0.014]*</w:t>
            </w:r>
          </w:p>
        </w:tc>
        <w:tc>
          <w:tcPr/>
          <w:p>
            <w:pPr>
              <w:pStyle w:val="Compact"/>
              <w:spacing w:before="20" w:after="20" w:line="240" w:lineRule="auto"/>
              <w:ind w:firstLine="0"/>
              <w:jc w:val="left"/>
            </w:pPr>
            <w:r>
              <w:rPr>
                <w:rFonts w:ascii="Times New Roman" w:hAnsi="Times New Roman"/>
                <w:sz w:val="17"/>
              </w:rPr>
              <w:t xml:space="preserve">+0.004 [-0.001, +0.009]</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2.16*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0.124</w:t>
            </w:r>
          </w:p>
        </w:tc>
        <w:tc>
          <w:tcPr/>
          <w:p>
            <w:pPr>
              <w:pStyle w:val="Compact"/>
              <w:spacing w:before="20" w:after="20" w:line="240" w:lineRule="auto"/>
              <w:ind w:firstLine="0"/>
              <w:jc w:val="left"/>
            </w:pPr>
            <w:r>
              <w:rPr>
                <w:rFonts w:ascii="Times New Roman" w:hAnsi="Times New Roman"/>
                <w:sz w:val="17"/>
              </w:rPr>
              <w:t xml:space="preserve">+0.103 [+0.089, +0.118]*</w:t>
            </w:r>
          </w:p>
        </w:tc>
        <w:tc>
          <w:tcPr/>
          <w:p>
            <w:pPr>
              <w:pStyle w:val="Compact"/>
              <w:spacing w:before="20" w:after="20" w:line="240" w:lineRule="auto"/>
              <w:ind w:firstLine="0"/>
              <w:jc w:val="left"/>
            </w:pPr>
            <w:r>
              <w:rPr>
                <w:rFonts w:ascii="Times New Roman" w:hAnsi="Times New Roman"/>
                <w:sz w:val="17"/>
              </w:rPr>
              <w:t xml:space="preserve">+0.099 [+0.083, +0.115]*</w:t>
            </w:r>
          </w:p>
        </w:tc>
        <w:tc>
          <w:tcPr/>
          <w:p>
            <w:pPr>
              <w:pStyle w:val="Compact"/>
              <w:spacing w:before="20" w:after="20" w:line="240" w:lineRule="auto"/>
              <w:ind w:firstLine="0"/>
              <w:jc w:val="left"/>
            </w:pPr>
            <w:r>
              <w:rPr>
                <w:rFonts w:ascii="Times New Roman" w:hAnsi="Times New Roman"/>
                <w:sz w:val="17"/>
              </w:rPr>
              <w:t xml:space="preserve">+0.004 [-0.022, +0.030]</w:t>
            </w:r>
          </w:p>
        </w:tc>
        <w:tc>
          <w:tcPr/>
          <w:p>
            <w:pPr>
              <w:pStyle w:val="Compact"/>
              <w:spacing w:before="20" w:after="20" w:line="240" w:lineRule="auto"/>
              <w:ind w:firstLine="0"/>
              <w:jc w:val="left"/>
            </w:pPr>
            <w:r>
              <w:rPr>
                <w:rFonts w:ascii="Times New Roman" w:hAnsi="Times New Roman"/>
                <w:sz w:val="17"/>
              </w:rPr>
              <w:t xml:space="preserve">1.83*</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+0.080 [+0.072, +0.088]*</w:t>
            </w:r>
          </w:p>
        </w:tc>
        <w:tc>
          <w:tcPr/>
          <w:p>
            <w:pPr>
              <w:pStyle w:val="Compact"/>
              <w:spacing w:before="20" w:after="20" w:line="240" w:lineRule="auto"/>
              <w:ind w:firstLine="0"/>
              <w:jc w:val="left"/>
            </w:pPr>
            <w:r>
              <w:rPr>
                <w:rFonts w:ascii="Times New Roman" w:hAnsi="Times New Roman"/>
                <w:sz w:val="17"/>
              </w:rPr>
              <w:t xml:space="preserve">+0.077 [+0.069, +0.084]*</w:t>
            </w:r>
          </w:p>
        </w:tc>
        <w:tc>
          <w:tcPr/>
          <w:p>
            <w:pPr>
              <w:pStyle w:val="Compact"/>
              <w:spacing w:before="20" w:after="20" w:line="240" w:lineRule="auto"/>
              <w:ind w:firstLine="0"/>
              <w:jc w:val="left"/>
            </w:pPr>
            <w:r>
              <w:rPr>
                <w:rFonts w:ascii="Times New Roman" w:hAnsi="Times New Roman"/>
                <w:sz w:val="17"/>
              </w:rPr>
              <w:t xml:space="preserve">+0.003 [-0.010, +0.017]</w:t>
            </w:r>
          </w:p>
        </w:tc>
        <w:tc>
          <w:tcPr/>
          <w:p>
            <w:pPr>
              <w:pStyle w:val="Compact"/>
              <w:spacing w:before="20" w:after="20" w:line="240" w:lineRule="auto"/>
              <w:ind w:firstLine="0"/>
              <w:jc w:val="left"/>
            </w:pPr>
            <w:r>
              <w:rPr>
                <w:rFonts w:ascii="Times New Roman" w:hAnsi="Times New Roman"/>
                <w:sz w:val="17"/>
              </w:rPr>
              <w:t xml:space="preserve">10.43*</w:t>
            </w:r>
          </w:p>
        </w:tc>
        <w:tc>
          <w:tcPr/>
          <w:p>
            <w:pPr>
              <w:pStyle w:val="Compact"/>
              <w:spacing w:before="20" w:after="20" w:line="240" w:lineRule="auto"/>
              <w:ind w:firstLine="0"/>
              <w:jc w:val="left"/>
            </w:pPr>
            <w:r>
              <w:rPr>
                <w:rFonts w:ascii="Times New Roman" w:hAnsi="Times New Roman"/>
                <w:sz w:val="17"/>
              </w:rPr>
              <w:t xml:space="preserve">10.03*</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900 customers for GPT-4o-mini, Llama-3.3-70B, and Haiku 5.5, which were run on three seeds). Lift = probability with the email minus probability without it; gap = lift of the men’s email minus lift of the women’s email; intervals are 95% paired bootstrap intervals over customers (real values: normal approximation). RR = risk ratio; for the models run on three seeds it is the mean of the three per-seed ratios, and the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but its interval includes or touches one in two (GPT-4o-mini with the anchor for visits, 1.01 [1.00, 1.03], where the model answered about 10% regardless of the email, and Sonnet 5 with the anchor for purchases, 1.09 [0.96, 1.25]), and Llama with the anchor gave a risk ratio below one in the yes/no format for visits (0.60 to 0.69 in all three seeds). For the three models run on three seeds, the risk ratio exceeded one in all 24 cells of the two further seeds (smallest lower bound 1.00). Second, the size of the visit effect depends on the model and the prompt. In 4 of 16 configurations the lift for the men’s email is statistically consistent with the real +0.077 (Llama-3.3-70B, Haiku 5.5, and Mistral Large 4 without the anchor, and GPT-5.6-terra with it); five are less than half as large (for example Sonnet 5 with the anchor, +0.025),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10 and by up to 25 (for example +0.169 for GPT-4o-mini without the anchor). The one exception is Sonnet 5 with the anchor, whose purchase lift (+0.004, interval -0.002 to +0.010) is consistent with the real one; but this model rates the visit lift at only 0.3 times the real value and its no-email purchase probability (0.046)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none has a gap interval that excludes zero in the right direction. The point estimate of the gap is positive in only 15 cells, the largest simulated visit gap is +0.013, and in three cells (Haiku 5.5 without the anchor for visits, and GPT-4o-mini in both prompt variants for purchases) the women’s email is rated significantly higher.</w:t>
      </w:r>
    </w:p>
    <w:p>
      <w:pPr>
        <w:pStyle w:val="BodyText"/>
      </w:pPr>
      <w:r>
        <w:t xml:space="preserve">Direct yes/no answers are not usable for rare events. In 15 of 32 yes/no cells of the first seed (and in 13 of 24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+0.007 to +0.55, up to 80 times the real lift.</w:t>
      </w:r>
    </w:p>
    <w:bookmarkEnd w:id="52"/>
    <w:bookmarkStart w:id="53" w:name="summary-of-hypotheses"/>
    <w:p>
      <w:pPr>
        <w:pStyle w:val="Heading2"/>
      </w:pPr>
      <w:r>
        <w:t xml:space="preserve">5.7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two DeepSeek-V4-Pro and Sonnet 5 cells without the anchor), 48 of 48 (high mean), and 43 of 48 (demographic personas, where design C often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4 of 16 high-mean cells, and reaches it in 9 of 16 cells with demographic personas. Zero shares are too low where the real share is large (0.74 and 0.19) but close to the real value where it is small (0.03; 11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Supported with a qualification. It matches the reference ratio in 35 of 48 cells (7 of 16, 15 of 16, 13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12 of 48 (5, 5, 2) because the model’s mean is often wrong. Sonnet 5 reproduces all four in both prompt variants in the high-mean setting.</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tenfold). Not for visits: 4 of 16 are consistent with the real value, 5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only 3 of 32 cells, and in all three the sign is the opposite of the real one.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44 of 48 cells; the four exceptions are DeepSeek-V4-Pro or Mistral Large 4 without the anchor). Partly for the hybrid design, whose accuracy follows the model’s mean (best for Sonnet 5 in the high-mean setting).</w:t>
            </w:r>
          </w:p>
        </w:tc>
      </w:tr>
    </w:tbl>
    <w:p>
      <w:pPr>
        <w:pStyle w:val="BodyText"/>
        <w:spacing w:line="240" w:lineRule="auto"/>
        <w:ind w:firstLine="0"/>
      </w:pPr>
      <w:r>
        <w:rPr>
          <w:iCs/>
          <w:i/>
        </w:rPr>
        <w:t xml:space="preserve">Table 5. Hypotheses and evidence.</w:t>
      </w:r>
    </w:p>
    <w:bookmarkEnd w:id="53"/>
    <w:bookmarkEnd w:id="54"/>
    <w:bookmarkStart w:id="61" w:name="discussion"/>
    <w:p>
      <w:pPr>
        <w:pStyle w:val="Heading1"/>
      </w:pPr>
      <w:r>
        <w:t xml:space="preserve">6. Discussion</w:t>
      </w:r>
    </w:p>
    <w:bookmarkStart w:id="55"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at most 1.00 in 44 of 48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Mistral Large 4) do not escape the collapse of direct answers, but the better ones supply a more accurate mean, and the hybrid design then works well (Sonnet 5 in the high-mean setting).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p>
      <w:pPr>
        <w:pStyle w:val="BodyText"/>
      </w:pPr>
      <w:r>
        <w:t xml:space="preserve">A further implication concerns the limits of AI-based decision support and of the</w:t>
      </w:r>
      <w:r>
        <w:t xml:space="preserve"> </w:t>
      </w:r>
      <w:r>
        <w:t xml:space="preserve">“</w:t>
      </w:r>
      <w:r>
        <w:t xml:space="preserve">digital twin</w:t>
      </w:r>
      <w:r>
        <w:t xml:space="preserve">”</w:t>
      </w:r>
      <w:r>
        <w:t xml:space="preserve"> </w:t>
      </w:r>
      <w:r>
        <w:t xml:space="preserve">idea. A twin is usually understood as a replica that can stand in for the original in a decision. Our evidence supports a narrower reading. At the level of the individual customer, the demographic personas carried almost no information about real counts (rank correlations between -0.17 and +0.16),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tail, and the absolute size of an effect. We view this as the main point for information systems research on generative AI in decision support. Evaluation should be stated in terms of the decision-relevant properties of the artifact’s output, because fluency and aggregate plausibility, which are what users see, do not indicate them.</w:t>
      </w:r>
    </w:p>
    <w:bookmarkEnd w:id="55"/>
    <w:bookmarkStart w:id="56"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35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20 of 48 cells). A rescaling of the model’s rate against a historical customer file is a natural step that we did not test.</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6"/>
    <w:bookmarkStart w:id="57" w:name="implications-for-practice"/>
    <w:p>
      <w:pPr>
        <w:pStyle w:val="Heading2"/>
      </w:pPr>
      <w:r>
        <w:t xml:space="preserve">6.3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 and in our data the mean matched the reference in only 20 of 48 hybrid cells.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0.065,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7"/>
    <w:bookmarkStart w:id="58"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five specific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ten times the randomized value. In the stylized example of Section 6.3, with a cost of 1 and a margin of 50 per purchase,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median simulated lift of 0.065 predicts</w:t>
      </w:r>
      <w:r>
        <w:t xml:space="preserve"> </w:t>
      </w:r>
      <m:oMath>
        <m:r>
          <m:rPr>
            <m:sty m:val="p"/>
          </m:rPr>
          <m:t>+</m:t>
        </m:r>
        <m:r>
          <m:t>2.25</m:t>
        </m:r>
      </m:oMath>
      <w:r>
        <w:t xml:space="preserve"> </w:t>
      </w:r>
      <w:r>
        <w:t xml:space="preserve">per customer, a profit of about 225,000. The gap between forecast and outcome is therefore about 290,000 for a single campaign, and it has a sign that favors launching. The error is systematic, not noisy, so it does not average out over campaigns.</w:t>
      </w:r>
    </w:p>
    <w:p>
      <w:pPr>
        <w:pStyle w:val="BodyText"/>
      </w:pPr>
      <w:r>
        <w:rPr>
          <w:iCs/>
          <w:i/>
        </w:rPr>
        <w:t xml:space="preserve">False precision.</w:t>
      </w:r>
      <w:r>
        <w:t xml:space="preserve"> </w:t>
      </w:r>
      <w:r>
        <w:t xml:space="preserve">The simulated lifts often came with narrow intervals, and the intervals excluded the real value in most configurations. A system that reports a tight interval around a wrong number invites more confidence than one that reports a wide one.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The failure is then self-concealing. We did not observe this process, but it follows from the validation paradox, and it is the reason why we recommend that synthetic pre-tests be paired with a continuing stream of real tests and not substitute for it.</w:t>
      </w:r>
    </w:p>
    <w:p>
      <w:pPr>
        <w:pStyle w:val="BodyText"/>
      </w:pPr>
      <w:r>
        <w:rPr>
          <w:iCs/>
          <w:i/>
        </w:rPr>
        <w:t xml:space="preserve">Propagation.</w:t>
      </w:r>
      <w:r>
        <w:t xml:space="preserve"> </w:t>
      </w:r>
      <w:r>
        <w:t xml:space="preserve">Synthetic customers that are used as inputs to forecasts, budget models, or other learned systems carry their compressed spread with them. Concentration is lost (Proposition 3), the share of non-buyers is distorted, and the result enters downstream decisions as if it were observed data. The cost is then not one wrong decision but a bias built into the planning system, whose source is hard to trace afterward.</w:t>
      </w:r>
    </w:p>
    <w:p>
      <w:pPr>
        <w:pStyle w:val="BodyText"/>
      </w:pPr>
      <w:r>
        <w:rPr>
          <w:iCs/>
          <w:i/>
        </w:rPr>
        <w:t xml:space="preserve">Unassigned accountability.</w:t>
      </w:r>
      <w:r>
        <w:t xml:space="preserve"> </w:t>
      </w:r>
      <w:r>
        <w:t xml:space="preserve">When a decision rests on a vendor’s model, a prompt written by an analyst, and a calibration step maintained by another team, no one owns the error. The organization should assign responsibility for the acceptance test of Section 6.5 before the system is used, not after the first costly outcome. A digital twin that no one is accountable for validating is a liability presented as an asset.</w:t>
      </w:r>
    </w:p>
    <w:p>
      <w:pPr>
        <w:pStyle w:val="BodyText"/>
      </w:pPr>
      <w:r>
        <w:t xml:space="preserve">These risks do not argue against the technology. They argue against using it as a replacement for evidence rather than as a complement to it, and against purchasing decisions that are based on demonstrations of fluency and plausible averages, which are the properties our experiments show to be least informative about decision quality.</w:t>
      </w:r>
    </w:p>
    <w:bookmarkEnd w:id="58"/>
    <w:bookmarkStart w:id="59" w:name="X94616b3a30dccc1fe21684587130f01609b39ab"/>
    <w:p>
      <w:pPr>
        <w:pStyle w:val="Heading2"/>
      </w:pPr>
      <w:r>
        <w:t xml:space="preserve">6.5 Organizational implications: validating and using synthetic data in marketing analytics systems</w:t>
      </w:r>
    </w:p>
    <w:p>
      <w:pPr>
        <w:pStyle w:val="FirstParagraph"/>
      </w:pPr>
      <w:r>
        <w:t xml:space="preserve">The findings have implications for how organizations that run marketing analytics systems should treat synthetic customers. We state them as recommendations that follow from our evidence and from the artifact view; we did not test them in an organization.</w:t>
      </w:r>
    </w:p>
    <w:p>
      <w:pPr>
        <w:pStyle w:val="BodyText"/>
      </w:pPr>
      <w:r>
        <w:rPr>
          <w:iCs/>
          <w:i/>
        </w:rPr>
        <w:t xml:space="preserve">Treat validation as an acceptance gate, not an afterthought.</w:t>
      </w:r>
      <w:r>
        <w:t xml:space="preserve"> </w:t>
      </w:r>
      <w:r>
        <w:t xml:space="preserve">Before synthetic customers enter a planning process, the system should pass a standing acceptance test against the organization’s own history: level, variance-to-mean ratio, zero share, and, where a past randomized test exists, the absolute lift. The reference values come from the customer file and the experiment archive that the marketing analytics team already holds. This puts a concrete interface between two functions. The marketing team owns the reference data and the decision requirements, and the information systems team owns the pipeline, the model versions, and the calibration step.</w:t>
      </w:r>
    </w:p>
    <w:p>
      <w:pPr>
        <w:pStyle w:val="BodyText"/>
      </w:pPr>
      <w:r>
        <w:rPr>
          <w:iCs/>
          <w:i/>
        </w:rPr>
        <w:t xml:space="preserve">Re-validate when the model changes.</w:t>
      </w:r>
      <w:r>
        <w:t xml:space="preserve"> </w:t>
      </w:r>
      <w:r>
        <w:t xml:space="preserve">The eight models we tested differed widely in the same design, for example in the mean they implied and in how they reacted to a stated base rate, and the same model reacted differently to different prompt context. A vendor update or a switch of model or provider should therefore trigger the acceptance test again, in the same way that a schema change triggers regression tests in other systems. The same applies to changes in the prompt template.</w:t>
      </w:r>
    </w:p>
    <w:p>
      <w:pPr>
        <w:pStyle w:val="BodyText"/>
      </w:pPr>
      <w:r>
        <w:rPr>
          <w:iCs/>
          <w:i/>
        </w:rPr>
        <w:t xml:space="preserve">Use synthetic data where its errors do the least harm.</w:t>
      </w:r>
      <w:r>
        <w:t xml:space="preserve"> </w:t>
      </w:r>
      <w:r>
        <w:t xml:space="preserve">The designs we studied reproduced the sign of a promotion effect in nearly all cases, but not its size. Synthetic customers are therefore better suited to screening and ranking options, or to generating hypotheses, than to sizing a campaign or computing revenue. A randomized holdout test remains the standard for the latter, and the stylized example in Section 6.3 shows what is at risk if that standard is skipped.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 We did not study this risk empirically; it follows from the finding that the spread is the property that is lost.</w:t>
      </w:r>
    </w:p>
    <w:p>
      <w:pPr>
        <w:pStyle w:val="BodyText"/>
      </w:pPr>
      <w:r>
        <w:rPr>
          <w:iCs/>
          <w:i/>
        </w:rPr>
        <w:t xml:space="preserve">Weigh the savings against the cost of a wrong decision.</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therefore not the simulation but the decision made on its output, and the governance effort should be proportional to the value of that decision.</w:t>
      </w:r>
    </w:p>
    <w:p>
      <w:pPr>
        <w:pStyle w:val="BodyText"/>
      </w:pPr>
      <w:r>
        <w:rPr>
          <w:iCs/>
          <w:i/>
        </w:rPr>
        <w:t xml:space="preserve">Build the loop that corrects the system.</w:t>
      </w:r>
      <w:r>
        <w:t xml:space="preserve"> </w:t>
      </w:r>
      <w:r>
        <w:t xml:space="preserve">Each randomized test that the organization runs is also a calibration data point for its simulator. A system that stores the simulated and the realized lift for each past campaign can track its own bias over time and adjust the calibration step, which turns an occasional validation into a continuing feedback process.</w:t>
      </w:r>
    </w:p>
    <w:bookmarkEnd w:id="59"/>
    <w:bookmarkStart w:id="60" w:name="limitations-and-future-research"/>
    <w:p>
      <w:pPr>
        <w:pStyle w:val="Heading2"/>
      </w:pPr>
      <w:r>
        <w:t xml:space="preserve">6.6 Limitations and future research</w:t>
      </w:r>
    </w:p>
    <w:p>
      <w:pPr>
        <w:pStyle w:val="FirstParagraph"/>
      </w:pPr>
      <w:r>
        <w:t xml:space="preserve">The evidence is preliminary. The five newer models were run on a single random seed, and every design has one prompt wording, so our intervals capture the sampling of customers but not variation across prompts. For the three models that we repeated on three seeds, the qualitative conclusions did not change, and the per-seed variance-to-mean ratios of the direct and daily designs differ by at most 0.11 and 0.20; the ratio of the describe design varies by up to 2.1 and that of the hybrid by up to 4.2 across seeds in the high-mean settings, which is why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0"/>
    <w:bookmarkEnd w:id="61"/>
    <w:bookmarkStart w:id="62"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 For the design of such systems, the evidence points to separating the level, which the model can supply, from the spread, which must come from an external calibrated source, and to evaluating the artifact against the decision it is meant to support.</w:t>
      </w:r>
    </w:p>
    <w:bookmarkEnd w:id="62"/>
    <w:bookmarkStart w:id="63"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63"/>
    <w:bookmarkStart w:id="64"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4"/>
    <w:bookmarkStart w:id="65"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1.33*</w:t>
            </w:r>
          </w:p>
        </w:tc>
        <w:tc>
          <w:tcPr/>
          <w:p>
            <w:pPr>
              <w:pStyle w:val="Compact"/>
              <w:spacing w:before="20" w:after="20" w:line="240" w:lineRule="auto"/>
              <w:ind w:firstLine="0"/>
              <w:jc w:val="left"/>
            </w:pPr>
            <w:r>
              <w:rPr>
                <w:rFonts w:ascii="Times New Roman" w:hAnsi="Times New Roman"/>
                <w:sz w:val="17"/>
              </w:rPr>
              <w:t xml:space="preserve">0.86*</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3.12*</w:t>
            </w:r>
          </w:p>
        </w:tc>
        <w:tc>
          <w:tcPr/>
          <w:p>
            <w:pPr>
              <w:pStyle w:val="Compact"/>
              <w:spacing w:before="20" w:after="20" w:line="240" w:lineRule="auto"/>
              <w:ind w:firstLine="0"/>
              <w:jc w:val="left"/>
            </w:pPr>
            <w:r>
              <w:rPr>
                <w:rFonts w:ascii="Times New Roman" w:hAnsi="Times New Roman"/>
                <w:sz w:val="17"/>
              </w:rPr>
              <w:t xml:space="preserve">2.96*</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1.70*</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2.02*</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1.56*</w:t>
            </w:r>
          </w:p>
        </w:tc>
        <w:tc>
          <w:tcPr/>
          <w:p>
            <w:pPr>
              <w:pStyle w:val="Compact"/>
              <w:spacing w:before="20" w:after="20" w:line="240" w:lineRule="auto"/>
              <w:ind w:firstLine="0"/>
              <w:jc w:val="left"/>
            </w:pPr>
            <w:r>
              <w:rPr>
                <w:rFonts w:ascii="Times New Roman" w:hAnsi="Times New Roman"/>
                <w:sz w:val="17"/>
              </w:rPr>
              <w:t xml:space="preserve">1.16*</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2.19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2.15*</w:t>
            </w:r>
          </w:p>
        </w:tc>
        <w:tc>
          <w:tcPr/>
          <w:p>
            <w:pPr>
              <w:pStyle w:val="Compact"/>
              <w:spacing w:before="20" w:after="20" w:line="240" w:lineRule="auto"/>
              <w:ind w:firstLine="0"/>
              <w:jc w:val="left"/>
            </w:pPr>
            <w:r>
              <w:rPr>
                <w:rFonts w:ascii="Times New Roman" w:hAnsi="Times New Roman"/>
                <w:sz w:val="17"/>
              </w:rPr>
              <w:t xml:space="preserve">18.37*</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8.06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0.30*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2.66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4.06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0.83*</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-0.04*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2.92</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3.50*</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0.38*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0.79</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2.56</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0.68*</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1.01*</w:t>
            </w:r>
          </w:p>
        </w:tc>
        <w:tc>
          <w:tcPr/>
          <w:p>
            <w:pPr>
              <w:pStyle w:val="Compact"/>
              <w:spacing w:before="20" w:after="20" w:line="240" w:lineRule="auto"/>
              <w:ind w:firstLine="0"/>
              <w:jc w:val="left"/>
            </w:pPr>
            <w:r>
              <w:rPr>
                <w:rFonts w:ascii="Times New Roman" w:hAnsi="Times New Roman"/>
                <w:sz w:val="17"/>
              </w:rPr>
              <w:t xml:space="preserve">1.31*</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1.46*</w:t>
            </w:r>
          </w:p>
        </w:tc>
        <w:tc>
          <w:tcPr/>
          <w:p>
            <w:pPr>
              <w:pStyle w:val="Compact"/>
              <w:spacing w:before="20" w:after="20" w:line="240" w:lineRule="auto"/>
              <w:ind w:firstLine="0"/>
              <w:jc w:val="left"/>
            </w:pPr>
            <w:r>
              <w:rPr>
                <w:rFonts w:ascii="Times New Roman" w:hAnsi="Times New Roman"/>
                <w:sz w:val="17"/>
              </w:rPr>
              <w:t xml:space="preserve">0.80</w:t>
            </w:r>
          </w:p>
        </w:tc>
        <w:tc>
          <w:tcPr/>
          <w:p>
            <w:pPr>
              <w:pStyle w:val="Compact"/>
              <w:spacing w:before="20" w:after="20" w:line="240" w:lineRule="auto"/>
              <w:ind w:firstLine="0"/>
              <w:jc w:val="left"/>
            </w:pPr>
            <w:r>
              <w:rPr>
                <w:rFonts w:ascii="Times New Roman" w:hAnsi="Times New Roman"/>
                <w:sz w:val="17"/>
              </w:rPr>
              <w:t xml:space="preserve">1.67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2.67</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3.67</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10.22*</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9.99</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8.19*</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4.41*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4.94</w:t>
            </w:r>
          </w:p>
        </w:tc>
        <w:tc>
          <w:tcPr/>
          <w:p>
            <w:pPr>
              <w:pStyle w:val="Compact"/>
              <w:spacing w:before="20" w:after="20" w:line="240" w:lineRule="auto"/>
              <w:ind w:firstLine="0"/>
              <w:jc w:val="left"/>
            </w:pPr>
            <w:r>
              <w:rPr>
                <w:rFonts w:ascii="Times New Roman" w:hAnsi="Times New Roman"/>
                <w:sz w:val="17"/>
              </w:rPr>
              <w:t xml:space="preserve">8.87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7.56*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0.61*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10.65</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3.70*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4.67</w:t>
            </w:r>
          </w:p>
        </w:tc>
        <w:tc>
          <w:tcPr/>
          <w:p>
            <w:pPr>
              <w:pStyle w:val="Compact"/>
              <w:spacing w:before="20" w:after="20" w:line="240" w:lineRule="auto"/>
              <w:ind w:firstLine="0"/>
              <w:jc w:val="left"/>
            </w:pPr>
            <w:r>
              <w:rPr>
                <w:rFonts w:ascii="Times New Roman" w:hAnsi="Times New Roman"/>
                <w:sz w:val="17"/>
              </w:rPr>
              <w:t xml:space="preserve">10.85</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2.11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3.85*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7.87*</w:t>
            </w:r>
          </w:p>
        </w:tc>
        <w:tc>
          <w:tcPr/>
          <w:p>
            <w:pPr>
              <w:pStyle w:val="Compact"/>
              <w:spacing w:before="20" w:after="20" w:line="240" w:lineRule="auto"/>
              <w:ind w:firstLine="0"/>
              <w:jc w:val="left"/>
            </w:pPr>
            <w:r>
              <w:rPr>
                <w:rFonts w:ascii="Times New Roman" w:hAnsi="Times New Roman"/>
                <w:sz w:val="17"/>
              </w:rPr>
              <w:t xml:space="preserve">11.54</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1.34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5.20*</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5.24</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6.69*</w:t>
            </w:r>
          </w:p>
        </w:tc>
        <w:tc>
          <w:tcPr/>
          <w:p>
            <w:pPr>
              <w:pStyle w:val="Compact"/>
              <w:spacing w:before="20" w:after="20" w:line="240" w:lineRule="auto"/>
              <w:ind w:firstLine="0"/>
              <w:jc w:val="left"/>
            </w:pPr>
            <w:r>
              <w:rPr>
                <w:rFonts w:ascii="Times New Roman" w:hAnsi="Times New Roman"/>
                <w:sz w:val="17"/>
              </w:rPr>
              <w:t xml:space="preserve">7.34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11.82*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6.24*</w:t>
            </w:r>
          </w:p>
        </w:tc>
        <w:tc>
          <w:tcPr/>
          <w:p>
            <w:pPr>
              <w:pStyle w:val="Compact"/>
              <w:spacing w:before="20" w:after="20" w:line="240" w:lineRule="auto"/>
              <w:ind w:firstLine="0"/>
              <w:jc w:val="left"/>
            </w:pPr>
            <w:r>
              <w:rPr>
                <w:rFonts w:ascii="Times New Roman" w:hAnsi="Times New Roman"/>
                <w:sz w:val="17"/>
              </w:rPr>
              <w:t xml:space="preserve">3.52*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7.57*</w:t>
            </w:r>
          </w:p>
        </w:tc>
        <w:tc>
          <w:tcPr/>
          <w:p>
            <w:pPr>
              <w:pStyle w:val="Compact"/>
              <w:spacing w:before="20" w:after="20" w:line="240" w:lineRule="auto"/>
              <w:ind w:firstLine="0"/>
              <w:jc w:val="left"/>
            </w:pPr>
            <w:r>
              <w:rPr>
                <w:rFonts w:ascii="Times New Roman" w:hAnsi="Times New Roman"/>
                <w:sz w:val="17"/>
              </w:rPr>
              <w:t xml:space="preserve">13.01</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3.18*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7.02</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8.59*</w:t>
            </w:r>
          </w:p>
        </w:tc>
        <w:tc>
          <w:tcPr/>
          <w:p>
            <w:pPr>
              <w:pStyle w:val="Compact"/>
              <w:spacing w:before="20" w:after="20" w:line="240" w:lineRule="auto"/>
              <w:ind w:firstLine="0"/>
              <w:jc w:val="left"/>
            </w:pPr>
            <w:r>
              <w:rPr>
                <w:rFonts w:ascii="Times New Roman" w:hAnsi="Times New Roman"/>
                <w:sz w:val="17"/>
              </w:rPr>
              <w:t xml:space="preserve">2.38*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7.79*</w:t>
            </w:r>
          </w:p>
        </w:tc>
        <w:tc>
          <w:tcPr/>
          <w:p>
            <w:pPr>
              <w:pStyle w:val="Compact"/>
              <w:spacing w:before="20" w:after="20" w:line="240" w:lineRule="auto"/>
              <w:ind w:firstLine="0"/>
              <w:jc w:val="left"/>
            </w:pPr>
            <w:r>
              <w:rPr>
                <w:rFonts w:ascii="Times New Roman" w:hAnsi="Times New Roman"/>
                <w:sz w:val="17"/>
              </w:rPr>
              <w:t xml:space="preserve">4.39*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6.22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8.22*</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1.64</w:t>
            </w:r>
          </w:p>
        </w:tc>
      </w:tr>
    </w:tbl>
    <w:p>
      <w:pPr>
        <w:pStyle w:val="BodyText"/>
        <w:spacing w:line="240" w:lineRule="auto"/>
        <w:ind w:firstLine="0"/>
      </w:pPr>
      <w:r>
        <w:rPr>
          <w:iCs/>
          <w:i/>
        </w:rPr>
        <w:t xml:space="preserve">Table B2. High-mean setting, 200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10.51*</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6.33*</w:t>
            </w:r>
          </w:p>
        </w:tc>
        <w:tc>
          <w:tcPr/>
          <w:p>
            <w:pPr>
              <w:pStyle w:val="Compact"/>
              <w:spacing w:before="20" w:after="20" w:line="240" w:lineRule="auto"/>
              <w:ind w:firstLine="0"/>
              <w:jc w:val="left"/>
            </w:pPr>
            <w:r>
              <w:rPr>
                <w:rFonts w:ascii="Times New Roman" w:hAnsi="Times New Roman"/>
                <w:sz w:val="17"/>
              </w:rPr>
              <w:t xml:space="preserve">3.87*</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4.72*</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6.78*</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10.27*</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6.89*</w:t>
            </w:r>
          </w:p>
        </w:tc>
        <w:tc>
          <w:tcPr/>
          <w:p>
            <w:pPr>
              <w:pStyle w:val="Compact"/>
              <w:spacing w:before="20" w:after="20" w:line="240" w:lineRule="auto"/>
              <w:ind w:firstLine="0"/>
              <w:jc w:val="left"/>
            </w:pPr>
            <w:r>
              <w:rPr>
                <w:rFonts w:ascii="Times New Roman" w:hAnsi="Times New Roman"/>
                <w:sz w:val="17"/>
              </w:rPr>
              <w:t xml:space="preserve">4.16*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8.58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8.46*</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6.66*</w:t>
            </w:r>
          </w:p>
        </w:tc>
        <w:tc>
          <w:tcPr/>
          <w:p>
            <w:pPr>
              <w:pStyle w:val="Compact"/>
              <w:spacing w:before="20" w:after="20" w:line="240" w:lineRule="auto"/>
              <w:ind w:firstLine="0"/>
              <w:jc w:val="left"/>
            </w:pPr>
            <w:r>
              <w:rPr>
                <w:rFonts w:ascii="Times New Roman" w:hAnsi="Times New Roman"/>
                <w:sz w:val="17"/>
              </w:rPr>
              <w:t xml:space="preserve">3.80*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5.29</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8.79*</w:t>
            </w:r>
          </w:p>
        </w:tc>
        <w:tc>
          <w:tcPr/>
          <w:p>
            <w:pPr>
              <w:pStyle w:val="Compact"/>
              <w:spacing w:before="20" w:after="20" w:line="240" w:lineRule="auto"/>
              <w:ind w:firstLine="0"/>
              <w:jc w:val="left"/>
            </w:pPr>
            <w:r>
              <w:rPr>
                <w:rFonts w:ascii="Times New Roman" w:hAnsi="Times New Roman"/>
                <w:sz w:val="17"/>
              </w:rPr>
              <w:t xml:space="preserve">4.95*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8.24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8.68*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0.32*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6.37*</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6.51*</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4.06*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6.99</w:t>
            </w:r>
          </w:p>
        </w:tc>
        <w:tc>
          <w:tcPr/>
          <w:p>
            <w:pPr>
              <w:pStyle w:val="Compact"/>
              <w:spacing w:before="20" w:after="20" w:line="240" w:lineRule="auto"/>
              <w:ind w:firstLine="0"/>
              <w:jc w:val="left"/>
            </w:pPr>
            <w:r>
              <w:rPr>
                <w:rFonts w:ascii="Times New Roman" w:hAnsi="Times New Roman"/>
                <w:sz w:val="17"/>
              </w:rPr>
              <w:t xml:space="preserve">6.08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6.25*</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0.34*</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7.16</w:t>
            </w:r>
          </w:p>
        </w:tc>
        <w:tc>
          <w:tcPr/>
          <w:p>
            <w:pPr>
              <w:pStyle w:val="Compact"/>
              <w:spacing w:before="20" w:after="20" w:line="240" w:lineRule="auto"/>
              <w:ind w:firstLine="0"/>
              <w:jc w:val="left"/>
            </w:pPr>
            <w:r>
              <w:rPr>
                <w:rFonts w:ascii="Times New Roman" w:hAnsi="Times New Roman"/>
                <w:sz w:val="17"/>
              </w:rPr>
              <w:t xml:space="preserve">7.58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0.92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5.75*</w:t>
            </w:r>
          </w:p>
        </w:tc>
        <w:tc>
          <w:tcPr/>
          <w:p>
            <w:pPr>
              <w:pStyle w:val="Compact"/>
              <w:spacing w:before="20" w:after="20" w:line="240" w:lineRule="auto"/>
              <w:ind w:firstLine="0"/>
              <w:jc w:val="left"/>
            </w:pPr>
            <w:r>
              <w:rPr>
                <w:rFonts w:ascii="Times New Roman" w:hAnsi="Times New Roman"/>
                <w:sz w:val="17"/>
              </w:rPr>
              <w:t xml:space="preserve">5.18</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6.30</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9.68*</w:t>
            </w:r>
          </w:p>
        </w:tc>
        <w:tc>
          <w:tcPr/>
          <w:p>
            <w:pPr>
              <w:pStyle w:val="Compact"/>
              <w:spacing w:before="20" w:after="20" w:line="240" w:lineRule="auto"/>
              <w:ind w:firstLine="0"/>
              <w:jc w:val="left"/>
            </w:pPr>
            <w:r>
              <w:rPr>
                <w:rFonts w:ascii="Times New Roman" w:hAnsi="Times New Roman"/>
                <w:sz w:val="17"/>
              </w:rPr>
              <w:t xml:space="preserve">1.32*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6.79*</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3.97*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7.38*</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8.84*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6.23*</w:t>
            </w:r>
          </w:p>
        </w:tc>
        <w:tc>
          <w:tcPr/>
          <w:p>
            <w:pPr>
              <w:pStyle w:val="Compact"/>
              <w:spacing w:before="20" w:after="20" w:line="240" w:lineRule="auto"/>
              <w:ind w:firstLine="0"/>
              <w:jc w:val="left"/>
            </w:pPr>
            <w:r>
              <w:rPr>
                <w:rFonts w:ascii="Times New Roman" w:hAnsi="Times New Roman"/>
                <w:sz w:val="17"/>
              </w:rPr>
              <w:t xml:space="preserve">5.39</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5.19*</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0.90</w:t>
            </w:r>
          </w:p>
        </w:tc>
      </w:tr>
    </w:tbl>
    <w:p>
      <w:pPr>
        <w:pStyle w:val="BodyText"/>
        <w:spacing w:line="240" w:lineRule="auto"/>
        <w:ind w:firstLine="0"/>
      </w:pPr>
      <w:r>
        <w:rPr>
          <w:iCs/>
          <w:i/>
        </w:rPr>
        <w:t xml:space="preserve">Table B3. Persona experiment with real household demographics, 200 households per cell. Reference row: real distribution of the 801 households (10,413 household-windows). * the 95% bootstrap interval excludes the reference value.</w:t>
      </w:r>
    </w:p>
    <w:bookmarkEnd w:id="65"/>
    <w:bookmarkStart w:id="66"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2026-10-17T06:03:42Z</dcterms:created>
  <dcterms:modified xsi:type="dcterms:W3CDTF">2026-10-17T06:03:42Z</dcterms:modified>
</cp:coreProperties>
</file>

<file path=docProps/custom.xml><?xml version="1.0" encoding="utf-8"?>
<Properties xmlns="http://schemas.openxmlformats.org/officeDocument/2006/custom-properties" xmlns:vt="http://schemas.openxmlformats.org/officeDocument/2006/docPropsVTypes"/>
</file>