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i/>
          <w:iCs/>
          <w:sz w:val="20"/>
          <w:szCs w:val="20"/>
        </w:rPr>
        <w:t xml:space="preserve">Manuscript for double-blind review</w:t>
      </w:r>
    </w:p>
    <w:p>
      <w:pPr>
        <w:spacing w:after="120"/>
        <w:jc w:val="center"/>
      </w:pPr>
      <w:r>
        <w:rPr>
          <w:rFonts w:ascii="Times New Roman" w:cs="Times New Roman" w:eastAsia="Times New Roman" w:hAnsi="Times New Roman"/>
          <w:b/>
          <w:bCs/>
          <w:sz w:val="36"/>
          <w:szCs w:val="36"/>
        </w:rPr>
        <w:t xml:space="preserve">Acquired, Not Yet Assimilated?</w:t>
      </w:r>
    </w:p>
    <w:p>
      <w:pPr>
        <w:spacing w:after="360"/>
        <w:jc w:val="center"/>
      </w:pPr>
      <w:r>
        <w:rPr>
          <w:rFonts w:ascii="Times New Roman" w:cs="Times New Roman" w:eastAsia="Times New Roman" w:hAnsi="Times New Roman"/>
          <w:i/>
          <w:iCs/>
          <w:sz w:val="26"/>
          <w:szCs w:val="26"/>
        </w:rPr>
        <w:t xml:space="preserve">Complementary Assets and the Limits of Occupation-Level Evidence on Generative Visual AI</w:t>
      </w:r>
    </w:p>
    <w:p>
      <w:pPr>
        <w:spacing w:after="360"/>
        <w:jc w:val="center"/>
      </w:pPr>
      <w:r>
        <w:rPr>
          <w:rFonts w:ascii="Times New Roman" w:cs="Times New Roman" w:eastAsia="Times New Roman" w:hAnsi="Times New Roman"/>
          <w:i/>
          <w:iCs/>
          <w:sz w:val="20"/>
          <w:szCs w:val="20"/>
        </w:rPr>
        <w:t xml:space="preserve">Author names and affiliations removed for review.</w:t>
      </w:r>
    </w:p>
    <w:p>
      <w:pPr>
        <w:pStyle w:val="Heading1"/>
        <w:spacing w:after="160" w:before="360"/>
      </w:pPr>
      <w:r>
        <w:rPr>
          <w:rFonts w:ascii="Times New Roman" w:cs="Times New Roman" w:eastAsia="Times New Roman" w:hAnsi="Times New Roman"/>
          <w:b/>
          <w:bCs/>
          <w:color w:val="000000"/>
          <w:sz w:val="26"/>
          <w:szCs w:val="26"/>
        </w:rPr>
        <w:t xml:space="preserve">Abstract</w:t>
      </w:r>
    </w:p>
    <w:p>
      <w:pPr>
        <w:spacing w:after="160" w:line="276"/>
        <w:jc w:val="both"/>
      </w:pPr>
      <w:r>
        <w:rPr>
          <w:rFonts w:ascii="Times New Roman" w:cs="Times New Roman" w:eastAsia="Times New Roman" w:hAnsi="Times New Roman"/>
        </w:rPr>
        <w:t>Statistics showing that firms use generative visual AI are read as evidence that creative work is being displaced. Macroeconomic theory of general-purpose technologies and information systems research on assimilation both predict that adoption runs ahead of effects. We model a firm that reassigns a visual task to a generator only when output acceptance exceeds a cost threshold; review is a bottleneck whose cost depends on organizational complements, and employers adjust through attrition. Eurostat data show that 9.6 percent of EU firms use AI that generates pictures, video, or audio, and that non-adopters cite missing expertise (70 percent) and legal uncertainty (54 percent) far more than lack of usefulness (18 percent). A detectability bound shows that European and Canadian job-advert designs could not detect even complete assimilation at platform-sized effects; the small gradients found are no larger than earlier trends. We specify the firm-level evidence needed.</w:t>
      </w:r>
    </w:p>
    <w:p>
      <w:pPr>
        <w:spacing w:after="200"/>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generative AI; assimilation gap; post-adoption; IT complementarities; review costs; creative work; online job adverts; minimum detectable effect</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276"/>
        <w:jc w:val="both"/>
      </w:pPr>
      <w:r>
        <w:rPr>
          <w:rFonts w:ascii="Times New Roman" w:cs="Times New Roman" w:eastAsia="Times New Roman" w:hAnsi="Times New Roman"/>
        </w:rPr>
        <w:t xml:space="preserve">Generative systems that produce images from text, widely available since 2022, and video, available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A natural reading of these numbers is that the people who used to produce such content are being redeployed, and a growing body of exposure-based labor-market research looks for that redeployment in hiring data.</w:t>
      </w:r>
    </w:p>
    <w:p>
      <w:pPr>
        <w:spacing w:after="160" w:line="276"/>
        <w:jc w:val="both"/>
      </w:pPr>
      <w:r>
        <w:rPr>
          <w:rFonts w:ascii="Times New Roman" w:cs="Times New Roman" w:eastAsia="Times New Roman" w:hAnsi="Times New Roman"/>
        </w:rPr>
        <w:t>Information systems research offers a reason to be cautious about this reading. Implementation research has long treated adoption as one stage in a sequence that runs through adaptation, acceptance, routinization, and infusion (Cooper and Zmud 1990). Fichman and Kemerer (1999) showed that organizations can acquire an innovation well before they deploy it, so that diffusion statistics overstate use; they called the wedge an assimilation gap and found it widest where knowledge barriers were high. Work on IT business value adds that returns to information technology depend on complementary organizational investments (Brynjolfsson and Hitt 2000; Melville, Kraemer, and Gurbaxani 2004; Aral and Weill 2007). Macroeconomics offers the same caution. General-purpose technologies take effect only after complementary investments, labor markets adjust through attrition and reallocation rather than immediate job loss, and technology often accelerates structural change already under way (David 1990; Brynjolfsson, Rock, and Syverson 2021; Acemoglu and Restrepo 2018). The question for generative visual AI is therefore not only whether it substitutes for creative labor. It is whether reported use reflects assimilation into tasks at all, and whether the evidence that researchers currently use could tell the difference.</w:t>
      </w:r>
    </w:p>
    <w:p>
      <w:pPr>
        <w:spacing w:after="160" w:line="276"/>
        <w:jc w:val="both"/>
      </w:pPr>
      <w:r>
        <w:rPr>
          <w:rFonts w:ascii="Times New Roman" w:cs="Times New Roman" w:eastAsia="Times New Roman" w:hAnsi="Times New Roman"/>
        </w:rPr>
        <w:t>We make three moves. First, we develop a task-level theory in which a firm reassigns a visual task to a generator only when the acceptance rate of output exceeds a threshold set by generation cost, review cost, and the cost of human production. The theory locates the complementary assets inside review cost: expertise to specify and check output, capacity to run review as a routine, and procedures that make copyright and personal-data exposure manageable. We embed review in a task-based model of labor demand that separates displacement, reinstatement, and scale effects (Acemoglu and Restrepo 2018, 2019), treat review as a bottleneck task (Baumol 1967), and let employers adjust through attrition. It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simple detectability bound that compares the hiring response implied by complete assimilation with the minimum detectable effect of standard exposure designs. Third, we assemble the descriptive evidence that does exist on the acquisition margin and on the barriers that firms report.</w:t>
      </w:r>
    </w:p>
    <w:p>
      <w:pPr>
        <w:spacing w:after="160" w:line="276"/>
        <w:jc w:val="both"/>
      </w:pPr>
      <w:r>
        <w:rPr>
          <w:rFonts w:ascii="Times New Roman" w:cs="Times New Roman" w:eastAsia="Times New Roman" w:hAnsi="Times New Roman"/>
        </w:rPr>
        <w:t>The results are partly substantive and partly cautionary. Acquisition of generative visual AI is substantial and rising, so a lack of hiring response cannot be explained by a lack of acquisition. Firms that considered AI and did not adopt it describe missing expertise, legal uncertainty, and data-protection concerns far more often than a tool that is not useful, which is the pattern a complementary-asset account predicts and a capability-failure account does not. But the hiring data cannot currently distinguish an assimilation gap from complete assimilation. At observed acquisition rates and at the substitution effects estimated on freelance platforms (Demirci, Hannane, and Zhu 2025), complete assimilation would reduce adverts in the most exposed occupation by roughly 2 to 17 percent, while the European design cannot detect a reduction smaller than about 24 percent for that occupation. The exposure gradients that the designs do report are small and imprecise, about 1 to 2 percent fewer adverts per standard deviation of exposure in 2023 and 2024, and the European gradient was already moving in the same direction before generative tools were released.</w:t>
      </w:r>
    </w:p>
    <w:p>
      <w:pPr>
        <w:spacing w:after="160" w:line="276"/>
        <w:jc w:val="both"/>
      </w:pPr>
      <w:r>
        <w:rPr>
          <w:rFonts w:ascii="Times New Roman" w:cs="Times New Roman" w:eastAsia="Times New Roman" w:hAnsi="Times New Roman"/>
        </w:rPr>
        <w:t xml:space="preserve">We are explicit about what this paper does not claim. We do not observe assimilation inside firms, and we do not treat small or fragile hiring responses as evidence of a gap. We show instead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account at the acquisition margin. Separating the remaining three requires firm-level data that link use, complementary assets, task reassignment, and hiring, and we specify what such data would have to show.</w:t>
      </w:r>
    </w:p>
    <w:p>
      <w:pPr>
        <w:spacing w:after="160" w:line="276"/>
        <w:jc w:val="both"/>
      </w:pPr>
      <w:r>
        <w:rPr>
          <w:rFonts w:ascii="Times New Roman" w:cs="Times New Roman" w:eastAsia="Times New Roman" w:hAnsi="Times New Roman"/>
        </w:rPr>
        <w:t>The paper contributes to information systems research in three ways. It extends assimilation theory to generative AI by identifying review cost as the place where complementary assets enter, and by explaining why near-zero acquisition costs should make assimilation gaps wider for generative tools than for the enterprise systems on which the theory was built. Embedding review cost in a task-based model of labor demand shows that review sets a floor on the labor that assimilation can save, that cheaper generation raises employment only if demand for visual output is elastic, and that employers who adjust through attrition make adverts the earlier and employment the later signal. It provides a detectability bound that tells researchers when occupation-level hiring designs can and cannot be informative about generative-AI assimilation, and it shows that a common empirical strategy currently attributes to the technology declines that the technology cannot have produced. And it turns the gap into a falsifiable research design, with predictions that distinguish the four accounts once linked data become available.</w:t>
      </w:r>
    </w:p>
    <w:p>
      <w:pPr>
        <w:pStyle w:val="Heading1"/>
        <w:spacing w:after="160" w:before="360"/>
      </w:pPr>
      <w:r>
        <w:rPr>
          <w:rFonts w:ascii="Times New Roman" w:cs="Times New Roman" w:eastAsia="Times New Roman" w:hAnsi="Times New Roman"/>
          <w:b/>
          <w:bCs/>
          <w:color w:val="000000"/>
          <w:sz w:val="26"/>
          <w:szCs w:val="26"/>
        </w:rPr>
        <w:t xml:space="preserve">2. Related Literature</w:t>
      </w:r>
    </w:p>
    <w:p>
      <w:pPr>
        <w:pStyle w:val="Heading2"/>
        <w:spacing w:after="120" w:before="280"/>
      </w:pPr>
      <w:r>
        <w:rPr>
          <w:rFonts w:ascii="Times New Roman" w:cs="Times New Roman" w:eastAsia="Times New Roman" w:hAnsi="Times New Roman"/>
          <w:b/>
          <w:bCs/>
          <w:color w:val="000000"/>
          <w:sz w:val="24"/>
          <w:szCs w:val="24"/>
        </w:rPr>
        <w:t xml:space="preserve">2.1 From Adoption to Assimilation</w:t>
      </w:r>
    </w:p>
    <w:p>
      <w:pPr>
        <w:spacing w:after="160" w:line="276"/>
        <w:jc w:val="both"/>
      </w:pPr>
      <w:r>
        <w:rPr>
          <w:rFonts w:ascii="Times New Roman" w:cs="Times New Roman" w:eastAsia="Times New Roman" w:hAnsi="Times New Roman"/>
        </w:rPr>
        <w:t xml:space="preserve">Cooper and Zmud (1990) described IT implementation as a staged process in which adoption is followed by adaptation, acceptance, routinization, and infusion, and in which the factors that explain early stages differ from those that explain later ones. Attewell (1992) argued that complex technologies spread slowly not because firms lack information about them but because they lack the know-how to use them, and that mediating institutions emerge to lower that knowledge barrier. Fichman and Kemerer (1999) turned the distinction into a measurement problem: cumulative acquisition of software-process innovations ran well ahead of cumulative deployment, and the resulting assimilation gap was largest for innovations with high knowledge barriers. Zhu and Kraemer (2005) showed that post-adoption usage and value vary widely across adopters of e-business, again pointing to organizational rather than technological determinants. We build on this tradition but apply it to an outcome that the literature has rarely examined: whether assimilation of a production technology reaches the occupation that used to perform the task.</w:t>
      </w:r>
    </w:p>
    <w:p>
      <w:pPr>
        <w:pStyle w:val="Heading2"/>
        <w:spacing w:after="120" w:before="280"/>
      </w:pPr>
      <w:r>
        <w:rPr>
          <w:rFonts w:ascii="Times New Roman" w:cs="Times New Roman" w:eastAsia="Times New Roman" w:hAnsi="Times New Roman"/>
          <w:b/>
          <w:bCs/>
          <w:color w:val="000000"/>
          <w:sz w:val="24"/>
          <w:szCs w:val="24"/>
        </w:rPr>
        <w:t xml:space="preserve">2.2 Complementary Assets</w:t>
      </w:r>
    </w:p>
    <w:p>
      <w:pPr>
        <w:spacing w:after="160" w:line="276"/>
        <w:jc w:val="both"/>
      </w:pPr>
      <w:r>
        <w:rPr>
          <w:rFonts w:ascii="Times New Roman" w:cs="Times New Roman" w:eastAsia="Times New Roman" w:hAnsi="Times New Roman"/>
        </w:rPr>
        <w:t xml:space="preserve">A second tradition holds that the value of information technology depends on complementary investments in skills, processes, and organizational design (Brynjolfsson and Hitt 2000; Melville, Kraemer, and Gurbaxani 2004; Aral and Weill 2007). General-purpose technologies display long lags for the same reason (David 1990; Bresnahan and Trajtenberg 1995), and Brynjolfsson, Rock, and Syverson (2021) formalize the lag as a productivity J-curve in which intangible complements are built before measured gains appear. Agrawal, Gans, and Goldfarb (2018) argue that when prediction becomes cheap the value of human judgment rises. We draw on these ideas to make the complements concrete for generative visual AI and to locate them in a single cost term. Expertise, review capacity, and compliance procedures are not supplied by a better model. A better model can raise the share of acceptable output. It does not create the person who can judge that output, the time in which to judge it, or the policy that says whether it may be used.</w:t>
      </w:r>
    </w:p>
    <w:p>
      <w:pPr>
        <w:pStyle w:val="Heading2"/>
        <w:spacing w:after="120" w:before="280"/>
      </w:pPr>
      <w:r>
        <w:rPr>
          <w:rFonts w:ascii="Times New Roman" w:cs="Times New Roman" w:eastAsia="Times New Roman" w:hAnsi="Times New Roman"/>
          <w:b/>
          <w:bCs/>
          <w:color w:val="000000"/>
          <w:sz w:val="24"/>
          <w:szCs w:val="24"/>
        </w:rPr>
        <w:t xml:space="preserve">2.3 Generative AI and Work</w:t>
      </w:r>
    </w:p>
    <w:p>
      <w:pPr>
        <w:spacing w:after="160" w:line="276"/>
        <w:jc w:val="both"/>
      </w:pPr>
      <w:r>
        <w:rPr>
          <w:rFonts w:ascii="Times New Roman" w:cs="Times New Roman" w:eastAsia="Times New Roman" w:hAnsi="Times New Roman"/>
        </w:rPr>
        <w:t>A large literature maps AI capabilities onto occupational tasks (Webb 2020; Felten, Raj, and Seamans 2021; Eloundou et al. 2023). Exposure measures describe where a technology could matter, not where it has been acquired or assimilated. Task-based models separate displacement, reinstatement, and productivity effects of automation (Acemoglu and Restrepo 2018, 2019), and models of unbalanced growth show that tasks that cannot be automated become bottlenecks (Baumol 1967; Aghion, Jones, and Jones 2019); we use both ideas in Section 3. Acemoglu, Autor, Hazell, and Restrepo (2022) find that establishments exposed to AI change their hiring but detect little aggregate effect at the occupation or industry level. Evidence from online labor markets is sharper. Hui, Reshef, and Zhou (2024) document employment and earnings losses for freelancers exposed to ChatGPT and image generators, and Demirci, Hannane, and Zhu (2025) find that image-creation posts fell by about 17 percent after image generators were released, relative to manual-intensive jobs. On creator platforms, generative tools raise output for some artists and reallocate demand across creator types (Zhou and Lee 2024; Kim, Jin, and Lee 2026), and inside firms they raise individual productivity on suitable tasks (Brynjolfsson, Li, and Raymond 2025). These settings have something in common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Heading1"/>
        <w:spacing w:after="160" w:before="360"/>
      </w:pPr>
      <w:r>
        <w:rPr>
          <w:rFonts w:ascii="Times New Roman" w:cs="Times New Roman" w:eastAsia="Times New Roman" w:hAnsi="Times New Roman"/>
          <w:b/>
          <w:bCs/>
          <w:color w:val="000000"/>
          <w:sz w:val="26"/>
          <w:szCs w:val="26"/>
        </w:rPr>
        <w:t xml:space="preserve">3. Theory</w:t>
      </w:r>
    </w:p>
    <w:p>
      <w:pPr>
        <w:pStyle w:val="Heading2"/>
        <w:spacing w:after="120" w:before="280"/>
      </w:pPr>
      <w:r>
        <w:rPr>
          <w:rFonts w:ascii="Times New Roman" w:cs="Times New Roman" w:eastAsia="Times New Roman" w:hAnsi="Times New Roman"/>
          <w:b/>
          <w:bCs/>
          <w:color w:val="000000"/>
          <w:sz w:val="24"/>
          <w:szCs w:val="24"/>
        </w:rPr>
        <w:t xml:space="preserve">3.1 Acquisition and Assimilation</w:t>
      </w:r>
    </w:p>
    <w:p>
      <w:pPr>
        <w:spacing w:after="160" w:line="276"/>
        <w:jc w:val="both"/>
      </w:pPr>
      <w:r>
        <w:rPr>
          <w:rFonts w:ascii="Times New Roman" w:cs="Times New Roman" w:eastAsia="Times New Roman" w:hAnsi="Times New Roman"/>
        </w:rPr>
        <w:t xml:space="preserve">A firm produces visual tasks such as images, layouts, and short videos. </w:t>
      </w:r>
      <w:r>
        <w:rPr>
          <w:rFonts w:ascii="Times New Roman" w:cs="Times New Roman" w:eastAsia="Times New Roman" w:hAnsi="Times New Roman"/>
          <w:i/>
          <w:iCs/>
        </w:rPr>
        <w:t xml:space="preserve">Acquisition</w:t>
      </w:r>
      <w:r>
        <w:rPr>
          <w:rFonts w:ascii="Times New Roman" w:cs="Times New Roman" w:eastAsia="Times New Roman" w:hAnsi="Times New Roman"/>
        </w:rPr>
        <w:t xml:space="preserve"> is the event that the firm has a visual generator available and reports using it. </w:t>
      </w:r>
      <w:r>
        <w:rPr>
          <w:rFonts w:ascii="Times New Roman" w:cs="Times New Roman" w:eastAsia="Times New Roman" w:hAnsi="Times New Roman"/>
          <w:i/>
          <w:iCs/>
        </w:rPr>
        <w:t xml:space="preserve">Assimilation</w:t>
      </w:r>
      <w:r>
        <w:rPr>
          <w:rFonts w:ascii="Times New Roman" w:cs="Times New Roman" w:eastAsia="Times New Roman" w:hAnsi="Times New Roman"/>
        </w:rPr>
        <w:t xml:space="preserve"> 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spacing w:after="160" w:line="276"/>
        <w:jc w:val="both"/>
      </w:pPr>
      <w:r>
        <w:rPr>
          <w:rFonts w:ascii="Times New Roman" w:cs="Times New Roman" w:eastAsia="Times New Roman" w:hAnsi="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p>
      <w:pPr>
        <w:pStyle w:val="Heading2"/>
        <w:spacing w:after="120" w:before="280"/>
      </w:pPr>
      <w:r>
        <w:rPr>
          <w:rFonts w:ascii="Times New Roman" w:cs="Times New Roman" w:eastAsia="Times New Roman" w:hAnsi="Times New Roman"/>
          <w:b/>
          <w:bCs/>
          <w:color w:val="000000"/>
          <w:sz w:val="24"/>
          <w:szCs w:val="24"/>
        </w:rPr>
        <w:t xml:space="preserve">3.2 The Acceptance Threshold</w:t>
      </w:r>
    </w:p>
    <w:p>
      <w:pPr>
        <w:spacing w:after="160" w:line="276"/>
        <w:jc w:val="both"/>
      </w:pPr>
      <w:r>
        <w:rPr>
          <w:rFonts w:ascii="Times New Roman" w:cs="Times New Roman" w:eastAsia="Times New Roman" w:hAnsi="Times New Roman"/>
        </w:rPr>
        <w:t xml:space="preserve">Producing a visual asset with human labor costs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Producing it with the generator costs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for generation and </w:t>
      </w:r>
      <w:r>
        <w:rPr>
          <w:rFonts w:ascii="Times New Roman" w:cs="Times New Roman" w:eastAsia="Times New Roman" w:hAnsi="Times New Roman"/>
          <w:i/>
          <w:iCs/>
        </w:rPr>
        <w:t xml:space="preserve">r</w:t>
      </w:r>
      <w:r>
        <w:rPr>
          <w:rFonts w:ascii="Times New Roman" w:cs="Times New Roman" w:eastAsia="Times New Roman" w:hAnsi="Times New Roman"/>
        </w:rPr>
        <w:t xml:space="preserve"> for human review. With probability </w:t>
      </w:r>
      <w:r>
        <w:rPr>
          <w:rFonts w:ascii="Times New Roman" w:cs="Times New Roman" w:eastAsia="Times New Roman" w:hAnsi="Times New Roman"/>
          <w:i/>
          <w:iCs/>
        </w:rPr>
        <w:t xml:space="preserve">a</w:t>
      </w:r>
      <w:r>
        <w:rPr>
          <w:rFonts w:ascii="Times New Roman" w:cs="Times New Roman" w:eastAsia="Times New Roman" w:hAnsi="Times New Roman"/>
        </w:rPr>
        <w:t xml:space="preserve"> the output is accepted; with probability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 it is rejected and a human produces the asset at cost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Expected cost with the generator is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θ</w:t>
      </w:r>
      <w:r>
        <w:rPr>
          <w:rFonts w:ascii="Times New Roman" w:cs="Times New Roman" w:eastAsia="Times New Roman" w:hAnsi="Times New Roman"/>
        </w:rPr>
        <w:t xml:space="preserve">, so the firm assimilates the task when</w:t>
      </w:r>
    </w:p>
    <w:p>
      <w:pPr>
        <w:spacing w:after="200" w:before="120"/>
        <w:jc w:val="center"/>
      </w:pPr>
      <w:r>
        <w:rPr>
          <w:rFonts w:ascii="Times New Roman" w:cs="Times New Roman" w:eastAsia="Times New Roman" w:hAnsi="Times New Roman"/>
          <w:i/>
          <w:iCs/>
        </w:rPr>
        <w:t xml:space="preserve">a  &gt;  a*  =  (c + r) / θ.          (1)</w:t>
      </w:r>
    </w:p>
    <w:p>
      <w:pPr>
        <w:spacing w:after="160" w:line="276"/>
        <w:jc w:val="both"/>
      </w:pPr>
      <w:r>
        <w:rPr>
          <w:rFonts w:ascii="Times New Roman" w:cs="Times New Roman" w:eastAsia="Times New Roman" w:hAnsi="Times New Roman"/>
        </w:rPr>
        <w:t xml:space="preserve">The acceptance rate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m</w:t>
      </w:r>
      <w:r>
        <w:rPr>
          <w:rFonts w:ascii="Times New Roman" w:cs="Times New Roman" w:eastAsia="Times New Roman" w:hAnsi="Times New Roman"/>
        </w:rPr>
        <w:t xml:space="preserve">) rises with model quality </w:t>
      </w:r>
      <w:r>
        <w:rPr>
          <w:rFonts w:ascii="Times New Roman" w:cs="Times New Roman" w:eastAsia="Times New Roman" w:hAnsi="Times New Roman"/>
          <w:i/>
          <w:iCs/>
        </w:rPr>
        <w:t xml:space="preserve">m</w:t>
      </w:r>
      <w:r>
        <w:rPr>
          <w:rFonts w:ascii="Times New Roman" w:cs="Times New Roman" w:eastAsia="Times New Roman" w:hAnsi="Times New Roman"/>
        </w:rPr>
        <w:t xml:space="preserve"> and falls with the task’s quality requirement </w:t>
      </w:r>
      <w:r>
        <w:rPr>
          <w:rFonts w:ascii="Times New Roman" w:cs="Times New Roman" w:eastAsia="Times New Roman" w:hAnsi="Times New Roman"/>
          <w:i/>
          <w:iCs/>
        </w:rPr>
        <w:t xml:space="preserve">q</w:t>
      </w:r>
      <w:r>
        <w:rPr>
          <w:rFonts w:ascii="Times New Roman" w:cs="Times New Roman" w:eastAsia="Times New Roman" w:hAnsi="Times New Roman"/>
        </w:rPr>
        <w:t xml:space="preserve">, so assimilation is more likely for routine and internal visuals than for brand-defining, technically exact, or legally sensitive work. The review cost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also rises with </w:t>
      </w:r>
      <w:r>
        <w:rPr>
          <w:rFonts w:ascii="Times New Roman" w:cs="Times New Roman" w:eastAsia="Times New Roman" w:hAnsi="Times New Roman"/>
          <w:i/>
          <w:iCs/>
        </w:rPr>
        <w:t xml:space="preserve">q</w:t>
      </w:r>
      <w:r>
        <w:rPr>
          <w:rFonts w:ascii="Times New Roman" w:cs="Times New Roman" w:eastAsia="Times New Roman" w:hAnsi="Times New Roman"/>
        </w:rPr>
        <w:t xml:space="preserve"> but falls with the firm’s stock of complementary assets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Expertise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lowers the cost of specifying a task and recognizing a failed draft. Review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lowers the cost of running that check as a routine rather than as an exception. Compliance procedures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lower the cost of deciding whether an output may be used given copyright and personal-data exposure. Two implications follow directly from equation (1).</w:t>
      </w:r>
    </w:p>
    <w:p>
      <w:pPr>
        <w:spacing w:after="160" w:line="276"/>
        <w:jc w:val="both"/>
      </w:pPr>
      <w:r>
        <w:rPr>
          <w:rFonts w:ascii="Times New Roman" w:cs="Times New Roman" w:eastAsia="Times New Roman" w:hAnsi="Times New Roman"/>
          <w:b/>
          <w:bCs/>
        </w:rPr>
        <w:t xml:space="preserve">Implication 1 (complements are necessary).</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then </w:t>
      </w:r>
      <w:r>
        <w:rPr>
          <w:rFonts w:ascii="Times New Roman" w:cs="Times New Roman" w:eastAsia="Times New Roman" w:hAnsi="Times New Roman"/>
          <w:i/>
          <w:iCs/>
        </w:rPr>
        <w:t xml:space="preserve">a</w:t>
      </w:r>
      <w:r>
        <w:rPr>
          <w:rFonts w:ascii="Times New Roman" w:cs="Times New Roman" w:eastAsia="Times New Roman" w:hAnsi="Times New Roman"/>
          <w:i/>
          <w:iCs/>
        </w:rPr>
        <w:t xml:space="preserve"> ≥ 1 and the task is not assimilated for any model quality </w:t>
      </w:r>
      <w:r>
        <w:rPr>
          <w:rFonts w:ascii="Times New Roman" w:cs="Times New Roman" w:eastAsia="Times New Roman" w:hAnsi="Times New Roman"/>
        </w:rPr>
        <w:t xml:space="preserve">m</w:t>
      </w:r>
      <w:r>
        <w:rPr>
          <w:rFonts w:ascii="Times New Roman" w:cs="Times New Roman" w:eastAsia="Times New Roman" w:hAnsi="Times New Roman"/>
          <w:i/>
          <w:iCs/>
        </w:rPr>
        <w:t xml:space="preserve">. Model improvements cannot substitute for missing complements; they matter only once complements have brought </w:t>
      </w:r>
      <w:r>
        <w:rPr>
          <w:rFonts w:ascii="Times New Roman" w:cs="Times New Roman" w:eastAsia="Times New Roman" w:hAnsi="Times New Roman"/>
        </w:rPr>
        <w:t xml:space="preserve">c</w:t>
      </w:r>
      <w:r>
        <w:rPr>
          <w:rFonts w:ascii="Times New Roman" w:cs="Times New Roman" w:eastAsia="Times New Roman" w:hAnsi="Times New Roman"/>
          <w:i/>
          <w:iCs/>
        </w:rPr>
        <w:t xml:space="preserve"> + </w:t>
      </w:r>
      <w:r>
        <w:rPr>
          <w:rFonts w:ascii="Times New Roman" w:cs="Times New Roman" w:eastAsia="Times New Roman" w:hAnsi="Times New Roman"/>
        </w:rPr>
        <w:t xml:space="preserve">r</w:t>
      </w:r>
      <w:r>
        <w:rPr>
          <w:rFonts w:ascii="Times New Roman" w:cs="Times New Roman" w:eastAsia="Times New Roman" w:hAnsi="Times New Roman"/>
          <w:i/>
          <w:iCs/>
        </w:rPr>
        <w:t xml:space="preserve"> below </w:t>
      </w:r>
      <w:r>
        <w:rPr>
          <w:rFonts w:ascii="Times New Roman" w:cs="Times New Roman" w:eastAsia="Times New Roman" w:hAnsi="Times New Roman"/>
        </w:rPr>
        <w:t xml:space="preserve">θ*.</w:t>
      </w:r>
    </w:p>
    <w:p>
      <w:pPr>
        <w:spacing w:after="160" w:line="276"/>
        <w:jc w:val="both"/>
      </w:pPr>
      <w:r>
        <w:rPr>
          <w:rFonts w:ascii="Times New Roman" w:cs="Times New Roman" w:eastAsia="Times New Roman" w:hAnsi="Times New Roman"/>
          <w:b/>
          <w:bCs/>
        </w:rPr>
        <w:t xml:space="preserve">Implication 2 (cheap acquisition widens the gap).</w:t>
      </w:r>
      <w:r>
        <w:rPr>
          <w:rFonts w:ascii="Times New Roman" w:cs="Times New Roman" w:eastAsia="Times New Roman" w:hAnsi="Times New Roman"/>
        </w:rPr>
        <w:t xml:space="preserve"> Because acquisition requires little investment, the share of firms that acquire the tool can grow independently of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accumulates more slowly than acquisition, the share of acquiring firms that satisfy equation (1) for a given task falls even as acquisition rises, and the gap between acquisition and assimilation widens before it narrows.</w:t>
      </w:r>
    </w:p>
    <w:p>
      <w:pPr>
        <w:pStyle w:val="Heading2"/>
        <w:spacing w:after="120" w:before="280"/>
      </w:pPr>
      <w:r>
        <w:rPr>
          <w:rFonts w:ascii="Times New Roman" w:cs="Times New Roman" w:eastAsia="Times New Roman" w:hAnsi="Times New Roman"/>
          <w:b/>
          <w:bCs/>
          <w:color w:val="000000"/>
          <w:sz w:val="24"/>
          <w:szCs w:val="24"/>
        </w:rPr>
        <w:t xml:space="preserve">3.3 From Tasks to Occupational Demand</w:t>
      </w:r>
    </w:p>
    <w:p>
      <w:pPr>
        <w:spacing w:after="160" w:line="276"/>
        <w:jc w:val="both"/>
      </w:pPr>
      <w:r>
        <w:rPr>
          <w:rFonts w:ascii="Times New Roman" w:cs="Times New Roman" w:eastAsia="Times New Roman" w:hAnsi="Times New Roman"/>
        </w:rPr>
        <w:t xml:space="preserve">Let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be the share of employers that report use and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the share that have assimilated the visual-production tasks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Let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be the share of the occupation’s work that consists of such tasks, and let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be the log change in demand for the occupation’s visual-production work at an assimilating employer. To a first approximation the aggregate log change in demand is</w:t>
      </w:r>
    </w:p>
    <w:p>
      <w:pPr>
        <w:spacing w:after="200" w:before="120"/>
        <w:jc w:val="center"/>
      </w:pPr>
      <w:r>
        <w:rPr>
          <w:rFonts w:ascii="Times New Roman" w:cs="Times New Roman" w:eastAsia="Times New Roman" w:hAnsi="Times New Roman"/>
          <w:i/>
          <w:iCs/>
        </w:rPr>
        <w:t xml:space="preserve">Δ ln Nⱼ  ≈  sⱼ · Aᵃ · β  ≥  sⱼ · Aᵘ · β   for β &lt; 0.          (2)</w:t>
      </w:r>
    </w:p>
    <w:p>
      <w:pPr>
        <w:spacing w:after="160" w:line="276"/>
        <w:jc w:val="both"/>
      </w:pPr>
      <w:r>
        <w:rPr>
          <w:rFonts w:ascii="Times New Roman" w:cs="Times New Roman" w:eastAsia="Times New Roman" w:hAnsi="Times New Roman"/>
        </w:rPr>
        <w:t xml:space="preserve">The parameter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combines substitution, which is negative, with a scale effect, which is positive when cheaper content raises the volume of visual work and the demand for direction and selection. Equation (2) makes clear why a small aggregate response is ambiguous. It can arise because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is small relative to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which is the assimilation gap, or because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close to zero, which is assimilation with offsetting scale effects. It can also arise simply because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small even when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Section 4 shows that this last possibility is the binding one in current data.</w:t>
      </w:r>
    </w:p>
    <w:p>
      <w:pPr>
        <w:pStyle w:val="Heading2"/>
        <w:spacing w:after="120" w:before="280"/>
      </w:pPr>
      <w:r>
        <w:rPr>
          <w:rFonts w:ascii="Times New Roman" w:cs="Times New Roman" w:eastAsia="Times New Roman" w:hAnsi="Times New Roman"/>
          <w:bCs/>
          <w:color w:val="000000"/>
          <w:sz w:val="24"/>
          <w:szCs w:val="24"/>
        </w:rPr>
        <w:t>3.4 Review as a Bottleneck Task</w:t>
      </w:r>
    </w:p>
    <w:p>
      <w:pPr>
        <w:spacing w:after="160" w:line="276"/>
        <w:jc w:val="both"/>
      </w:pPr>
      <w:r>
        <w:rPr>
          <w:rFonts w:ascii="Times New Roman" w:cs="Times New Roman" w:eastAsia="Times New Roman" w:hAnsi="Times New Roman"/>
        </w:rPr>
        <w:t xml:space="preserve">Equation (1) says when a firm assimilates a task. To see what assimilation does to labor demand, let a unit of the visual asset require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that </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wh</w:t>
      </w:r>
      <w:r>
        <w:rPr>
          <w:rFonts w:ascii="Times New Roman" w:cs="Times New Roman" w:eastAsia="Times New Roman" w:hAnsi="Times New Roman"/>
        </w:rPr>
        <w:t xml:space="preserve">, and let review require </w:t>
      </w:r>
      <w:r>
        <w:rPr>
          <w:rFonts w:ascii="Times New Roman" w:cs="Times New Roman" w:eastAsia="Times New Roman" w:hAnsi="Times New Roman"/>
          <w:i/>
        </w:rPr>
        <w:t>u</w:t>
      </w:r>
      <w:r>
        <w:rPr>
          <w:rFonts w:ascii="Times New Roman" w:cs="Times New Roman" w:eastAsia="Times New Roman" w:hAnsi="Times New Roman"/>
        </w:rPr>
        <w:t xml:space="preserve"> hours, so that </w:t>
      </w:r>
      <w:r>
        <w:rPr>
          <w:rFonts w:ascii="Times New Roman" w:cs="Times New Roman" w:eastAsia="Times New Roman" w:hAnsi="Times New Roman"/>
          <w:i/>
        </w:rPr>
        <w:t>r</w:t>
      </w:r>
      <w:r>
        <w:rPr>
          <w:rFonts w:ascii="Times New Roman" w:cs="Times New Roman" w:eastAsia="Times New Roman" w:hAnsi="Times New Roman"/>
        </w:rPr>
        <w:t xml:space="preserve"> = </w:t>
      </w:r>
      <w:r>
        <w:rPr>
          <w:rFonts w:ascii="Times New Roman" w:cs="Times New Roman" w:eastAsia="Times New Roman" w:hAnsi="Times New Roman"/>
          <w:i/>
        </w:rPr>
        <w:t>wu</w:t>
      </w:r>
      <w:r>
        <w:rPr>
          <w:rFonts w:ascii="Times New Roman" w:cs="Times New Roman" w:eastAsia="Times New Roman" w:hAnsi="Times New Roman"/>
        </w:rPr>
        <w:t xml:space="preserve">. Write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review cost relative to human production and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c</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generation cost relative to human production, so that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With the generator, a unit of output needs review labor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human production labor, so labor per unit falls from </w:t>
      </w:r>
      <w:r>
        <w:rPr>
          <w:rFonts w:ascii="Times New Roman" w:cs="Times New Roman" w:eastAsia="Times New Roman" w:hAnsi="Times New Roman"/>
          <w:i/>
        </w:rPr>
        <w:t>h</w:t>
      </w:r>
      <w:r>
        <w:rPr>
          <w:rFonts w:ascii="Times New Roman" w:cs="Times New Roman" w:eastAsia="Times New Roman" w:hAnsi="Times New Roman"/>
        </w:rPr>
        <w:t xml:space="preserve"> to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a ratio of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while cost per unit falls by the ratio </w:t>
      </w:r>
      <w:r>
        <w:rPr>
          <w:rFonts w:ascii="Times New Roman" w:cs="Times New Roman" w:eastAsia="Times New Roman" w:hAnsi="Times New Roman"/>
          <w:i/>
        </w:rPr>
        <w:t>κ</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The ratio </w:t>
      </w:r>
      <w:r>
        <w:rPr>
          <w:rFonts w:ascii="Times New Roman" w:cs="Times New Roman" w:eastAsia="Times New Roman" w:hAnsi="Times New Roman"/>
          <w:i/>
        </w:rPr>
        <w:t>κ</w:t>
      </w:r>
      <w:r>
        <w:rPr>
          <w:rFonts w:ascii="Times New Roman" w:cs="Times New Roman" w:eastAsia="Times New Roman" w:hAnsi="Times New Roman"/>
        </w:rPr>
        <w:t xml:space="preserve"> is below one exactly when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Review labor is paid the same wage as production labor; relaxing this changes </w:t>
      </w:r>
      <w:r>
        <w:rPr>
          <w:rFonts w:ascii="Times New Roman" w:cs="Times New Roman" w:eastAsia="Times New Roman" w:hAnsi="Times New Roman"/>
          <w:i/>
        </w:rPr>
        <w:t>ρ</w:t>
      </w:r>
      <w:r>
        <w:rPr>
          <w:rFonts w:ascii="Times New Roman" w:cs="Times New Roman" w:eastAsia="Times New Roman" w:hAnsi="Times New Roman"/>
        </w:rPr>
        <w:t xml:space="preserve"> but not the argument.</w:t>
      </w:r>
    </w:p>
    <w:p>
      <w:pPr>
        <w:spacing w:after="160" w:line="276"/>
        <w:jc w:val="both"/>
      </w:pPr>
      <w:r>
        <w:rPr>
          <w:rFonts w:ascii="Times New Roman" w:cs="Times New Roman" w:eastAsia="Times New Roman" w:hAnsi="Times New Roman"/>
          <w:b/>
        </w:rPr>
        <w:t>Proposition 1 (review floor).</w:t>
      </w:r>
      <w:r>
        <w:rPr>
          <w:rFonts w:ascii="Times New Roman" w:cs="Times New Roman" w:eastAsia="Times New Roman" w:hAnsi="Times New Roman"/>
        </w:rPr>
        <w:t xml:space="preserve"> Labor per unit of output at an assimilating firm cannot fall below the review share </w:t>
      </w:r>
      <w:r>
        <w:rPr>
          <w:rFonts w:ascii="Times New Roman" w:cs="Times New Roman" w:eastAsia="Times New Roman" w:hAnsi="Times New Roman"/>
          <w:i/>
        </w:rPr>
        <w:t>ρ</w:t>
      </w:r>
      <w:r>
        <w:rPr>
          <w:rFonts w:ascii="Times New Roman" w:cs="Times New Roman" w:eastAsia="Times New Roman" w:hAnsi="Times New Roman"/>
        </w:rPr>
        <w:t xml:space="preserve">, however high the acceptance rate </w:t>
      </w:r>
      <w:r>
        <w:rPr>
          <w:rFonts w:ascii="Times New Roman" w:cs="Times New Roman" w:eastAsia="Times New Roman" w:hAnsi="Times New Roman"/>
          <w:i/>
        </w:rPr>
        <w:t>a</w:t>
      </w:r>
      <w:r>
        <w:rPr>
          <w:rFonts w:ascii="Times New Roman" w:cs="Times New Roman" w:eastAsia="Times New Roman" w:hAnsi="Times New Roman"/>
        </w:rPr>
        <w:t xml:space="preserve">. If review hours do not fall with model quality, improvements in the generator reduce labor per unit only down to this floor, and when </w:t>
      </w:r>
      <w:r>
        <w:rPr>
          <w:rFonts w:ascii="Times New Roman" w:cs="Times New Roman" w:eastAsia="Times New Roman" w:hAnsi="Times New Roman"/>
          <w:i/>
        </w:rPr>
        <w:t>ρ</w:t>
      </w:r>
      <w:r>
        <w:rPr>
          <w:rFonts w:ascii="Times New Roman" w:cs="Times New Roman" w:eastAsia="Times New Roman" w:hAnsi="Times New Roman"/>
        </w:rPr>
        <w:t xml:space="preserve"> is large relative to </w:t>
      </w:r>
      <w:r>
        <w:rPr>
          <w:rFonts w:ascii="Times New Roman" w:cs="Times New Roman" w:eastAsia="Times New Roman" w:hAnsi="Times New Roman"/>
          <w:i/>
        </w:rPr>
        <w:t>a</w:t>
      </w:r>
      <w:r>
        <w:rPr>
          <w:rFonts w:ascii="Times New Roman" w:cs="Times New Roman" w:eastAsia="Times New Roman" w:hAnsi="Times New Roman"/>
        </w:rPr>
        <w:t xml:space="preserve"> the labor saved is small even though the task has been assimilated.</w:t>
      </w:r>
    </w:p>
    <w:p>
      <w:pPr>
        <w:spacing w:after="160" w:line="276"/>
        <w:jc w:val="both"/>
      </w:pPr>
      <w:r>
        <w:rPr>
          <w:rFonts w:ascii="Times New Roman" w:cs="Times New Roman" w:eastAsia="Times New Roman" w:hAnsi="Times New Roman"/>
        </w:rPr>
        <w:t xml:space="preserve">The floor is a bottleneck in the sense of Baumol (1967) and Aghion, Jones, and Jones (2019): when a task that can be automated is complementary to one that cannot, the task that cannot be automated becomes the binding constraint, and its share of the remaining labor rises as the generator improves. Because </w:t>
      </w:r>
      <w:r>
        <w:rPr>
          <w:rFonts w:ascii="Times New Roman" w:cs="Times New Roman" w:eastAsia="Times New Roman" w:hAnsi="Times New Roman"/>
          <w:i/>
        </w:rPr>
        <w:t>ρ</w:t>
      </w:r>
      <w:r>
        <w:rPr>
          <w:rFonts w:ascii="Times New Roman" w:cs="Times New Roman" w:eastAsia="Times New Roman" w:hAnsi="Times New Roman"/>
        </w:rPr>
        <w:t xml:space="preserve"> depends on the complements </w:t>
      </w:r>
      <w:r>
        <w:rPr>
          <w:rFonts w:ascii="Times New Roman" w:cs="Times New Roman" w:eastAsia="Times New Roman" w:hAnsi="Times New Roman"/>
          <w:i/>
        </w:rPr>
        <w:t>K</w:t>
      </w:r>
      <w:r>
        <w:rPr>
          <w:rFonts w:ascii="Times New Roman" w:cs="Times New Roman" w:eastAsia="Times New Roman" w:hAnsi="Times New Roman"/>
        </w:rPr>
        <w:t xml:space="preserve"> through review cost, the same complements that govern assimilation also govern how much labor assimilation can save.</w:t>
      </w:r>
    </w:p>
    <w:p>
      <w:pPr>
        <w:pStyle w:val="Heading2"/>
        <w:spacing w:after="120" w:before="280"/>
      </w:pPr>
      <w:r>
        <w:rPr>
          <w:rFonts w:ascii="Times New Roman" w:cs="Times New Roman" w:eastAsia="Times New Roman" w:hAnsi="Times New Roman"/>
          <w:bCs/>
          <w:color w:val="000000"/>
          <w:sz w:val="24"/>
          <w:szCs w:val="24"/>
        </w:rPr>
        <w:t>3.5 Displacement, Reinstatement, and Scale</w:t>
      </w:r>
    </w:p>
    <w:p>
      <w:pPr>
        <w:spacing w:after="160" w:line="276"/>
        <w:jc w:val="both"/>
      </w:pPr>
      <w:r>
        <w:rPr>
          <w:rFonts w:ascii="Times New Roman" w:cs="Times New Roman" w:eastAsia="Times New Roman" w:hAnsi="Times New Roman"/>
        </w:rPr>
        <w:t xml:space="preserve">Equation (2) leaves </w:t>
      </w:r>
      <w:r>
        <w:rPr>
          <w:rFonts w:ascii="Times New Roman" w:cs="Times New Roman" w:eastAsia="Times New Roman" w:hAnsi="Times New Roman"/>
          <w:i/>
        </w:rPr>
        <w:t>β</w:t>
      </w:r>
      <w:r>
        <w:rPr>
          <w:rFonts w:ascii="Times New Roman" w:cs="Times New Roman" w:eastAsia="Times New Roman" w:hAnsi="Times New Roman"/>
        </w:rPr>
        <w:t xml:space="preserve"> unspecified. Let </w:t>
      </w:r>
      <w:r>
        <w:rPr>
          <w:rFonts w:ascii="Times New Roman" w:cs="Times New Roman" w:eastAsia="Times New Roman" w:hAnsi="Times New Roman"/>
          <w:i/>
        </w:rPr>
        <w:t>ε</w:t>
      </w:r>
      <w:r>
        <w:rPr>
          <w:rFonts w:ascii="Times New Roman" w:cs="Times New Roman" w:eastAsia="Times New Roman" w:hAnsi="Times New Roman"/>
        </w:rPr>
        <w:t xml:space="preserve"> be the price elasticity of demand for the occupation’s visual output at the assimilating firm, so that output rises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when cost per unit falls by the ratio </w:t>
      </w:r>
      <w:r>
        <w:rPr>
          <w:rFonts w:ascii="Times New Roman" w:cs="Times New Roman" w:eastAsia="Times New Roman" w:hAnsi="Times New Roman"/>
          <w:i/>
        </w:rPr>
        <w:t>κ</w:t>
      </w:r>
      <w:r>
        <w:rPr>
          <w:rFonts w:ascii="Times New Roman" w:cs="Times New Roman" w:eastAsia="Times New Roman" w:hAnsi="Times New Roman"/>
        </w:rPr>
        <w:t>. The net effect on demand for the occupation’s work at an assimilating employer is</w:t>
      </w:r>
    </w:p>
    <w:p>
      <w:pPr>
        <w:spacing w:after="200" w:before="120"/>
        <w:jc w:val="center"/>
      </w:pPr>
      <w:r>
        <w:rPr>
          <w:rFonts w:ascii="Times New Roman" w:cs="Times New Roman" w:eastAsia="Times New Roman" w:hAnsi="Times New Roman"/>
          <w:i/>
          <w:iCs/>
        </w:rPr>
        <w:t>β</w:t>
      </w:r>
      <w:r>
        <w:rPr>
          <w:rFonts w:ascii="Times New Roman" w:cs="Times New Roman" w:eastAsia="Times New Roman" w:hAnsi="Times New Roman"/>
          <w:iCs/>
        </w:rPr>
        <w:t xml:space="preserve">  =  ln(1 − </w:t>
      </w:r>
      <w:r>
        <w:rPr>
          <w:rFonts w:ascii="Times New Roman" w:cs="Times New Roman" w:eastAsia="Times New Roman" w:hAnsi="Times New Roman"/>
          <w:i/>
          <w:iCs/>
        </w:rPr>
        <w:t>a</w:t>
      </w:r>
      <w:r>
        <w:rPr>
          <w:rFonts w:ascii="Times New Roman" w:cs="Times New Roman" w:eastAsia="Times New Roman" w:hAnsi="Times New Roman"/>
          <w:iCs/>
        </w:rPr>
        <w:t xml:space="preserve"> + </w:t>
      </w:r>
      <w:r>
        <w:rPr>
          <w:rFonts w:ascii="Times New Roman" w:cs="Times New Roman" w:eastAsia="Times New Roman" w:hAnsi="Times New Roman"/>
          <w:i/>
          <w:iCs/>
        </w:rPr>
        <w:t>ρ</w:t>
      </w:r>
      <w:r>
        <w:rPr>
          <w:rFonts w:ascii="Times New Roman" w:cs="Times New Roman" w:eastAsia="Times New Roman" w:hAnsi="Times New Roman"/>
          <w:iCs/>
        </w:rPr>
        <w:t xml:space="preserve">)  −  </w:t>
      </w:r>
      <w:r>
        <w:rPr>
          <w:rFonts w:ascii="Times New Roman" w:cs="Times New Roman" w:eastAsia="Times New Roman" w:hAnsi="Times New Roman"/>
          <w:i/>
          <w:iCs/>
        </w:rPr>
        <w:t>ε</w:t>
      </w:r>
      <w:r>
        <w:rPr>
          <w:rFonts w:ascii="Times New Roman" w:cs="Times New Roman" w:eastAsia="Times New Roman" w:hAnsi="Times New Roman"/>
          <w:iCs/>
        </w:rPr>
        <w:t xml:space="preserve"> ln </w:t>
      </w:r>
      <w:r>
        <w:rPr>
          <w:rFonts w:ascii="Times New Roman" w:cs="Times New Roman" w:eastAsia="Times New Roman" w:hAnsi="Times New Roman"/>
          <w:i/>
          <w:iCs/>
        </w:rPr>
        <w:t>κ</w:t>
      </w:r>
      <w:r>
        <w:rPr>
          <w:rFonts w:ascii="Times New Roman" w:cs="Times New Roman" w:eastAsia="Times New Roman" w:hAnsi="Times New Roman"/>
          <w:iCs/>
        </w:rPr>
        <w:t>.          (3)</w:t>
      </w:r>
    </w:p>
    <w:p>
      <w:pPr>
        <w:spacing w:after="160" w:line="276"/>
        <w:jc w:val="both"/>
      </w:pPr>
      <w:r>
        <w:rPr>
          <w:rFonts w:ascii="Times New Roman" w:cs="Times New Roman" w:eastAsia="Times New Roman" w:hAnsi="Times New Roman"/>
        </w:rPr>
        <w:t xml:space="preserve">The first term combines displacement, because the generator takes over a share </w:t>
      </w:r>
      <w:r>
        <w:rPr>
          <w:rFonts w:ascii="Times New Roman" w:cs="Times New Roman" w:eastAsia="Times New Roman" w:hAnsi="Times New Roman"/>
          <w:i/>
        </w:rPr>
        <w:t>a</w:t>
      </w:r>
      <w:r>
        <w:rPr>
          <w:rFonts w:ascii="Times New Roman" w:cs="Times New Roman" w:eastAsia="Times New Roman" w:hAnsi="Times New Roman"/>
        </w:rPr>
        <w:t xml:space="preserve"> of human production, with reinstatement, because review and direction create labor </w:t>
      </w:r>
      <w:r>
        <w:rPr>
          <w:rFonts w:ascii="Times New Roman" w:cs="Times New Roman" w:eastAsia="Times New Roman" w:hAnsi="Times New Roman"/>
          <w:i/>
        </w:rPr>
        <w:t>ρ</w:t>
      </w:r>
      <w:r>
        <w:rPr>
          <w:rFonts w:ascii="Times New Roman" w:cs="Times New Roman" w:eastAsia="Times New Roman" w:hAnsi="Times New Roman"/>
        </w:rPr>
        <w:t xml:space="preserve"> that did not exist before; these are the displacement and reinstatement effects of the task-based framework (Acemoglu and Restrepo 2018, 2019). The second term is the productivity or scale effect, which is positive because cheaper output raises the quantity demanded and with it the demand for review and direction. The values </w:t>
      </w:r>
      <w:r>
        <w:rPr>
          <w:rFonts w:ascii="Times New Roman" w:cs="Times New Roman" w:eastAsia="Times New Roman" w:hAnsi="Times New Roman"/>
          <w:i/>
        </w:rPr>
        <w:t>β</w:t>
      </w:r>
      <w:r>
        <w:rPr>
          <w:rFonts w:ascii="Times New Roman" w:cs="Times New Roman" w:eastAsia="Times New Roman" w:hAnsi="Times New Roman"/>
        </w:rPr>
        <w:t xml:space="preserve"> = −0.19 and </w:t>
      </w:r>
      <w:r>
        <w:rPr>
          <w:rFonts w:ascii="Times New Roman" w:cs="Times New Roman" w:eastAsia="Times New Roman" w:hAnsi="Times New Roman"/>
          <w:i/>
        </w:rPr>
        <w:t>β</w:t>
      </w:r>
      <w:r>
        <w:rPr>
          <w:rFonts w:ascii="Times New Roman" w:cs="Times New Roman" w:eastAsia="Times New Roman" w:hAnsi="Times New Roman"/>
        </w:rPr>
        <w:t xml:space="preserve"> = −0.5 used below are therefore reduced-form: each bundles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ρ</w:t>
      </w:r>
      <w:r>
        <w:rPr>
          <w:rFonts w:ascii="Times New Roman" w:cs="Times New Roman" w:eastAsia="Times New Roman" w:hAnsi="Times New Roman"/>
        </w:rPr>
        <w:t xml:space="preserve">, </w:t>
      </w:r>
      <w:r>
        <w:rPr>
          <w:rFonts w:ascii="Times New Roman" w:cs="Times New Roman" w:eastAsia="Times New Roman" w:hAnsi="Times New Roman"/>
          <w:i/>
        </w:rPr>
        <w:t>γ</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For example, with </w:t>
      </w:r>
      <w:r>
        <w:rPr>
          <w:rFonts w:ascii="Times New Roman" w:cs="Times New Roman" w:eastAsia="Times New Roman" w:hAnsi="Times New Roman"/>
          <w:i/>
        </w:rPr>
        <w:t>a</w:t>
      </w:r>
      <w:r>
        <w:rPr>
          <w:rFonts w:ascii="Times New Roman" w:cs="Times New Roman" w:eastAsia="Times New Roman" w:hAnsi="Times New Roman"/>
        </w:rPr>
        <w:t xml:space="preserve"> = 0.8, </w:t>
      </w:r>
      <w:r>
        <w:rPr>
          <w:rFonts w:ascii="Times New Roman" w:cs="Times New Roman" w:eastAsia="Times New Roman" w:hAnsi="Times New Roman"/>
          <w:i/>
        </w:rPr>
        <w:t>ρ</w:t>
      </w:r>
      <w:r>
        <w:rPr>
          <w:rFonts w:ascii="Times New Roman" w:cs="Times New Roman" w:eastAsia="Times New Roman" w:hAnsi="Times New Roman"/>
        </w:rPr>
        <w:t xml:space="preserve"> = 0.3, and </w:t>
      </w:r>
      <w:r>
        <w:rPr>
          <w:rFonts w:ascii="Times New Roman" w:cs="Times New Roman" w:eastAsia="Times New Roman" w:hAnsi="Times New Roman"/>
          <w:i/>
        </w:rPr>
        <w:t>γ</w:t>
      </w:r>
      <w:r>
        <w:rPr>
          <w:rFonts w:ascii="Times New Roman" w:cs="Times New Roman" w:eastAsia="Times New Roman" w:hAnsi="Times New Roman"/>
        </w:rPr>
        <w:t xml:space="preserve"> = 0.05, labor per unit falls to half and cost per unit to 0.55 of its earlier level, and </w:t>
      </w:r>
      <w:r>
        <w:rPr>
          <w:rFonts w:ascii="Times New Roman" w:cs="Times New Roman" w:eastAsia="Times New Roman" w:hAnsi="Times New Roman"/>
          <w:i/>
        </w:rPr>
        <w:t>β</w:t>
      </w:r>
      <w:r>
        <w:rPr>
          <w:rFonts w:ascii="Times New Roman" w:cs="Times New Roman" w:eastAsia="Times New Roman" w:hAnsi="Times New Roman"/>
        </w:rPr>
        <w:t xml:space="preserve"> is −0.39 if </w:t>
      </w:r>
      <w:r>
        <w:rPr>
          <w:rFonts w:ascii="Times New Roman" w:cs="Times New Roman" w:eastAsia="Times New Roman" w:hAnsi="Times New Roman"/>
          <w:i/>
        </w:rPr>
        <w:t>ε</w:t>
      </w:r>
      <w:r>
        <w:rPr>
          <w:rFonts w:ascii="Times New Roman" w:cs="Times New Roman" w:eastAsia="Times New Roman" w:hAnsi="Times New Roman"/>
        </w:rPr>
        <w:t xml:space="preserve"> = 0.5, −0.10 if </w:t>
      </w:r>
      <w:r>
        <w:rPr>
          <w:rFonts w:ascii="Times New Roman" w:cs="Times New Roman" w:eastAsia="Times New Roman" w:hAnsi="Times New Roman"/>
          <w:i/>
        </w:rPr>
        <w:t>ε</w:t>
      </w:r>
      <w:r>
        <w:rPr>
          <w:rFonts w:ascii="Times New Roman" w:cs="Times New Roman" w:eastAsia="Times New Roman" w:hAnsi="Times New Roman"/>
        </w:rPr>
        <w:t xml:space="preserve"> = 1, and +0.02 if </w:t>
      </w:r>
      <w:r>
        <w:rPr>
          <w:rFonts w:ascii="Times New Roman" w:cs="Times New Roman" w:eastAsia="Times New Roman" w:hAnsi="Times New Roman"/>
          <w:i/>
        </w:rPr>
        <w:t>ε</w:t>
      </w:r>
      <w:r>
        <w:rPr>
          <w:rFonts w:ascii="Times New Roman" w:cs="Times New Roman" w:eastAsia="Times New Roman" w:hAnsi="Times New Roman"/>
        </w:rPr>
        <w:t xml:space="preserve"> = 1.2.</w:t>
      </w:r>
    </w:p>
    <w:p>
      <w:pPr>
        <w:spacing w:after="160" w:line="276"/>
        <w:jc w:val="both"/>
      </w:pPr>
      <w:r>
        <w:rPr>
          <w:rFonts w:ascii="Times New Roman" w:cs="Times New Roman" w:eastAsia="Times New Roman" w:hAnsi="Times New Roman"/>
          <w:b/>
        </w:rPr>
        <w:t>Proposition 2 (scale offset).</w:t>
      </w:r>
      <w:r>
        <w:rPr>
          <w:rFonts w:ascii="Times New Roman" w:cs="Times New Roman" w:eastAsia="Times New Roman" w:hAnsi="Times New Roman"/>
        </w:rPr>
        <w:t xml:space="preserve"> The net effect </w:t>
      </w:r>
      <w:r>
        <w:rPr>
          <w:rFonts w:ascii="Times New Roman" w:cs="Times New Roman" w:eastAsia="Times New Roman" w:hAnsi="Times New Roman"/>
          <w:i/>
        </w:rPr>
        <w:t>β</w:t>
      </w:r>
      <w:r>
        <w:rPr>
          <w:rFonts w:ascii="Times New Roman" w:cs="Times New Roman" w:eastAsia="Times New Roman" w:hAnsi="Times New Roman"/>
        </w:rPr>
        <w:t xml:space="preserve"> is negative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whenever </w:t>
      </w:r>
      <w:r>
        <w:rPr>
          <w:rFonts w:ascii="Times New Roman" w:cs="Times New Roman" w:eastAsia="Times New Roman" w:hAnsi="Times New Roman"/>
          <w:i/>
        </w:rPr>
        <w:t>γ</w:t>
      </w:r>
      <w:r>
        <w:rPr>
          <w:rFonts w:ascii="Times New Roman" w:cs="Times New Roman" w:eastAsia="Times New Roman" w:hAnsi="Times New Roman"/>
        </w:rPr>
        <w:t xml:space="preserve"> &gt; 0. As generation cost falls toward zero, </w:t>
      </w:r>
      <w:r>
        <w:rPr>
          <w:rFonts w:ascii="Times New Roman" w:cs="Times New Roman" w:eastAsia="Times New Roman" w:hAnsi="Times New Roman"/>
          <w:i/>
        </w:rPr>
        <w:t>ε</w:t>
      </w:r>
      <w:r>
        <w:rPr>
          <w:rFonts w:ascii="Times New Roman" w:cs="Times New Roman" w:eastAsia="Times New Roman" w:hAnsi="Times New Roman"/>
        </w:rPr>
        <w:t>* approaches 1: complete assimilation reduces demand for the occupation if demand for visual output is inelastic and can raise it only if demand is elastic.</w:t>
      </w:r>
    </w:p>
    <w:p>
      <w:pPr>
        <w:pStyle w:val="Heading2"/>
        <w:spacing w:after="120" w:before="280"/>
      </w:pPr>
      <w:r>
        <w:rPr>
          <w:rFonts w:ascii="Times New Roman" w:cs="Times New Roman" w:eastAsia="Times New Roman" w:hAnsi="Times New Roman"/>
          <w:bCs/>
          <w:color w:val="000000"/>
          <w:sz w:val="24"/>
          <w:szCs w:val="24"/>
        </w:rPr>
        <w:t>3.6 Adjustment Through Attrition</w:t>
      </w:r>
    </w:p>
    <w:p>
      <w:pPr>
        <w:spacing w:after="160" w:line="276"/>
        <w:jc w:val="both"/>
      </w:pPr>
      <w:r>
        <w:rPr>
          <w:rFonts w:ascii="Times New Roman" w:cs="Times New Roman" w:eastAsia="Times New Roman" w:hAnsi="Times New Roman"/>
        </w:rPr>
        <w:t xml:space="preserve">Job adverts measure hiring, and hiring is how most employers reduce a workforce without layoffs. Let </w:t>
      </w:r>
      <w:r>
        <w:rPr>
          <w:rFonts w:ascii="Times New Roman" w:cs="Times New Roman" w:eastAsia="Times New Roman" w:hAnsi="Times New Roman"/>
          <w:i/>
        </w:rPr>
        <w:t>L</w:t>
      </w:r>
      <w:r>
        <w:rPr>
          <w:rFonts w:ascii="Times New Roman" w:cs="Times New Roman" w:eastAsia="Times New Roman" w:hAnsi="Times New Roman"/>
        </w:rPr>
        <w:t xml:space="preserve">(t) be an employer’s employment in the occupation, </w:t>
      </w:r>
      <w:r>
        <w:rPr>
          <w:rFonts w:ascii="Times New Roman" w:cs="Times New Roman" w:eastAsia="Times New Roman" w:hAnsi="Times New Roman"/>
          <w:i/>
        </w:rPr>
        <w:t>δ</w:t>
      </w:r>
      <w:r>
        <w:rPr>
          <w:rFonts w:ascii="Times New Roman" w:cs="Times New Roman" w:eastAsia="Times New Roman" w:hAnsi="Times New Roman"/>
        </w:rPr>
        <w:t xml:space="preserve"> the separation rate, and </w:t>
      </w:r>
      <w:r>
        <w:rPr>
          <w:rFonts w:ascii="Times New Roman" w:cs="Times New Roman" w:eastAsia="Times New Roman" w:hAnsi="Times New Roman"/>
          <w:i/>
        </w:rPr>
        <w:t>H</w:t>
      </w:r>
      <w:r>
        <w:rPr>
          <w:rFonts w:ascii="Times New Roman" w:cs="Times New Roman" w:eastAsia="Times New Roman" w:hAnsi="Times New Roman"/>
        </w:rPr>
        <w:t xml:space="preserve">(t) hires, so that </w:t>
      </w:r>
      <w:r>
        <w:rPr>
          <w:rFonts w:ascii="Times New Roman" w:cs="Times New Roman" w:eastAsia="Times New Roman" w:hAnsi="Times New Roman"/>
          <w:i/>
        </w:rPr>
        <w:t>L</w:t>
      </w:r>
      <w:r>
        <w:rPr>
          <w:rFonts w:ascii="Times New Roman" w:cs="Times New Roman" w:eastAsia="Times New Roman" w:hAnsi="Times New Roman"/>
        </w:rPr>
        <w:t xml:space="preserve">(t + 1) = (1 − </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H</w:t>
      </w:r>
      <w:r>
        <w:rPr>
          <w:rFonts w:ascii="Times New Roman" w:cs="Times New Roman" w:eastAsia="Times New Roman" w:hAnsi="Times New Roman"/>
        </w:rPr>
        <w:t xml:space="preserve">(t). Suppose assimilation lowers target employment to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f</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₀ and the employer closes a fraction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of the remaining gap each period by adjusting hiring:</w:t>
      </w:r>
    </w:p>
    <w:p>
      <w:pPr>
        <w:spacing w:after="200" w:before="120"/>
        <w:jc w:val="center"/>
      </w:pPr>
      <w:r>
        <w:rPr>
          <w:rFonts w:ascii="Times New Roman" w:cs="Times New Roman" w:eastAsia="Times New Roman" w:hAnsi="Times New Roman"/>
          <w:i/>
          <w:iCs/>
        </w:rPr>
        <w:t>H</w:t>
      </w:r>
      <w:r>
        <w:rPr>
          <w:rFonts w:ascii="Times New Roman" w:cs="Times New Roman" w:eastAsia="Times New Roman" w:hAnsi="Times New Roman"/>
          <w:iCs/>
        </w:rPr>
        <w:t xml:space="preserve">(t)  =  </w:t>
      </w:r>
      <w:r>
        <w:rPr>
          <w:rFonts w:ascii="Times New Roman" w:cs="Times New Roman" w:eastAsia="Times New Roman" w:hAnsi="Times New Roman"/>
          <w:i/>
          <w:iCs/>
        </w:rPr>
        <w:t>δL</w:t>
      </w:r>
      <w:r>
        <w:rPr>
          <w:rFonts w:ascii="Times New Roman" w:cs="Times New Roman" w:eastAsia="Times New Roman" w:hAnsi="Times New Roman"/>
          <w:iCs/>
        </w:rPr>
        <w:t xml:space="preserve">(t)  +  </w:t>
      </w:r>
      <w:r>
        <w:rPr>
          <w:rFonts w:ascii="Times New Roman" w:cs="Times New Roman" w:eastAsia="Times New Roman" w:hAnsi="Times New Roman"/>
          <w:i/>
          <w:iCs/>
        </w:rPr>
        <w:t>λ</w:t>
      </w:r>
      <w:r>
        <w:rPr>
          <w:rFonts w:ascii="Times New Roman" w:cs="Times New Roman" w:eastAsia="Times New Roman" w:hAnsi="Times New Roman"/>
          <w:iCs/>
        </w:rPr>
        <w:t>(</w:t>
      </w:r>
      <w:r>
        <w:rPr>
          <w:rFonts w:ascii="Times New Roman" w:cs="Times New Roman" w:eastAsia="Times New Roman" w:hAnsi="Times New Roman"/>
          <w:i/>
          <w:iCs/>
        </w:rPr>
        <w:t>L</w:t>
      </w:r>
      <w:r>
        <w:rPr>
          <w:rFonts w:ascii="Times New Roman" w:cs="Times New Roman" w:eastAsia="Times New Roman" w:hAnsi="Times New Roman"/>
          <w:iCs/>
        </w:rPr>
        <w:t xml:space="preserve">*  −  </w:t>
      </w:r>
      <w:r>
        <w:rPr>
          <w:rFonts w:ascii="Times New Roman" w:cs="Times New Roman" w:eastAsia="Times New Roman" w:hAnsi="Times New Roman"/>
          <w:i/>
          <w:iCs/>
        </w:rPr>
        <w:t>L</w:t>
      </w:r>
      <w:r>
        <w:rPr>
          <w:rFonts w:ascii="Times New Roman" w:cs="Times New Roman" w:eastAsia="Times New Roman" w:hAnsi="Times New Roman"/>
          <w:iCs/>
        </w:rPr>
        <w:t>(t)).          (4)</w:t>
      </w:r>
    </w:p>
    <w:p>
      <w:pPr>
        <w:spacing w:after="160" w:line="276"/>
        <w:jc w:val="both"/>
      </w:pPr>
      <w:r>
        <w:rPr>
          <w:rFonts w:ascii="Times New Roman" w:cs="Times New Roman" w:eastAsia="Times New Roman" w:hAnsi="Times New Roman"/>
          <w:b/>
        </w:rPr>
        <w:t>Proposition 3 (attrition lag).</w:t>
      </w:r>
      <w:r>
        <w:rPr>
          <w:rFonts w:ascii="Times New Roman" w:cs="Times New Roman" w:eastAsia="Times New Roman" w:hAnsi="Times New Roman"/>
        </w:rPr>
        <w:t xml:space="preserve"> Under equation (4), (i) hiring in the first period falls by the fraction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 </w:t>
      </w:r>
      <w:r>
        <w:rPr>
          <w:rFonts w:ascii="Times New Roman" w:cs="Times New Roman" w:eastAsia="Times New Roman" w:hAnsi="Times New Roman"/>
          <w:i/>
        </w:rPr>
        <w:t>f</w:t>
      </w:r>
      <w:r>
        <w:rPr>
          <w:rFonts w:ascii="Times New Roman" w:cs="Times New Roman" w:eastAsia="Times New Roman" w:hAnsi="Times New Roman"/>
        </w:rPr>
        <w:t xml:space="preserve"> and converges to a fall of </w:t>
      </w:r>
      <w:r>
        <w:rPr>
          <w:rFonts w:ascii="Times New Roman" w:cs="Times New Roman" w:eastAsia="Times New Roman" w:hAnsi="Times New Roman"/>
          <w:i/>
        </w:rPr>
        <w:t>f</w:t>
      </w:r>
      <w:r>
        <w:rPr>
          <w:rFonts w:ascii="Times New Roman" w:cs="Times New Roman" w:eastAsia="Times New Roman" w:hAnsi="Times New Roman"/>
        </w:rPr>
        <w:t xml:space="preserve">, so the decline in adverts never exceeds the decline in target employment, and equation (5) below, which gives the coefficient implied by </w:t>
      </w:r>
      <w:r>
        <w:rPr>
          <w:rFonts w:ascii="Times New Roman" w:cs="Times New Roman" w:eastAsia="Times New Roman" w:hAnsi="Times New Roman"/>
          <w:i/>
        </w:rPr>
        <w:t>f</w:t>
      </w:r>
      <w:r>
        <w:rPr>
          <w:rFonts w:ascii="Times New Roman" w:cs="Times New Roman" w:eastAsia="Times New Roman" w:hAnsi="Times New Roman"/>
        </w:rPr>
        <w:t xml:space="preserve">, is an upper bound for adverts as well as for employment; (ii) employment closes only a fraction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of the gap after </w:t>
      </w:r>
      <w:r>
        <w:rPr>
          <w:rFonts w:ascii="Times New Roman" w:cs="Times New Roman" w:eastAsia="Times New Roman" w:hAnsi="Times New Roman"/>
          <w:i/>
        </w:rPr>
        <w:t>T</w:t>
      </w:r>
      <w:r>
        <w:rPr>
          <w:rFonts w:ascii="Times New Roman" w:cs="Times New Roman" w:eastAsia="Times New Roman" w:hAnsi="Times New Roman"/>
        </w:rPr>
        <w:t xml:space="preserve"> periods. With </w:t>
      </w:r>
      <w:r>
        <w:rPr>
          <w:rFonts w:ascii="Times New Roman" w:cs="Times New Roman" w:eastAsia="Times New Roman" w:hAnsi="Times New Roman"/>
          <w:i/>
        </w:rPr>
        <w:t>λ</w:t>
      </w:r>
      <w:r>
        <w:rPr>
          <w:rFonts w:ascii="Times New Roman" w:cs="Times New Roman" w:eastAsia="Times New Roman" w:hAnsi="Times New Roman"/>
        </w:rPr>
        <w:t xml:space="preserve"> = 0.10, for example, 19 percent of the gap is closed after two years and 41 percent after five.</w:t>
      </w:r>
    </w:p>
    <w:p>
      <w:pPr>
        <w:spacing w:after="160" w:line="276"/>
        <w:jc w:val="both"/>
      </w:pPr>
      <w:r>
        <w:rPr>
          <w:rFonts w:ascii="Times New Roman" w:cs="Times New Roman" w:eastAsia="Times New Roman" w:hAnsi="Times New Roman"/>
        </w:rPr>
        <w:t>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p>
      <w:pPr>
        <w:pStyle w:val="Heading2"/>
        <w:spacing w:after="120" w:before="280"/>
      </w:pPr>
      <w:r>
        <w:rPr>
          <w:rFonts w:ascii="Times New Roman" w:cs="Times New Roman" w:eastAsia="Times New Roman" w:hAnsi="Times New Roman"/>
          <w:bCs/>
          <w:color w:val="000000"/>
          <w:sz w:val="24"/>
          <w:szCs w:val="24"/>
        </w:rPr>
        <w:t>3.7 Competing Accounts</w:t>
      </w:r>
    </w:p>
    <w:p>
      <w:pPr>
        <w:spacing w:after="160" w:line="276"/>
        <w:jc w:val="both"/>
      </w:pPr>
      <w:r>
        <w:rPr>
          <w:rFonts w:ascii="Times New Roman" w:cs="Times New Roman" w:eastAsia="Times New Roman" w:hAnsi="Times New Roman"/>
        </w:rPr>
        <w:t xml:space="preserve">Table 1 sets out four accounts and what each predicts for four observables. Only the first three columns are observed in this paper. The fourth column, the firm-level link between use and hiring, is what discriminates among the last three accounts.</w:t>
      </w:r>
    </w:p>
    <w:p>
      <w:pPr>
        <w:keepNext/>
        <w:spacing w:after="80" w:before="200"/>
      </w:pPr>
      <w:r>
        <w:rPr>
          <w:rFonts w:ascii="Times New Roman" w:cs="Times New Roman" w:eastAsia="Times New Roman" w:hAnsi="Times New Roman"/>
          <w:b/>
          <w:bCs/>
          <w:sz w:val="21"/>
          <w:szCs w:val="21"/>
        </w:rPr>
        <w:t xml:space="preserve">Table 1. Competing accounts and their observable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900"/>
        <w:gridCol w:w="1900"/>
        <w:gridCol w:w="2260"/>
      </w:tblGrid>
      <w:tr>
        <w:trPr>
          <w:tblHeader/>
        </w:trPr>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Account</w:t>
            </w:r>
          </w:p>
        </w:tc>
        <w:tc>
          <w:tcPr>
            <w:tcW w:type="dxa" w:w="16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(Aᵘ)</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Barriers cited by non-adopters</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Occupation-level hiring</w:t>
            </w:r>
          </w:p>
        </w:tc>
        <w:tc>
          <w:tcPr>
            <w:tcW w:type="dxa" w:w="22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Firm-level link (not observed here)</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Low</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useful” dominant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change</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do not reassign tasks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Complete assimilation, net substitution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s·Aᵘ·β, β &lt;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cut visual hiring relative to non-users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offsetting scale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reassign tasks; hiring unchanged; postings shift toward direction and review</w:t>
            </w:r>
          </w:p>
        </w:tc>
      </w:tr>
      <w:tr>
        <w:trPr>
          <w:tblHeader w:val="false"/>
        </w:trPr>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gap</w:t>
            </w:r>
          </w:p>
        </w:tc>
        <w:tc>
          <w:tcPr>
            <w:tcW w:type="dxa" w:w="16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Complements (expertise, legal, privacy) dominant</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s·Aᵃ·β, small</w:t>
            </w:r>
          </w:p>
        </w:tc>
        <w:tc>
          <w:tcPr>
            <w:tcW w:type="dxa" w:w="22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Few users reassign tasks; reassignment rises with K</w:t>
            </w:r>
          </w:p>
        </w:tc>
      </w:tr>
    </w:tbl>
    <w:p>
      <w:pPr>
        <w:spacing w:after="200" w:before="60"/>
      </w:pPr>
      <w:r>
        <w:rPr>
          <w:rFonts w:ascii="Times New Roman" w:cs="Times New Roman" w:eastAsia="Times New Roman" w:hAnsi="Times New Roman"/>
          <w:i/>
          <w:iCs/>
          <w:sz w:val="19"/>
          <w:szCs w:val="19"/>
        </w:rPr>
        <w:t xml:space="preserve">Notes. Aᵘ: share of firms reporting use. Aᵃ: share that have assimilated the occupation’s visual tasks. K: complementary assets. The occupation-level column discriminates among accounts only when s·Aᵘ·β exceeds the minimum detectable effect of the design (Section 4).</w:t>
      </w:r>
    </w:p>
    <w:p>
      <w:pPr>
        <w:spacing w:after="160" w:line="276"/>
        <w:jc w:val="both"/>
      </w:pPr>
      <w:r>
        <w:rPr>
          <w:rFonts w:ascii="Times New Roman" w:cs="Times New Roman" w:eastAsia="Times New Roman" w:hAnsi="Times New Roman"/>
        </w:rPr>
        <w:t xml:space="preserve">From the table we derive two hypotheses that can be examined with current data and one that cannot. </w:t>
      </w:r>
      <w:r>
        <w:rPr>
          <w:rFonts w:ascii="Times New Roman" w:cs="Times New Roman" w:eastAsia="Times New Roman" w:hAnsi="Times New Roman"/>
          <w:b/>
          <w:bCs/>
        </w:rPr>
        <w:t xml:space="preserve">H1 (complements, not capability):</w:t>
      </w:r>
      <w:r>
        <w:rPr>
          <w:rFonts w:ascii="Times New Roman" w:cs="Times New Roman" w:eastAsia="Times New Roman" w:hAnsi="Times New Roman"/>
        </w:rPr>
        <w:t xml:space="preserve"> among firms that considered AI and did not adopt it, complementary-asset barriers are cited substantially more often than lack of usefulness. </w:t>
      </w:r>
      <w:r>
        <w:rPr>
          <w:rFonts w:ascii="Times New Roman" w:cs="Times New Roman" w:eastAsia="Times New Roman" w:hAnsi="Times New Roman"/>
          <w:b/>
          <w:bCs/>
        </w:rPr>
        <w:t xml:space="preserve">H2 (detectability):</w:t>
      </w:r>
      <w:r>
        <w:rPr>
          <w:rFonts w:ascii="Times New Roman" w:cs="Times New Roman" w:eastAsia="Times New Roman" w:hAnsi="Times New Roman"/>
        </w:rPr>
        <w:t xml:space="preserve"> at current acquisition rates and at platform-sized substitution effects, the occupation-level hiring response implied by complete assimilation lies below the minimum detectable effect of exposure-based designs. </w:t>
      </w:r>
      <w:r>
        <w:rPr>
          <w:rFonts w:ascii="Times New Roman" w:cs="Times New Roman" w:eastAsia="Times New Roman" w:hAnsi="Times New Roman"/>
          <w:b/>
          <w:bCs/>
        </w:rPr>
        <w:t xml:space="preserve">H3 (firm-level, for future data):</w:t>
      </w:r>
      <w:r>
        <w:rPr>
          <w:rFonts w:ascii="Times New Roman" w:cs="Times New Roman" w:eastAsia="Times New Roman" w:hAnsi="Times New Roman"/>
        </w:rPr>
        <w:t xml:space="preserve"> among acquiring firms, task reassignment increases with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and hiring for visual occupations falls only among firms that have reassigned tasks.</w:t>
      </w:r>
    </w:p>
    <w:p>
      <w:pPr>
        <w:pStyle w:val="Heading1"/>
        <w:spacing w:after="160" w:before="360"/>
      </w:pPr>
      <w:r>
        <w:rPr>
          <w:rFonts w:ascii="Times New Roman" w:cs="Times New Roman" w:eastAsia="Times New Roman" w:hAnsi="Times New Roman"/>
          <w:b/>
          <w:bCs/>
          <w:color w:val="000000"/>
          <w:sz w:val="26"/>
          <w:szCs w:val="26"/>
        </w:rPr>
        <w:t xml:space="preserve">4. What Occupation-Level Data Can Identify</w:t>
      </w:r>
    </w:p>
    <w:p>
      <w:pPr>
        <w:spacing w:after="160" w:line="276"/>
        <w:jc w:val="both"/>
      </w:pPr>
      <w:r>
        <w:rPr>
          <w:rFonts w:ascii="Times New Roman" w:cs="Times New Roman" w:eastAsia="Times New Roman" w:hAnsi="Times New Roman"/>
        </w:rPr>
        <w:t xml:space="preserve">Exposure-based hiring designs regress the change in log adverts for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standardized exposure. Suppose the most exposed occupation lies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standard deviations above the mean and that its work is almost entirely visual production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1). If exposure is approximately proportional to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complete assimilation implies a coefficient per standard deviation of approximately</w:t>
      </w:r>
    </w:p>
    <w:p>
      <w:pPr>
        <w:spacing w:after="200" w:before="120"/>
        <w:jc w:val="center"/>
      </w:pPr>
      <w:r>
        <w:rPr>
          <w:rFonts w:ascii="Times New Roman" w:cs="Times New Roman" w:eastAsia="Times New Roman" w:hAnsi="Times New Roman"/>
          <w:i/>
          <w:iCs/>
        </w:rPr>
        <w:t>γ</w:t>
      </w:r>
      <w:r>
        <w:rPr>
          <w:rFonts w:ascii="Times New Roman" w:cs="Times New Roman" w:eastAsia="Times New Roman" w:hAnsi="Times New Roman"/>
          <w:iCs/>
        </w:rPr>
        <w:t xml:space="preserve">*  ≈  </w:t>
      </w:r>
      <w:r>
        <w:rPr>
          <w:rFonts w:ascii="Times New Roman" w:cs="Times New Roman" w:eastAsia="Times New Roman" w:hAnsi="Times New Roman"/>
          <w:i/>
          <w:iCs/>
        </w:rPr>
        <w:t>A</w:t>
      </w:r>
      <w:r>
        <w:rPr>
          <w:rFonts w:ascii="Times New Roman" w:cs="Times New Roman" w:eastAsia="Times New Roman" w:hAnsi="Times New Roman"/>
          <w:iCs/>
        </w:rPr>
        <w:t xml:space="preserve">ᵘ · </w:t>
      </w:r>
      <w:r>
        <w:rPr>
          <w:rFonts w:ascii="Times New Roman" w:cs="Times New Roman" w:eastAsia="Times New Roman" w:hAnsi="Times New Roman"/>
          <w:i/>
          <w:iCs/>
        </w:rPr>
        <w:t>β</w:t>
      </w:r>
      <w:r>
        <w:rPr>
          <w:rFonts w:ascii="Times New Roman" w:cs="Times New Roman" w:eastAsia="Times New Roman" w:hAnsi="Times New Roman"/>
          <w:iCs/>
        </w:rPr>
        <w:t xml:space="preserve"> / </w:t>
      </w:r>
      <w:r>
        <w:rPr>
          <w:rFonts w:ascii="Times New Roman" w:cs="Times New Roman" w:eastAsia="Times New Roman" w:hAnsi="Times New Roman"/>
          <w:i/>
          <w:iCs/>
        </w:rPr>
        <w:t>k</w:t>
      </w:r>
      <w:r>
        <w:rPr>
          <w:rFonts w:ascii="Times New Roman" w:cs="Times New Roman" w:eastAsia="Times New Roman" w:hAnsi="Times New Roman"/>
          <w:iCs/>
        </w:rPr>
        <w:t>.          (5)</w:t>
      </w:r>
    </w:p>
    <w:p>
      <w:pPr>
        <w:spacing w:after="160" w:line="276"/>
        <w:jc w:val="both"/>
      </w:pPr>
      <w:r>
        <w:rPr>
          <w:rFonts w:ascii="Times New Roman" w:cs="Times New Roman" w:eastAsia="Times New Roman" w:hAnsi="Times New Roman"/>
        </w:rPr>
        <w:t xml:space="preserve">The design can detect </w:t>
      </w:r>
      <w:r>
        <w:rPr>
          <w:rFonts w:ascii="Times New Roman" w:cs="Times New Roman" w:eastAsia="Times New Roman" w:hAnsi="Times New Roman"/>
          <w:i/>
          <w:iCs/>
        </w:rPr>
        <w:t xml:space="preserve">γ</w:t>
      </w:r>
      <w:r>
        <w:rPr>
          <w:rFonts w:ascii="Times New Roman" w:cs="Times New Roman" w:eastAsia="Times New Roman" w:hAnsi="Times New Roman"/>
        </w:rPr>
        <w:t xml:space="preserve">* only if its magnitude exceeds the minimum detectable effect, which for a two-sided 5 percent test at 80 percent power is approximately 2.8 times the standard error of the coefficient. This gives a classification rule that we state before applying it, so that neither a small nor a large observed coefficient is read as support for the gap:</w:t>
      </w:r>
    </w:p>
    <w:p>
      <w:pPr>
        <w:spacing w:after="160" w:line="276"/>
        <w:jc w:val="both"/>
      </w:pPr>
      <w:r>
        <w:rPr>
          <w:rFonts w:ascii="Times New Roman" w:cs="Times New Roman" w:eastAsia="Times New Roman" w:hAnsi="Times New Roman"/>
        </w:rPr>
        <w:t>(i) If |</w:t>
      </w:r>
      <w:r>
        <w:rPr>
          <w:rFonts w:ascii="Times New Roman" w:cs="Times New Roman" w:eastAsia="Times New Roman" w:hAnsi="Times New Roman"/>
          <w:i/>
        </w:rPr>
        <w:t>γ</w:t>
      </w:r>
      <w:r>
        <w:rPr>
          <w:rFonts w:ascii="Times New Roman" w:cs="Times New Roman" w:eastAsia="Times New Roman" w:hAnsi="Times New Roman"/>
        </w:rPr>
        <w:t>*| is below the minimum detectable effect, the design is uninformative about assimilation, whatever the estimated coefficient. A null result does not support the gap, and a negative result is not evidence of substitution. (ii) If |</w:t>
      </w:r>
      <w:r>
        <w:rPr>
          <w:rFonts w:ascii="Times New Roman" w:cs="Times New Roman" w:eastAsia="Times New Roman" w:hAnsi="Times New Roman"/>
          <w:i/>
        </w:rPr>
        <w:t>γ</w:t>
      </w:r>
      <w:r>
        <w:rPr>
          <w:rFonts w:ascii="Times New Roman" w:cs="Times New Roman" w:eastAsia="Times New Roman" w:hAnsi="Times New Roman"/>
        </w:rPr>
        <w:t xml:space="preserve">*| exceeds the minimum detectable effect and the estimate is significantly smaller in magnitude than </w:t>
      </w:r>
      <w:r>
        <w:rPr>
          <w:rFonts w:ascii="Times New Roman" w:cs="Times New Roman" w:eastAsia="Times New Roman" w:hAnsi="Times New Roman"/>
          <w:i/>
        </w:rPr>
        <w:t>γ</w:t>
      </w:r>
      <w:r>
        <w:rPr>
          <w:rFonts w:ascii="Times New Roman" w:cs="Times New Roman" w:eastAsia="Times New Roman" w:hAnsi="Times New Roman"/>
        </w:rPr>
        <w:t xml:space="preserve">*, the data reject complete assimilation with net substitution but do not distinguish the gap from offsetting scale effects. (iii) If the estimate is significantly larger in magnitude than the largest plausible </w:t>
      </w:r>
      <w:r>
        <w:rPr>
          <w:rFonts w:ascii="Times New Roman" w:cs="Times New Roman" w:eastAsia="Times New Roman" w:hAnsi="Times New Roman"/>
          <w:i/>
        </w:rPr>
        <w:t>γ</w:t>
      </w:r>
      <w:r>
        <w:rPr>
          <w:rFonts w:ascii="Times New Roman" w:cs="Times New Roman" w:eastAsia="Times New Roman" w:hAnsi="Times New Roman"/>
        </w:rPr>
        <w:t xml:space="preserve">**, which we take to be the coefficient implied by an effect of </w:t>
      </w:r>
      <w:r>
        <w:rPr>
          <w:rFonts w:ascii="Times New Roman" w:cs="Times New Roman" w:eastAsia="Times New Roman" w:hAnsi="Times New Roman"/>
          <w:i/>
        </w:rPr>
        <w:t>β</w:t>
      </w:r>
      <w:r>
        <w:rPr>
          <w:rFonts w:ascii="Times New Roman" w:cs="Times New Roman" w:eastAsia="Times New Roman" w:hAnsi="Times New Roman"/>
        </w:rPr>
        <w:t xml:space="preserve"> = −0.5 at the acquisition rate of the highest-acquisition sector, or if the gradient is already present before the technology was available, the decline is attributed to other causes and counts as evidence for none of the accounts.</w:t>
      </w:r>
    </w:p>
    <w:p>
      <w:pPr>
        <w:spacing w:after="160" w:line="276"/>
        <w:jc w:val="both"/>
      </w:pPr>
      <w:r>
        <w:rPr>
          <w:rFonts w:ascii="Times New Roman" w:cs="Times New Roman" w:eastAsia="Times New Roman" w:hAnsi="Times New Roman"/>
        </w:rPr>
        <w:t xml:space="preserve">The reference value of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comes from the platform literature. A 17 percent fall in image-creation posts (Demirci, Hannane, and Zhu 2025) corresponds to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−0.19. Because standing occupations may adjust differently, we also consider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−0.5 (a 39 percent fall among assimilating employers) as an aggressive case. Appendix B gives the derivation.</w:t>
      </w:r>
    </w:p>
    <w:p>
      <w:pPr>
        <w:pStyle w:val="Heading1"/>
        <w:spacing w:after="160" w:before="360"/>
      </w:pPr>
      <w:r>
        <w:rPr>
          <w:rFonts w:ascii="Times New Roman" w:cs="Times New Roman" w:eastAsia="Times New Roman" w:hAnsi="Times New Roman"/>
          <w:b/>
          <w:bCs/>
          <w:color w:val="000000"/>
          <w:sz w:val="26"/>
          <w:szCs w:val="26"/>
        </w:rPr>
        <w:t xml:space="preserve">5. Data</w:t>
      </w:r>
    </w:p>
    <w:p>
      <w:pPr>
        <w:pStyle w:val="Heading2"/>
        <w:spacing w:after="120" w:before="280"/>
      </w:pPr>
      <w:r>
        <w:rPr>
          <w:rFonts w:ascii="Times New Roman" w:cs="Times New Roman" w:eastAsia="Times New Roman" w:hAnsi="Times New Roman"/>
          <w:b/>
          <w:bCs/>
          <w:color w:val="000000"/>
          <w:sz w:val="24"/>
          <w:szCs w:val="24"/>
        </w:rPr>
        <w:t xml:space="preserve">5.1 Acquisition and Barriers</w:t>
      </w:r>
    </w:p>
    <w:p>
      <w:pPr>
        <w:spacing w:after="160" w:line="276"/>
        <w:jc w:val="both"/>
      </w:pPr>
      <w:r>
        <w:rPr>
          <w:rFonts w:ascii="Times New Roman" w:cs="Times New Roman" w:eastAsia="Times New Roman" w:hAnsi="Times New Roman"/>
        </w:rPr>
        <w:t xml:space="preserve">We use Eurostat’s survey on ICT usage in enterprises,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p>
      <w:pPr>
        <w:pStyle w:val="Heading2"/>
        <w:spacing w:after="120" w:before="280"/>
      </w:pPr>
      <w:r>
        <w:rPr>
          <w:rFonts w:ascii="Times New Roman" w:cs="Times New Roman" w:eastAsia="Times New Roman" w:hAnsi="Times New Roman"/>
          <w:b/>
          <w:bCs/>
          <w:color w:val="000000"/>
          <w:sz w:val="24"/>
          <w:szCs w:val="24"/>
        </w:rPr>
        <w:t xml:space="preserve">5.2 Hiring Series</w:t>
      </w:r>
    </w:p>
    <w:p>
      <w:pPr>
        <w:spacing w:after="160" w:line="276"/>
        <w:jc w:val="both"/>
      </w:pPr>
      <w:r>
        <w:rPr>
          <w:rFonts w:ascii="Times New Roman" w:cs="Times New Roman" w:eastAsia="Times New Roman" w:hAnsi="Times New Roman"/>
        </w:rPr>
        <w:t>Because the acquisition measure covers EU firms, the hiring series is Eurostat’s experimental online job advertisements by ISCO-08 three-digit occupation, 2019–2024,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2015–2026, restricted to 308 unit groups with at least 1,000 vacancies in the base window; the quarter 2020Q2 was not collected, so 2020 and 2021 cannot be used. European Labour Force Survey employment by industry and US sector postings from Indeed Hiring Lab are used descriptively.</w:t>
      </w:r>
    </w:p>
    <w:p>
      <w:pPr>
        <w:pStyle w:val="Heading2"/>
        <w:spacing w:after="120" w:before="280"/>
      </w:pPr>
      <w:r>
        <w:rPr>
          <w:rFonts w:ascii="Times New Roman" w:cs="Times New Roman" w:eastAsia="Times New Roman" w:hAnsi="Times New Roman"/>
          <w:b/>
          <w:bCs/>
          <w:color w:val="000000"/>
          <w:sz w:val="24"/>
          <w:szCs w:val="24"/>
        </w:rPr>
        <w:t xml:space="preserve">5.3 Exposure</w:t>
      </w:r>
    </w:p>
    <w:p>
      <w:pPr>
        <w:spacing w:after="160" w:line="276"/>
        <w:jc w:val="both"/>
      </w:pPr>
      <w:r>
        <w:rPr>
          <w:rFonts w:ascii="Times New Roman" w:cs="Times New Roman" w:eastAsia="Times New Roman" w:hAnsi="Times New Roman"/>
        </w:rPr>
        <w:t>Occupational exposure to visual content creation is the mean, over O*NET task statements, of a language-model score on a 0–2 rubric divided by two, mapped to European occupations through ISCO-08 (three-digit prefix of the ESCO crosswalk) and to Canadian occupations through NOC main-duty statements. The primary measure uses a narrow rubric that scores production or editing of visual content (Appendix A). The construct is hard to code reliably. On 199 human-validated tasks, design-weighted Cohen’s κ between two coders is 0.18, and the narrow score’s weighted κ with the coders is 0.11 and 0.04. A broad rubric that scores work with visual materials agrees better with the coders (weighted κ 0.31 to 0.41), but it was written after one coder’s pattern on a first half-sample had been seen; we therefore report it only as exploratory. A rule-based score correlates 0.78 to 0.88 with the narrow score and is used as a robustness check. With the broad measure the European coefficients are −0.009 in 2023 and −0.004 in 2024 (standard errors 0.007 and 0.015). Low reliability attenuates exposure coefficients toward zero, which lowers power further and so strengthens the detectability result; we do not correct for it.</w:t>
      </w:r>
    </w:p>
    <w:p>
      <w:pPr>
        <w:pStyle w:val="Heading1"/>
        <w:spacing w:after="160" w:before="360"/>
      </w:pPr>
      <w:r>
        <w:rPr>
          <w:rFonts w:ascii="Times New Roman" w:cs="Times New Roman" w:eastAsia="Times New Roman" w:hAnsi="Times New Roman"/>
          <w:b/>
          <w:bCs/>
          <w:color w:val="000000"/>
          <w:sz w:val="26"/>
          <w:szCs w:val="26"/>
        </w:rPr>
        <w:t xml:space="preserve">6. The Acquisition Margin</w:t>
      </w:r>
    </w:p>
    <w:p>
      <w:pPr>
        <w:pStyle w:val="Heading2"/>
        <w:spacing w:after="120" w:before="280"/>
      </w:pPr>
      <w:r>
        <w:rPr>
          <w:rFonts w:ascii="Times New Roman" w:cs="Times New Roman" w:eastAsia="Times New Roman" w:hAnsi="Times New Roman"/>
          <w:b/>
          <w:bCs/>
          <w:color w:val="000000"/>
          <w:sz w:val="24"/>
          <w:szCs w:val="24"/>
        </w:rPr>
        <w:t xml:space="preserve">6.1 Acquisition Is Substantial and Rising</w:t>
      </w:r>
    </w:p>
    <w:p>
      <w:pPr>
        <w:spacing w:after="160" w:line="276"/>
        <w:jc w:val="both"/>
      </w:pPr>
      <w:r>
        <w:rPr>
          <w:rFonts w:ascii="Times New Roman" w:cs="Times New Roman" w:eastAsia="Times New Roman" w:hAnsi="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keepNext/>
        <w:spacing w:after="80" w:before="200"/>
      </w:pPr>
      <w:r>
        <w:rPr>
          <w:rFonts w:ascii="Times New Roman" w:cs="Times New Roman" w:eastAsia="Times New Roman" w:hAnsi="Times New Roman"/>
          <w:b/>
          <w:bCs/>
          <w:sz w:val="21"/>
          <w:szCs w:val="21"/>
        </w:rPr>
        <w:t xml:space="preserve">Table 2. Acquisition of generative AI, EU27, 2025 (percent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Group</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Picture, video, or audio</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Text generation</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All enterprises (10+)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50–249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14.4</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250 or more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27.9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31.7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Information and communication (J)</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35.5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42.2</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Publishing, film, TV, music (J58–J60)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36.2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34.0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Professional, scientific, technical (M)</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18.7</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Construction (F)</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3.2</w:t>
            </w:r>
          </w:p>
        </w:tc>
      </w:tr>
      <w:tr>
        <w:trPr>
          <w:tblHeader w:val="false"/>
        </w:trPr>
        <w:tc>
          <w:tcPr>
            <w:tcW w:type="dxa" w:w="45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Transportation and storage (H)</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4.0</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3.9</w:t>
            </w:r>
          </w:p>
        </w:tc>
      </w:tr>
    </w:tbl>
    <w:p>
      <w:pPr>
        <w:spacing w:after="200" w:before="60"/>
      </w:pPr>
      <w:r>
        <w:rPr>
          <w:rFonts w:ascii="Times New Roman" w:cs="Times New Roman" w:eastAsia="Times New Roman" w:hAnsi="Times New Roman"/>
          <w:i/>
          <w:iCs/>
          <w:sz w:val="19"/>
          <w:szCs w:val="19"/>
        </w:rPr>
        <w:t xml:space="preserve">Source. Eurostat survey on ICT usage in enterprises, indicators E_AI_TPVSG and E_AI_TNLG. The visual-generation indicator exists only for 2025 and is interpreted as acquisition (Aᵘ), not assimilation.</w:t>
      </w:r>
    </w:p>
    <w:p>
      <w:pPr>
        <w:pStyle w:val="Heading2"/>
        <w:spacing w:after="120" w:before="280"/>
      </w:pPr>
      <w:r>
        <w:rPr>
          <w:rFonts w:ascii="Times New Roman" w:cs="Times New Roman" w:eastAsia="Times New Roman" w:hAnsi="Times New Roman"/>
          <w:b/>
          <w:bCs/>
          <w:color w:val="000000"/>
          <w:sz w:val="24"/>
          <w:szCs w:val="24"/>
        </w:rPr>
        <w:t xml:space="preserve">6.2 Reported Barriers Are Complements, Not Capability</w:t>
      </w:r>
    </w:p>
    <w:p>
      <w:pPr>
        <w:spacing w:after="160" w:line="276"/>
        <w:jc w:val="both"/>
      </w:pPr>
      <w:r>
        <w:rPr>
          <w:rFonts w:ascii="Times New Roman" w:cs="Times New Roman" w:eastAsia="Times New Roman" w:hAnsi="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keepNext/>
        <w:spacing w:after="80" w:before="200"/>
      </w:pPr>
      <w:r>
        <w:rPr>
          <w:rFonts w:ascii="Times New Roman" w:cs="Times New Roman" w:eastAsia="Times New Roman" w:hAnsi="Times New Roman"/>
          <w:b/>
          <w:bCs/>
          <w:sz w:val="21"/>
          <w:szCs w:val="21"/>
        </w:rPr>
        <w:t xml:space="preserve">Table 3. Reasons for not using AI among enterprises that considered it, EU27,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860"/>
      </w:tblGrid>
      <w:tr>
        <w:trPr>
          <w:tblHeader/>
        </w:trPr>
        <w:tc>
          <w:tcPr>
            <w:tcW w:type="dxa" w:w="38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Specification</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2019</w:t>
            </w:r>
          </w:p>
        </w:tc>
        <w:tc>
          <w:tcPr>
            <w:tcW w:type="dxa" w:w="38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2020</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LLM control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+0.024 (0.014)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no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Deviation from linear pre-trend,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Randomization p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0.037</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Costs seem too high</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38.4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Fixed cost of complements or of the tool</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Ethical considerations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24.6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Institutional complement</w:t>
            </w:r>
          </w:p>
        </w:tc>
      </w:tr>
      <w:tr>
        <w:trPr>
          <w:tblHeader w:val="false"/>
        </w:trPr>
        <w:tc>
          <w:tcPr>
            <w:tcW w:type="dxa" w:w="38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AI is not useful for the enterprise</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17.8</w:t>
            </w:r>
          </w:p>
        </w:tc>
        <w:tc>
          <w:tcPr>
            <w:tcW w:type="dxa" w:w="38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r>
    </w:tbl>
    <w:p>
      <w:pPr>
        <w:spacing w:after="200" w:before="60"/>
      </w:pPr>
      <w:r>
        <w:rPr>
          <w:rFonts w:ascii="Times New Roman" w:cs="Times New Roman" w:eastAsia="Times New Roman" w:hAnsi="Times New Roman"/>
          <w:i/>
          <w:iCs/>
          <w:sz w:val="19"/>
          <w:szCs w:val="19"/>
        </w:rPr>
        <w:t xml:space="preserve">Source. Eurostat 2025. Multiple answers allowed. Items refer to AI in general and are asked only of enterprises that considered AI.</w:t>
      </w:r>
    </w:p>
    <w:p>
      <w:pPr>
        <w:spacing w:after="160" w:line="276"/>
        <w:jc w:val="both"/>
      </w:pPr>
      <w:r>
        <w:rPr>
          <w:rFonts w:ascii="Times New Roman" w:cs="Times New Roman" w:eastAsia="Times New Roman" w:hAnsi="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spacing w:after="160" w:line="276"/>
        <w:jc w:val="both"/>
      </w:pPr>
      <w:r>
        <w:rPr>
          <w:rFonts w:ascii="Times New Roman" w:cs="Times New Roman" w:eastAsia="Times New Roman" w:hAnsi="Times New Roman"/>
        </w:rPr>
        <w:t xml:space="preserve">Cross-country patterns are descriptive. Across 23 countries, acquisition of visual generation is negatively correlated with the share of considerers citing costs (r = −0.76), weakly with unclear legal consequences (r = −0.24) and data protection (r = −0.02), and positively with missing expertise (r = 0.46),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 p-values 0.003 to 0.006). Exposure therefore identifies digitally intensive sectors rather than a specific propensity to acquire visual generators, which is a further reason not to read exposure gradients in hiring as effects of visual generation.</w:t>
      </w:r>
    </w:p>
    <w:p>
      <w:pPr>
        <w:pStyle w:val="Heading1"/>
        <w:spacing w:after="160" w:before="360"/>
      </w:pPr>
      <w:r>
        <w:rPr>
          <w:rFonts w:ascii="Times New Roman" w:cs="Times New Roman" w:eastAsia="Times New Roman" w:hAnsi="Times New Roman"/>
          <w:b/>
          <w:bCs/>
          <w:color w:val="000000"/>
          <w:sz w:val="26"/>
          <w:szCs w:val="26"/>
        </w:rPr>
        <w:t xml:space="preserve">7. Occupation-Level Hiring Through the Bound</w:t>
      </w:r>
    </w:p>
    <w:p>
      <w:pPr>
        <w:pStyle w:val="Heading2"/>
        <w:spacing w:after="120" w:before="280"/>
      </w:pPr>
      <w:r>
        <w:rPr>
          <w:rFonts w:ascii="Times New Roman" w:cs="Times New Roman" w:eastAsia="Times New Roman" w:hAnsi="Times New Roman"/>
          <w:b/>
          <w:bCs/>
          <w:color w:val="000000"/>
          <w:sz w:val="24"/>
          <w:szCs w:val="24"/>
        </w:rPr>
        <w:t xml:space="preserve">7.1 Exposure Gradients</w:t>
      </w:r>
    </w:p>
    <w:p>
      <w:pPr>
        <w:spacing w:after="160" w:line="276"/>
        <w:jc w:val="both"/>
      </w:pPr>
      <w:r>
        <w:rPr>
          <w:rFonts w:ascii="Times New Roman" w:cs="Times New Roman" w:eastAsia="Times New Roman" w:hAnsi="Times New Roman"/>
        </w:rPr>
        <w:t>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 p = 0.016) and 1.2 percent fewer in 2024 (standard error 1.7, p = 0.19). Without the language control the estimates are −3.7 and −5.9 percent, because exposure to visual content creation and exposure to language models are positively correlated across occupations (0.27).</w:t>
      </w:r>
    </w:p>
    <w:p>
      <w:pPr>
        <w:keepNext/>
        <w:spacing w:after="80" w:before="200"/>
      </w:pPr>
      <w:r>
        <w:rPr>
          <w:rFonts w:ascii="Times New Roman" w:cs="Times New Roman" w:eastAsia="Times New Roman" w:hAnsi="Times New Roman"/>
          <w:bCs/>
          <w:sz w:val="21"/>
          <w:szCs w:val="21"/>
        </w:rPr>
        <w:t>Table 4. Europe: log-advert change per standard deviation of visual-creation exposure,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Acquisition rate Aᵘ</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−0.19 (platform)</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−0.50 (aggressive)</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Implied log change, most exposed occupation (β = −0.50)</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2025</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2026</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9.6% (EU27, all firms)</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−0.003</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−0.033 (0.017)</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36.2% (publishing, film, broadcasting)</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−0.181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−0.043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−0.052 (0.018)</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2.1% (text generation, 2023, proxy for early acquisition)</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−0.010</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(0.015)</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2024</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−0.28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(preferred),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−0.07</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(no language control),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−0.34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bl>
    <w:p>
      <w:pPr>
        <w:spacing w:after="200" w:before="60"/>
      </w:pPr>
      <w:r>
        <w:rPr>
          <w:rFonts w:ascii="Times New Roman" w:cs="Times New Roman" w:eastAsia="Times New Roman" w:hAnsi="Times New Roman"/>
          <w:iCs/>
          <w:sz w:val="19"/>
          <w:szCs w:val="19"/>
        </w:rPr>
        <w:t>Notes. 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(two-sided 5 percent test, 80 percent power) of the preferred specification.</w:t>
      </w:r>
    </w:p>
    <w:p>
      <w:pPr>
        <w:spacing w:after="160" w:line="276"/>
        <w:jc w:val="both"/>
      </w:pPr>
      <w:r>
        <w:rPr>
          <w:rFonts w:ascii="Times New Roman" w:cs="Times New Roman" w:eastAsia="Times New Roman" w:hAnsi="Times New Roman"/>
        </w:rPr>
        <w:t>The coefficients before 2022 are positive (+0.024, +0.008, and +0.011 for 2019, 2020, and 2021), which means that exposed occupations were already declining relative to others before generative tools were released. The trend is weak (−0.007 per year, standard error 0.005), but it runs in the same direction as the post-2022 coefficients: relative to it, the 2023 and 2024 coefficients are −0.009 (standard error 0.007) and +0.002 (0.023). The series has only two post-2022 years. In Canada, within NOC two-digit groups, the coefficient is −2.2 percent in the first post-2022 year (standard error 0.9, randomization p = 0.10) and indistinguishable from zero afterward (−0.9, +1.6, and +1.1 percent in 2024, 2025, and 2026, with standard errors of 2.5, 2.7, and 3.0), in a market where total vacancies fell 47 percent.</w:t>
      </w:r>
    </w:p>
    <w:p>
      <w:pPr>
        <w:pStyle w:val="Heading2"/>
        <w:spacing w:after="120" w:before="280"/>
      </w:pPr>
      <w:r>
        <w:rPr>
          <w:rFonts w:ascii="Times New Roman" w:cs="Times New Roman" w:eastAsia="Times New Roman" w:hAnsi="Times New Roman"/>
          <w:b/>
          <w:bCs/>
          <w:color w:val="000000"/>
          <w:sz w:val="24"/>
          <w:szCs w:val="24"/>
        </w:rPr>
        <w:t xml:space="preserve">7.2 Applying the Bound</w:t>
      </w:r>
    </w:p>
    <w:p>
      <w:pPr>
        <w:spacing w:after="160" w:line="276"/>
        <w:jc w:val="both"/>
      </w:pPr>
      <w:r>
        <w:rPr>
          <w:rFonts w:ascii="Times New Roman" w:cs="Times New Roman" w:eastAsia="Times New Roman" w:hAnsi="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 </w:t>
      </w:r>
      <w:r>
        <w:rPr>
          <w:rFonts w:ascii="Times New Roman" w:cs="Times New Roman" w:eastAsia="Times New Roman" w:hAnsi="Times New Roman"/>
          <w:i/>
        </w:rPr>
        <w:t>k</w:t>
      </w:r>
      <w:r>
        <w:rPr>
          <w:rFonts w:ascii="Times New Roman" w:cs="Times New Roman" w:eastAsia="Times New Roman" w:hAnsi="Times New Roman"/>
        </w:rPr>
        <w:t xml:space="preserve"> = 5.7, the value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keepNext/>
        <w:spacing w:after="80" w:before="200"/>
      </w:pPr>
      <w:r>
        <w:rPr>
          <w:rFonts w:ascii="Times New Roman" w:cs="Times New Roman" w:eastAsia="Times New Roman" w:hAnsi="Times New Roman"/>
          <w:bCs/>
          <w:sz w:val="21"/>
          <w:szCs w:val="21"/>
        </w:rPr>
        <w:t>Table 5. Coefficient per standard deviation implied by complete assimilation (Aᵃ = Aᵘ), Europe, k = 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rate Aᵘ</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−0.19 (platform)</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−0.50 (aggressive)</w:t>
            </w:r>
          </w:p>
        </w:tc>
        <w:tc>
          <w:tcPr>
            <w:tcW w:type="dxa" w:w="2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Implied log change, most exposed occupation (β = −0.50)</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−0.19 (−17%)</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above 100%</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−0.50 (−39%)</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2027</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2030 / 2027</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−0.80 (−55%)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34%</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2028 / 2025</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2025</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Minimum detectable effect, 2025 / 2026</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−0.36 / −0.38</w:t>
            </w:r>
          </w:p>
        </w:tc>
      </w:tr>
      <w:tr>
        <w:trPr>
          <w:tblHeader w:val="false"/>
        </w:trPr>
        <w:tc>
          <w:tcPr>
            <w:tcW w:type="dxa" w:w="2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Observed (preferred), 2025 / 2026</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−0.17 / −0.26</w:t>
            </w:r>
          </w:p>
        </w:tc>
      </w:tr>
    </w:tbl>
    <w:p>
      <w:pPr>
        <w:spacing w:after="200" w:before="60"/>
      </w:pPr>
      <w:r>
        <w:rPr>
          <w:rFonts w:ascii="Times New Roman" w:cs="Times New Roman" w:eastAsia="Times New Roman" w:hAnsi="Times New Roman"/>
          <w:iCs/>
          <w:sz w:val="19"/>
          <w:szCs w:val="19"/>
        </w:rPr>
        <w:t>Notes. γ* = Aᵘ·β/k. The upper bound Aᵃ = Aᵘ maximizes the implied response; any assimilation gap makes it smaller. Acquisition rates: Eurostat 2025 (all enterprises; publishing, film, television, and music) and Eurostat 2023 text generation as a proxy for early acquisition. The minimum detectable effect and the observed coefficients are for 2024, the year with the least power; the last column multiplies by k.</w:t>
      </w:r>
    </w:p>
    <w:p>
      <w:pPr>
        <w:spacing w:after="160" w:line="276"/>
        <w:jc w:val="both"/>
      </w:pPr>
      <w:r>
        <w:rPr>
          <w:rFonts w:ascii="Times New Roman" w:cs="Times New Roman" w:eastAsia="Times New Roman" w:hAnsi="Times New Roman"/>
        </w:rPr>
        <w:t xml:space="preserve">Two results follow. First, every complete-assimilation scenario for 2024 implies a coefficient below the minimum detectable effect of 0.048; the largest, −0.032,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 −0.012 equals what the platform effect would produce if every employer in a high-acquisition sector had assimilated, but it is 0.7 standard errors from zero. The estimate without the language control (−0.059) is larger than any scenario, but it is not significantly larger than </w:t>
      </w:r>
      <w:r>
        <w:rPr>
          <w:rFonts w:ascii="Times New Roman" w:cs="Times New Roman" w:eastAsia="Times New Roman" w:hAnsi="Times New Roman"/>
          <w:i/>
        </w:rPr>
        <w:t>γ</w:t>
      </w:r>
      <w:r>
        <w:rPr>
          <w:rFonts w:ascii="Times New Roman" w:cs="Times New Roman" w:eastAsia="Times New Roman" w:hAnsi="Times New Roman"/>
        </w:rPr>
        <w:t xml:space="preserve">** (−0.032; z = 1.3) and, as the difference between the specifications shows, partly reflects exposure to language models. Second, the 2023 estimate has more power (minimum detectable effect 0.016). Text-generation acquisition stood at 2.1 percent in 2023. If acquisition of visual generators was similarly low,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implies a coefficient of about −0.002, and the observed −0.016 differs from it significantly (z = 2.6); if acquisition had already reached its 2025 level, the implied coefficient would be −0.008 and the difference would not be significant. Either way, the 2023 gradient is of the size predicted by the trend that preceded the technology, since relative to that trend it is −0.009 (standard error 0.007). Under rule (iii), the gradient is better attributed to other causes than to generative visual AI.</w:t>
      </w:r>
    </w:p>
    <w:p>
      <w:pPr>
        <w:spacing w:after="160" w:line="276"/>
        <w:jc w:val="both"/>
      </w:pPr>
      <w:r>
        <w:rPr>
          <w:rFonts w:ascii="Times New Roman" w:cs="Times New Roman" w:eastAsia="Times New Roman" w:hAnsi="Times New Roman"/>
        </w:rPr>
        <w:t>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p>
      <w:pPr>
        <w:pStyle w:val="Heading2"/>
        <w:spacing w:after="120" w:before="280"/>
      </w:pPr>
      <w:r>
        <w:rPr>
          <w:rFonts w:ascii="Times New Roman" w:cs="Times New Roman" w:eastAsia="Times New Roman" w:hAnsi="Times New Roman"/>
          <w:bCs/>
          <w:color w:val="000000"/>
          <w:sz w:val="24"/>
          <w:szCs w:val="24"/>
        </w:rPr>
        <w:t>7.3 Employment Where Acquisition Is Highest</w:t>
      </w:r>
    </w:p>
    <w:p>
      <w:pPr>
        <w:spacing w:after="160" w:line="276"/>
        <w:jc w:val="both"/>
      </w:pPr>
      <w:r>
        <w:rPr>
          <w:rFonts w:ascii="Times New Roman" w:cs="Times New Roman" w:eastAsia="Times New Roman" w:hAnsi="Times New Roman"/>
        </w:rPr>
        <w:t>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 p = 0.20). US sector postings in arts, media, and marketing fell relative to other sectors, but so did software and data postings, and the same sectors were not stable before the base period.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19 sections; these groups are dominated by occupations other than visual production, and two-digit occupation data (cultural professionals, +0.09) are too coarse to isolate designers or artists. Neither series isolates visual generation, and both are consistent with every account in Table 1 other than large and rapid net substitution.</w:t>
      </w:r>
    </w:p>
    <w:p>
      <w:pPr>
        <w:pStyle w:val="Heading2"/>
        <w:spacing w:after="120" w:before="280"/>
      </w:pPr>
      <w:r>
        <w:rPr>
          <w:rFonts w:ascii="Times New Roman" w:cs="Times New Roman" w:eastAsia="Times New Roman" w:hAnsi="Times New Roman"/>
          <w:bCs/>
          <w:color w:val="000000"/>
          <w:sz w:val="24"/>
          <w:szCs w:val="24"/>
        </w:rPr>
        <w:t>7.4 Acquisition Interaction in Europe</w:t>
      </w:r>
    </w:p>
    <w:p>
      <w:pPr>
        <w:spacing w:after="160" w:line="276"/>
        <w:jc w:val="both"/>
      </w:pPr>
      <w:r>
        <w:rPr>
          <w:rFonts w:ascii="Times New Roman" w:cs="Times New Roman" w:eastAsia="Times New Roman" w:hAnsi="Times New Roman"/>
        </w:rPr>
        <w:t xml:space="preserve">A European dose-response test interacts occupational exposure with country-level acquisition of picture, video, or audio generation (Eurostat 2025),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 −0.008 (standard error 0.008) in 2023 and +0.003 (0.016) in 2024; permutation p-values across countries are 0.46 and 0.85. In 2021, before the base year, it is +0.008 (0.007).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predicts an interaction of only about −0.004 (−0.5 × 0.051 / 5.7),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p>
      <w:pPr>
        <w:pStyle w:val="Heading2"/>
        <w:spacing w:after="120" w:before="280"/>
      </w:pPr>
      <w:r>
        <w:rPr>
          <w:rFonts w:ascii="Times New Roman" w:cs="Times New Roman" w:eastAsia="Times New Roman" w:hAnsi="Times New Roman"/>
          <w:bCs/>
          <w:color w:val="000000"/>
          <w:sz w:val="24"/>
          <w:szCs w:val="24"/>
        </w:rPr>
        <w:t>7.5 Sector-Level Acquisition and Employment</w:t>
      </w:r>
    </w:p>
    <w:p>
      <w:pPr>
        <w:spacing w:after="160" w:line="276"/>
        <w:jc w:val="both"/>
      </w:pPr>
      <w:r>
        <w:rPr>
          <w:rFonts w:ascii="Times New Roman" w:cs="Times New Roman" w:eastAsia="Times New Roman" w:hAnsi="Times New Roman"/>
        </w:rPr>
        <w:t xml:space="preserve">Firm-level links between use and hiring are not public, so we use sectors as the nearest proxy. In 260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(standard error 0.010). The same relationship holds before the technology: for 2016–2018 to 2019–2021 the coefficient is 0.049 (0.008), and the difference between the two periods is 0.002 (0.012). Acquisition is not a separate signal here, because it correlates 0.92 with acquisition of text generation and 0.95 with use of any AI across cells; adding the text-generation control leaves a post-minus-pre difference of 0.041 (0.020), which is imprecise because of this collinearity. In the United States, the sector share of businesses reporting AI use in the Business Trends and Outlook Survey correlates 0.59 across 20 sectors with the sector’s reported employee-change index (descriptive only).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would imply a coefficient of about −0.053 times </w:t>
      </w:r>
      <w:r>
        <w:rPr>
          <w:rFonts w:ascii="Times New Roman" w:cs="Times New Roman" w:eastAsia="Times New Roman" w:hAnsi="Times New Roman"/>
          <w:i/>
        </w:rPr>
        <w:t>s</w:t>
      </w:r>
      <w:r>
        <w:rPr>
          <w:rFonts w:ascii="Times New Roman" w:cs="Times New Roman" w:eastAsia="Times New Roman" w:hAnsi="Times New Roman"/>
        </w:rPr>
        <w:t xml:space="preserve">, the share of sector employment in visual-production occupations, per standard deviation of acquisition. Because </w:t>
      </w:r>
      <w:r>
        <w:rPr>
          <w:rFonts w:ascii="Times New Roman" w:cs="Times New Roman" w:eastAsia="Times New Roman" w:hAnsi="Times New Roman"/>
          <w:i/>
        </w:rPr>
        <w:t>s</w:t>
      </w:r>
      <w:r>
        <w:rPr>
          <w:rFonts w:ascii="Times New Roman" w:cs="Times New Roman" w:eastAsia="Times New Roman" w:hAnsi="Times New Roman"/>
        </w:rPr>
        <w:t xml:space="preserve"> 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p>
      <w:pPr>
        <w:pStyle w:val="Heading1"/>
        <w:spacing w:after="160" w:before="360"/>
      </w:pPr>
      <w:r>
        <w:rPr>
          <w:rFonts w:ascii="Times New Roman" w:cs="Times New Roman" w:eastAsia="Times New Roman" w:hAnsi="Times New Roman"/>
          <w:b/>
          <w:bCs/>
          <w:color w:val="000000"/>
          <w:sz w:val="26"/>
          <w:szCs w:val="26"/>
        </w:rPr>
        <w:t xml:space="preserve">8. When Will Occupation-Level Data Become Informative?</w:t>
      </w:r>
    </w:p>
    <w:p>
      <w:pPr>
        <w:spacing w:after="160" w:line="276"/>
        <w:jc w:val="both"/>
      </w:pPr>
      <w:r>
        <w:rPr>
          <w:rFonts w:ascii="Times New Roman" w:cs="Times New Roman" w:eastAsia="Times New Roman" w:hAnsi="Times New Roman"/>
        </w:rPr>
        <w:t xml:space="preserve">Equation (5) also tells us when the European design would gain the power to detect complete assimilation. Holding the 2024 standard error fixed, detection for an occupation at </w:t>
      </w:r>
      <w:r>
        <w:rPr>
          <w:rFonts w:ascii="Times New Roman" w:cs="Times New Roman" w:eastAsia="Times New Roman" w:hAnsi="Times New Roman"/>
          <w:i/>
        </w:rPr>
        <w:t>k</w:t>
      </w:r>
      <w:r>
        <w:rPr>
          <w:rFonts w:ascii="Times New Roman" w:cs="Times New Roman" w:eastAsia="Times New Roman" w:hAnsi="Times New Roman"/>
        </w:rPr>
        <w:t xml:space="preserve"> = 5.7 requires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β</w:t>
      </w:r>
      <w:r>
        <w:rPr>
          <w:rFonts w:ascii="Times New Roman" w:cs="Times New Roman" w:eastAsia="Times New Roman" w:hAnsi="Times New Roman"/>
        </w:rPr>
        <w:t xml:space="preserve"> ≤ −0.28. With </w:t>
      </w:r>
      <w:r>
        <w:rPr>
          <w:rFonts w:ascii="Times New Roman" w:cs="Times New Roman" w:eastAsia="Times New Roman" w:hAnsi="Times New Roman"/>
          <w:i/>
        </w:rPr>
        <w:t>β</w:t>
      </w:r>
      <w:r>
        <w:rPr>
          <w:rFonts w:ascii="Times New Roman" w:cs="Times New Roman" w:eastAsia="Times New Roman" w:hAnsi="Times New Roman"/>
        </w:rPr>
        <w:t xml:space="preserve"> = −0.19 this cannot occur even at full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it requires </w:t>
      </w:r>
      <w:r>
        <w:rPr>
          <w:rFonts w:ascii="Times New Roman" w:cs="Times New Roman" w:eastAsia="Times New Roman" w:hAnsi="Times New Roman"/>
          <w:i/>
        </w:rPr>
        <w:t>A</w:t>
      </w:r>
      <w:r>
        <w:rPr>
          <w:rFonts w:ascii="Times New Roman" w:cs="Times New Roman" w:eastAsia="Times New Roman" w:hAnsi="Times New Roman"/>
        </w:rPr>
        <w:t xml:space="preserve">ᵃ ≥ 0.55; with </w:t>
      </w:r>
      <w:r>
        <w:rPr>
          <w:rFonts w:ascii="Times New Roman" w:cs="Times New Roman" w:eastAsia="Times New Roman" w:hAnsi="Times New Roman"/>
          <w:i/>
        </w:rPr>
        <w:t>β</w:t>
      </w:r>
      <w:r>
        <w:rPr>
          <w:rFonts w:ascii="Times New Roman" w:cs="Times New Roman" w:eastAsia="Times New Roman" w:hAnsi="Times New Roman"/>
        </w:rPr>
        <w:t xml:space="preserve"> = −0.8 (a 55 percent fall among assimilators), </w:t>
      </w:r>
      <w:r>
        <w:rPr>
          <w:rFonts w:ascii="Times New Roman" w:cs="Times New Roman" w:eastAsia="Times New Roman" w:hAnsi="Times New Roman"/>
          <w:i/>
        </w:rPr>
        <w:t>A</w:t>
      </w:r>
      <w:r>
        <w:rPr>
          <w:rFonts w:ascii="Times New Roman" w:cs="Times New Roman" w:eastAsia="Times New Roman" w:hAnsi="Times New Roman"/>
        </w:rPr>
        <w:t xml:space="preserve">ᵃ ≥ 0.34. Table 6 reports the first year in which acquisition would reach these shares if its log-odds rose at the 2023–2025 pace of text-generation AI (about 0.75 per year) or at two-thirds or one-third of that pace. Because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ᵘ, these are the earliest possible detection dates; any persistent assimilation gap pushes them later. The standard error will change as post-2022 years accumulate, so the dates are conditional on the precision of the current design.</w:t>
      </w:r>
    </w:p>
    <w:p>
      <w:pPr>
        <w:keepNext/>
        <w:spacing w:after="80" w:before="200"/>
      </w:pPr>
      <w:r>
        <w:rPr>
          <w:rFonts w:ascii="Times New Roman" w:cs="Times New Roman" w:eastAsia="Times New Roman" w:hAnsi="Times New Roman"/>
          <w:bCs/>
          <w:sz w:val="21"/>
          <w:szCs w:val="21"/>
        </w:rPr>
        <w:t>Table 6. Earliest year in which complete assimilation would become detectable, European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20"/>
        <w:gridCol w:w="1820"/>
        <w:gridCol w:w="1820"/>
      </w:tblGrid>
      <w:tr>
        <w:trPr>
          <w:tblHeader/>
        </w:trPr>
        <w:tc>
          <w:tcPr>
            <w:tcW w:type="dxa" w:w="22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among assimilators</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Required Aᵃ</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Fast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Medium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Slow (all / media)</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−0.19 (−17%)</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above 100%</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−0.50 (−39%)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72%</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2027</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2031 / 2028</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2037 / 2031</w:t>
            </w:r>
          </w:p>
        </w:tc>
      </w:tr>
      <w:tr>
        <w:trPr>
          <w:tblHeader w:val="false"/>
        </w:trPr>
        <w:tc>
          <w:tcPr>
            <w:tcW w:type="dxa" w:w="22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−0.80 (−55%)</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2027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2033 / 2026</w:t>
            </w:r>
          </w:p>
        </w:tc>
      </w:tr>
    </w:tbl>
    <w:p>
      <w:pPr>
        <w:spacing w:after="200" w:before="60"/>
      </w:pPr>
      <w:r>
        <w:rPr>
          <w:rFonts w:ascii="Times New Roman" w:cs="Times New Roman" w:eastAsia="Times New Roman" w:hAnsi="Times New Roman"/>
          <w:iCs/>
          <w:sz w:val="19"/>
          <w:szCs w:val="19"/>
        </w:rPr>
        <w:t>Notes. Paths start in 2025 at 9.6 percent (all firms) or 36.2 percent (publishing, film, and broadcasting) with log-odds slopes of 0.75 (fast), 0.50 (medium), and 0.25 (slow) per year. Detection threshold: 2.8 × the 2024 standard error (0.017) × k = 5.7 ≈ 0.28. Each entry is the year in which the required share is first reached. Dates assume Aᵃ = Aᵘ and are lower bounds.</w:t>
      </w:r>
    </w:p>
    <w:p>
      <w:pPr>
        <w:spacing w:after="160" w:line="276"/>
        <w:jc w:val="both"/>
      </w:pPr>
      <w:r>
        <w:rPr>
          <w:rFonts w:ascii="Times New Roman" w:cs="Times New Roman" w:eastAsia="Times New Roman" w:hAnsi="Times New Roman"/>
        </w:rPr>
        <w:t>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 β = −0.8 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p>
      <w:pPr>
        <w:pStyle w:val="Heading1"/>
        <w:spacing w:after="160" w:before="360"/>
      </w:pPr>
      <w:r>
        <w:rPr>
          <w:rFonts w:ascii="Times New Roman" w:cs="Times New Roman" w:eastAsia="Times New Roman" w:hAnsi="Times New Roman"/>
          <w:b/>
          <w:bCs/>
          <w:color w:val="000000"/>
          <w:sz w:val="26"/>
          <w:szCs w:val="26"/>
        </w:rPr>
        <w:t xml:space="preserve">9. A Firm-Level Design That Would Discriminate</w:t>
      </w:r>
    </w:p>
    <w:p>
      <w:pPr>
        <w:spacing w:after="160" w:line="276"/>
        <w:jc w:val="both"/>
      </w:pPr>
      <w:r>
        <w:rPr>
          <w:rFonts w:ascii="Times New Roman" w:cs="Times New Roman" w:eastAsia="Times New Roman" w:hAnsi="Times New Roman"/>
        </w:rPr>
        <w:t>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carrying employer identifiers can record both hiring for visual occupations and requests for generative-AI skills; and a purpose-built survey of acquiring firms can measure the three assets and the share of visual tasks reassigned.</w:t>
      </w:r>
    </w:p>
    <w:p>
      <w:pPr>
        <w:spacing w:after="160" w:line="276"/>
        <w:jc w:val="both"/>
      </w:pPr>
      <w:r>
        <w:rPr>
          <w:rFonts w:ascii="Times New Roman" w:cs="Times New Roman" w:eastAsia="Times New Roman" w:hAnsi="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p>
      <w:pPr>
        <w:pStyle w:val="Heading1"/>
        <w:spacing w:after="160" w:before="360"/>
      </w:pPr>
      <w:r>
        <w:rPr>
          <w:rFonts w:ascii="Times New Roman" w:cs="Times New Roman" w:eastAsia="Times New Roman" w:hAnsi="Times New Roman"/>
          <w:b/>
          <w:bCs/>
          <w:color w:val="000000"/>
          <w:sz w:val="26"/>
          <w:szCs w:val="26"/>
        </w:rPr>
        <w:t xml:space="preserve">10. Discussion</w:t>
      </w:r>
    </w:p>
    <w:p>
      <w:pPr>
        <w:pStyle w:val="Heading2"/>
        <w:spacing w:after="120" w:before="280"/>
      </w:pPr>
      <w:r>
        <w:rPr>
          <w:rFonts w:ascii="Times New Roman" w:cs="Times New Roman" w:eastAsia="Times New Roman" w:hAnsi="Times New Roman"/>
          <w:b/>
          <w:bCs/>
          <w:color w:val="000000"/>
          <w:sz w:val="24"/>
          <w:szCs w:val="24"/>
        </w:rPr>
        <w:t xml:space="preserve">10.1 Contributions to Information Systems Research</w:t>
      </w:r>
    </w:p>
    <w:p>
      <w:pPr>
        <w:spacing w:after="160" w:line="276"/>
        <w:jc w:val="both"/>
      </w:pPr>
      <w:r>
        <w:rPr>
          <w:rFonts w:ascii="Times New Roman" w:cs="Times New Roman" w:eastAsia="Times New Roman" w:hAnsi="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w:t>
      </w:r>
    </w:p>
    <w:p>
      <w:pPr>
        <w:spacing w:after="160" w:line="276"/>
        <w:jc w:val="both"/>
      </w:pPr>
      <w:r>
        <w:rPr>
          <w:rFonts w:ascii="Times New Roman" w:cs="Times New Roman" w:eastAsia="Times New Roman" w:hAnsi="Times New Roman"/>
        </w:rPr>
        <w:t>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and that gradients they do detect can be no larger than a trend that preceded the technology. The bound is simple enough to be reported alongside any such estimate, and doing so would prevent both false alarms and false reassurance.</w:t>
      </w:r>
    </w:p>
    <w:p>
      <w:pPr>
        <w:spacing w:after="160" w:line="276"/>
        <w:jc w:val="both"/>
      </w:pPr>
      <w:r>
        <w:rPr>
          <w:rFonts w:ascii="Times New Roman" w:cs="Times New Roman" w:eastAsia="Times New Roman" w:hAnsi="Times New Roman"/>
        </w:rPr>
        <w:t>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(−0.007 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the two requires firm-level data that observe an employer’s industry, its use of the tool, and its hiring together.</w:t>
      </w:r>
    </w:p>
    <w:p>
      <w:pPr>
        <w:pStyle w:val="Heading2"/>
        <w:spacing w:after="120" w:before="280"/>
      </w:pPr>
      <w:r>
        <w:rPr>
          <w:rFonts w:ascii="Times New Roman" w:cs="Times New Roman" w:eastAsia="Times New Roman" w:hAnsi="Times New Roman"/>
          <w:bCs/>
          <w:color w:val="000000"/>
          <w:sz w:val="24"/>
          <w:szCs w:val="24"/>
        </w:rPr>
        <w:t>10.2 A Macroeconomic Reading</w:t>
      </w:r>
    </w:p>
    <w:p>
      <w:pPr>
        <w:spacing w:after="160" w:line="276"/>
        <w:jc w:val="both"/>
      </w:pPr>
      <w:r>
        <w:rPr>
          <w:rFonts w:ascii="Times New Roman" w:cs="Times New Roman" w:eastAsia="Times New Roman" w:hAnsi="Times New Roman"/>
        </w:rPr>
        <w:t>The results fit a standard macroeconomic account of technology shocks. General-purpose technologies take effect only after complementary investments in organization and skills, so adoption can run ahead of measured effects (David 1990; Bresnahan and Trajtenberg 1995; Brynjolfsson, Rock, and Syverson 2021). The task-based framework (Acemoglu and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w:t>
      </w:r>
    </w:p>
    <w:p>
      <w:pPr>
        <w:spacing w:after="160" w:line="276"/>
        <w:jc w:val="both"/>
      </w:pPr>
      <w:r>
        <w:rPr>
          <w:rFonts w:ascii="Times New Roman" w:cs="Times New Roman" w:eastAsia="Times New Roman" w:hAnsi="Times New Roman"/>
        </w:rPr>
        <w:t>Two features of labor adjustment shape what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spacing w:after="160" w:line="276"/>
        <w:jc w:val="both"/>
      </w:pPr>
      <w:r>
        <w:rPr>
          <w:rFonts w:ascii="Times New Roman" w:cs="Times New Roman" w:eastAsia="Times New Roman" w:hAnsi="Times New Roman"/>
        </w:rPr>
        <w:t>On timing, the evidence supports neither a prediction that effects will take decades nor the view that the future cannot be known. Table 6 gives earliest detection dates that range from 2025 for very large effects in high-acquisition sectors to 2035 for moderate effects under slow diffusion in the average firm, and never, in this design, for platform-sized effects. What the data cannot say is whether assimilation is occurring now. Answering that requires firm-level data that link use, complementary assets, task reassignment, and hiring.</w:t>
      </w:r>
    </w:p>
    <w:p>
      <w:pPr>
        <w:pStyle w:val="Heading2"/>
        <w:spacing w:after="120" w:before="280"/>
      </w:pPr>
      <w:r>
        <w:rPr>
          <w:rFonts w:ascii="Times New Roman" w:cs="Times New Roman" w:eastAsia="Times New Roman" w:hAnsi="Times New Roman"/>
          <w:bCs/>
          <w:color w:val="000000"/>
          <w:sz w:val="24"/>
          <w:szCs w:val="24"/>
        </w:rPr>
        <w:t>10.3 Implications</w:t>
      </w:r>
    </w:p>
    <w:p>
      <w:pPr>
        <w:spacing w:after="160" w:line="276"/>
        <w:jc w:val="both"/>
      </w:pPr>
      <w:r>
        <w:rPr>
          <w:rFonts w:ascii="Times New Roman" w:cs="Times New Roman" w:eastAsia="Times New Roman" w:hAnsi="Times New Roman"/>
        </w:rPr>
        <w:t xml:space="preserve">For researchers, the implication is to report the acquisition rate and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p>
      <w:pPr>
        <w:pStyle w:val="Heading2"/>
        <w:spacing w:after="120" w:before="280"/>
      </w:pPr>
      <w:r>
        <w:rPr>
          <w:rFonts w:ascii="Times New Roman" w:cs="Times New Roman" w:eastAsia="Times New Roman" w:hAnsi="Times New Roman"/>
          <w:bCs/>
          <w:color w:val="000000"/>
          <w:sz w:val="24"/>
          <w:szCs w:val="24"/>
        </w:rPr>
        <w:t>10.4 Limitations</w:t>
      </w:r>
    </w:p>
    <w:p>
      <w:pPr>
        <w:spacing w:after="160" w:line="276"/>
        <w:jc w:val="both"/>
      </w:pPr>
      <w:r>
        <w:rPr>
          <w:rFonts w:ascii="Times New Roman" w:cs="Times New Roman" w:eastAsia="Times New Roman" w:hAnsi="Times New Roman"/>
        </w:rPr>
        <w:t>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reliability.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p>
      <w:pPr>
        <w:pStyle w:val="Heading1"/>
        <w:spacing w:after="160" w:before="360"/>
      </w:pPr>
      <w:r>
        <w:rPr>
          <w:rFonts w:ascii="Times New Roman" w:cs="Times New Roman" w:eastAsia="Times New Roman" w:hAnsi="Times New Roman"/>
          <w:b/>
          <w:bCs/>
          <w:color w:val="000000"/>
          <w:sz w:val="26"/>
          <w:szCs w:val="26"/>
        </w:rPr>
        <w:t xml:space="preserve">11. Conclusion</w:t>
      </w:r>
    </w:p>
    <w:p>
      <w:pPr>
        <w:spacing w:after="160" w:line="276"/>
        <w:jc w:val="both"/>
      </w:pPr>
      <w:r>
        <w:rPr>
          <w:rFonts w:ascii="Times New Roman" w:cs="Times New Roman" w:eastAsia="Times New Roman" w:hAnsi="Times New Roman"/>
        </w:rPr>
        <w:t>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In macroeconomic terms, general-purpose technologies, task-based labor demand, bottleneck tasks, and attrition-based adjustment together imply that effects reach hiring and employment with a lag and unevenly across occupations. The empirical lesson is equally important. Occupation-level hiring data cannot yet tell us whether acquisition has been assimilated, and the exposure gradients they show are small, imprecise, and no larger than the trend that preceded the technology. Answering the question requires linking firms’ use, their complementary assets, and their hiring, and this paper specifies what that evidence would have to show.</w:t>
      </w:r>
    </w:p>
    <w:p>
      <w:pPr>
        <w:pStyle w:val="Heading1"/>
        <w:spacing w:after="160" w:before="360"/>
      </w:pPr>
      <w:r>
        <w:rPr>
          <w:rFonts w:ascii="Times New Roman" w:cs="Times New Roman" w:eastAsia="Times New Roman" w:hAnsi="Times New Roman"/>
          <w:b/>
          <w:bCs/>
          <w:color w:val="000000"/>
          <w:sz w:val="26"/>
          <w:szCs w:val="26"/>
        </w:rPr>
        <w:t xml:space="preserve">Data, Code, and Use of Generative AI</w:t>
      </w:r>
    </w:p>
    <w:p>
      <w:pPr>
        <w:spacing w:after="160" w:line="276"/>
        <w:jc w:val="both"/>
      </w:pPr>
      <w:r>
        <w:rPr>
          <w:rFonts w:ascii="Times New Roman" w:cs="Times New Roman" w:eastAsia="Times New Roman" w:hAnsi="Times New Roman"/>
        </w:rPr>
        <w:t>All data are public (Eurostat, Statistics Canada, U.S. Census Bureau, O*NET, Indeed Hiring Lab). Code, prompts, task scores, and human coding files required to reproduce the tables are available in an anonymized replication repository. Large language models were used as measurement instruments to code task statements. A generative AI assistant was used to help write analysis code and to draft and edit the manuscript. The authors reviewed all results, text, and code and take responsibility for the content.</w:t>
      </w:r>
    </w:p>
    <w:p>
      <w:pPr>
        <w:pStyle w:val="Heading1"/>
        <w:spacing w:after="160" w:before="360"/>
      </w:pPr>
      <w:r>
        <w:rPr>
          <w:rFonts w:ascii="Times New Roman" w:cs="Times New Roman" w:eastAsia="Times New Roman" w:hAnsi="Times New Roman"/>
          <w:b/>
          <w:bCs/>
          <w:color w:val="000000"/>
          <w:sz w:val="26"/>
          <w:szCs w:val="26"/>
        </w:rPr>
        <w:t xml:space="preserve">Appendix A. Rubrics</w:t>
      </w:r>
    </w:p>
    <w:p>
      <w:pPr>
        <w:spacing w:after="160" w:line="276"/>
        <w:jc w:val="both"/>
      </w:pPr>
      <w:r>
        <w:rPr>
          <w:rFonts w:ascii="Times New Roman" w:cs="Times New Roman" w:eastAsia="Times New Roman" w:hAnsi="Times New Roman"/>
          <w:b/>
          <w:bCs/>
        </w:rPr>
        <w:t xml:space="preserve">Visual content creation (primary).</w:t>
      </w:r>
      <w:r>
        <w:rPr>
          <w:rFonts w:ascii="Times New Roman" w:cs="Times New Roman" w:eastAsia="Times New Roman" w:hAnsi="Times New Roman"/>
        </w:rPr>
        <w:t xml:space="preserve"> 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spacing w:after="160" w:line="276"/>
        <w:jc w:val="both"/>
      </w:pPr>
      <w:r>
        <w:rPr>
          <w:rFonts w:ascii="Times New Roman" w:cs="Times New Roman" w:eastAsia="Times New Roman" w:hAnsi="Times New Roman"/>
          <w:b/>
          <w:bCs/>
        </w:rPr>
        <w:t xml:space="preserve">Broad visual materials (exploratory).</w:t>
      </w:r>
      <w:r>
        <w:rPr>
          <w:rFonts w:ascii="Times New Roman" w:cs="Times New Roman" w:eastAsia="Times New Roman" w:hAnsi="Times New Roman"/>
        </w:rPr>
        <w:t xml:space="preserve"> 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p>
      <w:pPr>
        <w:pStyle w:val="Heading1"/>
        <w:spacing w:after="160" w:before="360"/>
      </w:pPr>
      <w:r>
        <w:rPr>
          <w:rFonts w:ascii="Times New Roman" w:cs="Times New Roman" w:eastAsia="Times New Roman" w:hAnsi="Times New Roman"/>
          <w:b/>
          <w:bCs/>
          <w:color w:val="000000"/>
          <w:sz w:val="26"/>
          <w:szCs w:val="26"/>
        </w:rPr>
        <w:t xml:space="preserve">Appendix B. Derivation of the Detectability Bound</w:t>
      </w:r>
    </w:p>
    <w:p>
      <w:pPr>
        <w:spacing w:after="160" w:line="276"/>
        <w:jc w:val="both"/>
      </w:pPr>
      <w:r>
        <w:rPr>
          <w:rFonts w:ascii="Times New Roman" w:cs="Times New Roman" w:eastAsia="Times New Roman" w:hAnsi="Times New Roman"/>
        </w:rPr>
        <w:t xml:space="preserve">Let exposure </w:t>
      </w:r>
      <w:r>
        <w:rPr>
          <w:rFonts w:ascii="Times New Roman" w:cs="Times New Roman" w:eastAsia="Times New Roman" w:hAnsi="Times New Roman"/>
          <w:i/>
        </w:rPr>
        <w:t>e</w:t>
      </w:r>
      <w:r>
        <w:rPr>
          <w:rFonts w:ascii="Times New Roman" w:cs="Times New Roman" w:eastAsia="Times New Roman" w:hAnsi="Times New Roman"/>
        </w:rPr>
        <w:t xml:space="preserve">ⱼ be proportional to the visual share of work, </w:t>
      </w:r>
      <w:r>
        <w:rPr>
          <w:rFonts w:ascii="Times New Roman" w:cs="Times New Roman" w:eastAsia="Times New Roman" w:hAnsi="Times New Roman"/>
          <w:i/>
        </w:rPr>
        <w:t>e</w:t>
      </w:r>
      <w:r>
        <w:rPr>
          <w:rFonts w:ascii="Times New Roman" w:cs="Times New Roman" w:eastAsia="Times New Roman" w:hAnsi="Times New Roman"/>
        </w:rPr>
        <w:t xml:space="preserve">ⱼ = </w:t>
      </w:r>
      <w:r>
        <w:rPr>
          <w:rFonts w:ascii="Times New Roman" w:cs="Times New Roman" w:eastAsia="Times New Roman" w:hAnsi="Times New Roman"/>
          <w:i/>
        </w:rPr>
        <w:t>λs</w:t>
      </w:r>
      <w:r>
        <w:rPr>
          <w:rFonts w:ascii="Times New Roman" w:cs="Times New Roman" w:eastAsia="Times New Roman" w:hAnsi="Times New Roman"/>
        </w:rPr>
        <w:t xml:space="preserve">ⱼ, and let standardized exposure be </w:t>
      </w:r>
      <w:r>
        <w:rPr>
          <w:rFonts w:ascii="Times New Roman" w:cs="Times New Roman" w:eastAsia="Times New Roman" w:hAnsi="Times New Roman"/>
          <w:i/>
        </w:rPr>
        <w:t>z</w:t>
      </w:r>
      <w:r>
        <w:rPr>
          <w:rFonts w:ascii="Times New Roman" w:cs="Times New Roman" w:eastAsia="Times New Roman" w:hAnsi="Times New Roman"/>
        </w:rPr>
        <w:t>ⱼ = (</w:t>
      </w:r>
      <w:r>
        <w:rPr>
          <w:rFonts w:ascii="Times New Roman" w:cs="Times New Roman" w:eastAsia="Times New Roman" w:hAnsi="Times New Roman"/>
          <w:i/>
        </w:rPr>
        <w:t>e</w:t>
      </w:r>
      <w:r>
        <w:rPr>
          <w:rFonts w:ascii="Times New Roman" w:cs="Times New Roman" w:eastAsia="Times New Roman" w:hAnsi="Times New Roman"/>
        </w:rPr>
        <w:t xml:space="preserve">ⱼ − ē)/σₑ. If the most exposed occupation has </w:t>
      </w:r>
      <w:r>
        <w:rPr>
          <w:rFonts w:ascii="Times New Roman" w:cs="Times New Roman" w:eastAsia="Times New Roman" w:hAnsi="Times New Roman"/>
          <w:i/>
        </w:rPr>
        <w:t>s</w:t>
      </w:r>
      <w:r>
        <w:rPr>
          <w:rFonts w:ascii="Times New Roman" w:cs="Times New Roman" w:eastAsia="Times New Roman" w:hAnsi="Times New Roman"/>
        </w:rPr>
        <w:t xml:space="preserve">ⱼ ≈ 1 and </w:t>
      </w:r>
      <w:r>
        <w:rPr>
          <w:rFonts w:ascii="Times New Roman" w:cs="Times New Roman" w:eastAsia="Times New Roman" w:hAnsi="Times New Roman"/>
          <w:i/>
        </w:rPr>
        <w:t>z</w:t>
      </w:r>
      <w:r>
        <w:rPr>
          <w:rFonts w:ascii="Times New Roman" w:cs="Times New Roman" w:eastAsia="Times New Roman" w:hAnsi="Times New Roman"/>
        </w:rPr>
        <w:t xml:space="preserve">ⱼ = </w:t>
      </w:r>
      <w:r>
        <w:rPr>
          <w:rFonts w:ascii="Times New Roman" w:cs="Times New Roman" w:eastAsia="Times New Roman" w:hAnsi="Times New Roman"/>
          <w:i/>
        </w:rPr>
        <w:t>k</w:t>
      </w:r>
      <w:r>
        <w:rPr>
          <w:rFonts w:ascii="Times New Roman" w:cs="Times New Roman" w:eastAsia="Times New Roman" w:hAnsi="Times New Roman"/>
        </w:rPr>
        <w:t xml:space="preserve">, and if exposure near the mean is small relative to its maximum, then </w:t>
      </w:r>
      <w:r>
        <w:rPr>
          <w:rFonts w:ascii="Times New Roman" w:cs="Times New Roman" w:eastAsia="Times New Roman" w:hAnsi="Times New Roman"/>
          <w:i/>
        </w:rPr>
        <w:t>s</w:t>
      </w:r>
      <w:r>
        <w:rPr>
          <w:rFonts w:ascii="Times New Roman" w:cs="Times New Roman" w:eastAsia="Times New Roman" w:hAnsi="Times New Roman"/>
        </w:rPr>
        <w:t xml:space="preserve">ⱼ ≈ </w:t>
      </w:r>
      <w:r>
        <w:rPr>
          <w:rFonts w:ascii="Times New Roman" w:cs="Times New Roman" w:eastAsia="Times New Roman" w:hAnsi="Times New Roman"/>
          <w:i/>
        </w:rPr>
        <w:t>z</w:t>
      </w:r>
      <w:r>
        <w:rPr>
          <w:rFonts w:ascii="Times New Roman" w:cs="Times New Roman" w:eastAsia="Times New Roman" w:hAnsi="Times New Roman"/>
        </w:rPr>
        <w:t>ⱼ/</w:t>
      </w:r>
      <w:r>
        <w:rPr>
          <w:rFonts w:ascii="Times New Roman" w:cs="Times New Roman" w:eastAsia="Times New Roman" w:hAnsi="Times New Roman"/>
          <w:i/>
        </w:rPr>
        <w:t>k</w:t>
      </w:r>
      <w:r>
        <w:rPr>
          <w:rFonts w:ascii="Times New Roman" w:cs="Times New Roman" w:eastAsia="Times New Roman" w:hAnsi="Times New Roman"/>
        </w:rPr>
        <w:t xml:space="preserve"> over the relevant range. Substituting into equation (2) with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 xml:space="preserve">ᵘ gives Δ ln </w:t>
      </w:r>
      <w:r>
        <w:rPr>
          <w:rFonts w:ascii="Times New Roman" w:cs="Times New Roman" w:eastAsia="Times New Roman" w:hAnsi="Times New Roman"/>
          <w:i/>
        </w:rPr>
        <w:t>N</w:t>
      </w:r>
      <w:r>
        <w:rPr>
          <w:rFonts w:ascii="Times New Roman" w:cs="Times New Roman" w:eastAsia="Times New Roman" w:hAnsi="Times New Roman"/>
        </w:rPr>
        <w:t>ⱼ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w:t>
      </w:r>
      <w:r>
        <w:rPr>
          <w:rFonts w:ascii="Times New Roman" w:cs="Times New Roman" w:eastAsia="Times New Roman" w:hAnsi="Times New Roman"/>
          <w:i/>
        </w:rPr>
        <w:t>z</w:t>
      </w:r>
      <w:r>
        <w:rPr>
          <w:rFonts w:ascii="Times New Roman" w:cs="Times New Roman" w:eastAsia="Times New Roman" w:hAnsi="Times New Roman"/>
        </w:rPr>
        <w:t xml:space="preserve">ⱼ, so the regression coefficient on </w:t>
      </w:r>
      <w:r>
        <w:rPr>
          <w:rFonts w:ascii="Times New Roman" w:cs="Times New Roman" w:eastAsia="Times New Roman" w:hAnsi="Times New Roman"/>
          <w:i/>
        </w:rPr>
        <w:t>z</w:t>
      </w:r>
      <w:r>
        <w:rPr>
          <w:rFonts w:ascii="Times New Roman" w:cs="Times New Roman" w:eastAsia="Times New Roman" w:hAnsi="Times New Roman"/>
        </w:rPr>
        <w:t xml:space="preserve">ⱼ under complete assimilation is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 The minimum detectable effect for a two-sided test of size 0.05 with power 0.8 is (1.96 + 0.84)·SE ≈ 2.8·SE. Detection for the most exposed occupation requires |</w:t>
      </w:r>
      <w:r>
        <w:rPr>
          <w:rFonts w:ascii="Times New Roman" w:cs="Times New Roman" w:eastAsia="Times New Roman" w:hAnsi="Times New Roman"/>
          <w:i/>
        </w:rPr>
        <w:t>A</w:t>
      </w:r>
      <w:r>
        <w:rPr>
          <w:rFonts w:ascii="Times New Roman" w:cs="Times New Roman" w:eastAsia="Times New Roman" w:hAnsi="Times New Roman"/>
        </w:rPr>
        <w:t>ᵃ</w:t>
      </w:r>
      <w:r>
        <w:rPr>
          <w:rFonts w:ascii="Times New Roman" w:cs="Times New Roman" w:eastAsia="Times New Roman" w:hAnsi="Times New Roman"/>
          <w:i/>
        </w:rPr>
        <w:t>β</w:t>
      </w:r>
      <w:r>
        <w:rPr>
          <w:rFonts w:ascii="Times New Roman" w:cs="Times New Roman" w:eastAsia="Times New Roman" w:hAnsi="Times New Roman"/>
        </w:rPr>
        <w:t>| ≥ 2.8·SE·</w:t>
      </w:r>
      <w:r>
        <w:rPr>
          <w:rFonts w:ascii="Times New Roman" w:cs="Times New Roman" w:eastAsia="Times New Roman" w:hAnsi="Times New Roman"/>
          <w:i/>
        </w:rPr>
        <w:t>k</w:t>
      </w:r>
      <w:r>
        <w:rPr>
          <w:rFonts w:ascii="Times New Roman" w:cs="Times New Roman" w:eastAsia="Times New Roman" w:hAnsi="Times New Roman"/>
        </w:rPr>
        <w:t xml:space="preserve">. With SE = 0.017 (Europe, 2024) and </w:t>
      </w:r>
      <w:r>
        <w:rPr>
          <w:rFonts w:ascii="Times New Roman" w:cs="Times New Roman" w:eastAsia="Times New Roman" w:hAnsi="Times New Roman"/>
          <w:i/>
        </w:rPr>
        <w:t>k</w:t>
      </w:r>
      <w:r>
        <w:rPr>
          <w:rFonts w:ascii="Times New Roman" w:cs="Times New Roman" w:eastAsia="Times New Roman" w:hAnsi="Times New Roman"/>
        </w:rPr>
        <w:t xml:space="preserve"> = 5.7 the threshold is 0.28. If mean exposure is not small relative to its maximum, </w:t>
      </w:r>
      <w:r>
        <w:rPr>
          <w:rFonts w:ascii="Times New Roman" w:cs="Times New Roman" w:eastAsia="Times New Roman" w:hAnsi="Times New Roman"/>
          <w:i/>
        </w:rPr>
        <w:t>k</w:t>
      </w:r>
      <w:r>
        <w:rPr>
          <w:rFonts w:ascii="Times New Roman" w:cs="Times New Roman" w:eastAsia="Times New Roman" w:hAnsi="Times New Roman"/>
        </w:rPr>
        <w:t xml:space="preserve"> overstates the effective spread and the implied </w:t>
      </w:r>
      <w:r>
        <w:rPr>
          <w:rFonts w:ascii="Times New Roman" w:cs="Times New Roman" w:eastAsia="Times New Roman" w:hAnsi="Times New Roman"/>
          <w:i/>
        </w:rPr>
        <w:t>γ</w:t>
      </w:r>
      <w:r>
        <w:rPr>
          <w:rFonts w:ascii="Times New Roman" w:cs="Times New Roman" w:eastAsia="Times New Roman" w:hAnsi="Times New Roman"/>
        </w:rPr>
        <w:t xml:space="preserve">* is somewhat larger, but for the values in Table 5 to cross the detection threshold the effective </w:t>
      </w:r>
      <w:r>
        <w:rPr>
          <w:rFonts w:ascii="Times New Roman" w:cs="Times New Roman" w:eastAsia="Times New Roman" w:hAnsi="Times New Roman"/>
          <w:i/>
        </w:rPr>
        <w:t>k</w:t>
      </w:r>
      <w:r>
        <w:rPr>
          <w:rFonts w:ascii="Times New Roman" w:cs="Times New Roman" w:eastAsia="Times New Roman" w:hAnsi="Times New Roman"/>
        </w:rPr>
        <w:t>* would need to fall below about 4 under the most aggressive scenario.</w:t>
      </w:r>
    </w:p>
    <w:p>
      <w:pPr>
        <w:pStyle w:val="Heading1"/>
        <w:spacing w:after="160" w:before="360"/>
      </w:pPr>
      <w:r>
        <w:rPr>
          <w:rFonts w:ascii="Times New Roman" w:cs="Times New Roman" w:eastAsia="Times New Roman" w:hAnsi="Times New Roman"/>
          <w:bCs/>
          <w:color w:val="000000"/>
          <w:sz w:val="26"/>
          <w:szCs w:val="26"/>
        </w:rPr>
        <w:t>Appendix C. Derivations for Section 3</w:t>
      </w:r>
    </w:p>
    <w:p>
      <w:pPr>
        <w:spacing w:after="160" w:line="276"/>
        <w:jc w:val="both"/>
      </w:pPr>
      <w:r>
        <w:rPr>
          <w:rFonts w:ascii="Times New Roman" w:cs="Times New Roman" w:eastAsia="Times New Roman" w:hAnsi="Times New Roman"/>
          <w:b/>
        </w:rPr>
        <w:t>Labor and cost ratios.</w:t>
      </w:r>
      <w:r>
        <w:rPr>
          <w:rFonts w:ascii="Times New Roman" w:cs="Times New Roman" w:eastAsia="Times New Roman" w:hAnsi="Times New Roman"/>
        </w:rPr>
        <w:t xml:space="preserve"> Human production of a unit takes </w:t>
      </w:r>
      <w:r>
        <w:rPr>
          <w:rFonts w:ascii="Times New Roman" w:cs="Times New Roman" w:eastAsia="Times New Roman" w:hAnsi="Times New Roman"/>
          <w:i/>
        </w:rPr>
        <w:t>h</w:t>
      </w:r>
      <w:r>
        <w:rPr>
          <w:rFonts w:ascii="Times New Roman" w:cs="Times New Roman" w:eastAsia="Times New Roman" w:hAnsi="Times New Roman"/>
        </w:rPr>
        <w:t xml:space="preserve"> hours. With the generator, a unit requires </w:t>
      </w:r>
      <w:r>
        <w:rPr>
          <w:rFonts w:ascii="Times New Roman" w:cs="Times New Roman" w:eastAsia="Times New Roman" w:hAnsi="Times New Roman"/>
          <w:i/>
        </w:rPr>
        <w:t>u</w:t>
      </w:r>
      <w:r>
        <w:rPr>
          <w:rFonts w:ascii="Times New Roman" w:cs="Times New Roman" w:eastAsia="Times New Roman" w:hAnsi="Times New Roman"/>
        </w:rPr>
        <w:t xml:space="preserve"> hours of review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expected labor per unit is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h</w:t>
      </w:r>
      <w:r>
        <w:rPr>
          <w:rFonts w:ascii="Times New Roman" w:cs="Times New Roman" w:eastAsia="Times New Roman" w:hAnsi="Times New Roman"/>
        </w:rPr>
        <w:t>(</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with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u</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at equal wages. Expected cost per unit is </w:t>
      </w:r>
      <w:r>
        <w:rPr>
          <w:rFonts w:ascii="Times New Roman" w:cs="Times New Roman" w:eastAsia="Times New Roman" w:hAnsi="Times New Roman"/>
          <w:i/>
        </w:rPr>
        <w:t>c</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θκ</w:t>
      </w:r>
      <w:r>
        <w:rPr>
          <w:rFonts w:ascii="Times New Roman" w:cs="Times New Roman" w:eastAsia="Times New Roman" w:hAnsi="Times New Roman"/>
        </w:rPr>
        <w:t xml:space="preserve">. Output scales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under constant elasticity </w:t>
      </w:r>
      <w:r>
        <w:rPr>
          <w:rFonts w:ascii="Times New Roman" w:cs="Times New Roman" w:eastAsia="Times New Roman" w:hAnsi="Times New Roman"/>
          <w:i/>
        </w:rPr>
        <w:t>ε</w:t>
      </w:r>
      <w:r>
        <w:rPr>
          <w:rFonts w:ascii="Times New Roman" w:cs="Times New Roman" w:eastAsia="Times New Roman" w:hAnsi="Times New Roman"/>
        </w:rPr>
        <w:t xml:space="preserve">, so labor demand scales by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which gives equation (3) after taking logarithms.</w:t>
      </w:r>
    </w:p>
    <w:p>
      <w:pPr>
        <w:spacing w:after="160" w:line="276"/>
        <w:jc w:val="both"/>
      </w:pPr>
      <w:r>
        <w:rPr>
          <w:rFonts w:ascii="Times New Roman" w:cs="Times New Roman" w:eastAsia="Times New Roman" w:hAnsi="Times New Roman"/>
          <w:b/>
        </w:rPr>
        <w:t>Proposition 2.</w:t>
      </w:r>
      <w:r>
        <w:rPr>
          <w:rFonts w:ascii="Times New Roman" w:cs="Times New Roman" w:eastAsia="Times New Roman" w:hAnsi="Times New Roman"/>
        </w:rPr>
        <w:t xml:space="preserve"> </w:t>
      </w:r>
      <w:r>
        <w:rPr>
          <w:rFonts w:ascii="Times New Roman" w:cs="Times New Roman" w:eastAsia="Times New Roman" w:hAnsi="Times New Roman"/>
          <w:i/>
        </w:rPr>
        <w:t>β</w:t>
      </w:r>
      <w:r>
        <w:rPr>
          <w:rFonts w:ascii="Times New Roman" w:cs="Times New Roman" w:eastAsia="Times New Roman" w:hAnsi="Times New Roman"/>
        </w:rPr>
        <w:t xml:space="preserve"> &lt; 0 if and only if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ln </w:t>
      </w:r>
      <w:r>
        <w:rPr>
          <w:rFonts w:ascii="Times New Roman" w:cs="Times New Roman" w:eastAsia="Times New Roman" w:hAnsi="Times New Roman"/>
          <w:i/>
        </w:rPr>
        <w:t>κ</w:t>
      </w:r>
      <w:r>
        <w:rPr>
          <w:rFonts w:ascii="Times New Roman" w:cs="Times New Roman" w:eastAsia="Times New Roman" w:hAnsi="Times New Roman"/>
        </w:rPr>
        <w:t xml:space="preserve">. When </w:t>
      </w:r>
      <w:r>
        <w:rPr>
          <w:rFonts w:ascii="Times New Roman" w:cs="Times New Roman" w:eastAsia="Times New Roman" w:hAnsi="Times New Roman"/>
          <w:i/>
        </w:rPr>
        <w:t>γ</w:t>
      </w:r>
      <w:r>
        <w:rPr>
          <w:rFonts w:ascii="Times New Roman" w:cs="Times New Roman" w:eastAsia="Times New Roman" w:hAnsi="Times New Roman"/>
        </w:rPr>
        <w:t xml:space="preserve"> &gt; 0 and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κ</w:t>
      </w:r>
      <w:r>
        <w:rPr>
          <w:rFonts w:ascii="Times New Roman" w:cs="Times New Roman" w:eastAsia="Times New Roman" w:hAnsi="Times New Roman"/>
        </w:rPr>
        <w:t xml:space="preserve"> &lt; 1, so both logarithms are negative and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&gt; |ln </w:t>
      </w:r>
      <w:r>
        <w:rPr>
          <w:rFonts w:ascii="Times New Roman" w:cs="Times New Roman" w:eastAsia="Times New Roman" w:hAnsi="Times New Roman"/>
          <w:i/>
        </w:rPr>
        <w:t>κ</w:t>
      </w:r>
      <w:r>
        <w:rPr>
          <w:rFonts w:ascii="Times New Roman" w:cs="Times New Roman" w:eastAsia="Times New Roman" w:hAnsi="Times New Roman"/>
        </w:rPr>
        <w:t xml:space="preserve">|. Dividing by ln </w:t>
      </w:r>
      <w:r>
        <w:rPr>
          <w:rFonts w:ascii="Times New Roman" w:cs="Times New Roman" w:eastAsia="Times New Roman" w:hAnsi="Times New Roman"/>
          <w:i/>
        </w:rPr>
        <w:t>κ</w:t>
      </w:r>
      <w:r>
        <w:rPr>
          <w:rFonts w:ascii="Times New Roman" w:cs="Times New Roman" w:eastAsia="Times New Roman" w:hAnsi="Times New Roman"/>
        </w:rPr>
        <w:t xml:space="preserve"> reverses the inequality: </w:t>
      </w:r>
      <w:r>
        <w:rPr>
          <w:rFonts w:ascii="Times New Roman" w:cs="Times New Roman" w:eastAsia="Times New Roman" w:hAnsi="Times New Roman"/>
          <w:i/>
        </w:rPr>
        <w:t>β</w:t>
      </w:r>
      <w:r>
        <w:rPr>
          <w:rFonts w:ascii="Times New Roman" w:cs="Times New Roman" w:eastAsia="Times New Roman" w:hAnsi="Times New Roman"/>
        </w:rPr>
        <w:t xml:space="preserve"> &lt; 0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As </w:t>
      </w:r>
      <w:r>
        <w:rPr>
          <w:rFonts w:ascii="Times New Roman" w:cs="Times New Roman" w:eastAsia="Times New Roman" w:hAnsi="Times New Roman"/>
          <w:i/>
        </w:rPr>
        <w:t>γ</w:t>
      </w:r>
      <w:r>
        <w:rPr>
          <w:rFonts w:ascii="Times New Roman" w:cs="Times New Roman" w:eastAsia="Times New Roman" w:hAnsi="Times New Roman"/>
        </w:rPr>
        <w:t xml:space="preserve"> → 0, </w:t>
      </w:r>
      <w:r>
        <w:rPr>
          <w:rFonts w:ascii="Times New Roman" w:cs="Times New Roman" w:eastAsia="Times New Roman" w:hAnsi="Times New Roman"/>
          <w:i/>
        </w:rPr>
        <w:t>κ</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 1.</w:t>
      </w:r>
    </w:p>
    <w:p>
      <w:pPr>
        <w:spacing w:after="160" w:line="276"/>
        <w:jc w:val="both"/>
      </w:pPr>
      <w:r>
        <w:rPr>
          <w:rFonts w:ascii="Times New Roman" w:cs="Times New Roman" w:eastAsia="Times New Roman" w:hAnsi="Times New Roman"/>
          <w:b/>
        </w:rPr>
        <w:t>Proposition 3.</w:t>
      </w:r>
      <w:r>
        <w:rPr>
          <w:rFonts w:ascii="Times New Roman" w:cs="Times New Roman" w:eastAsia="Times New Roman" w:hAnsi="Times New Roman"/>
        </w:rPr>
        <w:t xml:space="preserve"> Substituting equation (4) into the employment equation gives </w:t>
      </w:r>
      <w:r>
        <w:rPr>
          <w:rFonts w:ascii="Times New Roman" w:cs="Times New Roman" w:eastAsia="Times New Roman" w:hAnsi="Times New Roman"/>
          <w:i/>
        </w:rPr>
        <w:t>L</w:t>
      </w:r>
      <w:r>
        <w:rPr>
          <w:rFonts w:ascii="Times New Roman" w:cs="Times New Roman" w:eastAsia="Times New Roman" w:hAnsi="Times New Roman"/>
        </w:rPr>
        <w:t xml:space="preserve">(t + 1)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so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w:t>
      </w:r>
      <w:r>
        <w:rPr>
          <w:rFonts w:ascii="Times New Roman" w:cs="Times New Roman" w:eastAsia="Times New Roman" w:hAnsi="Times New Roman"/>
          <w:i/>
        </w:rPr>
        <w:t>L</w:t>
      </w:r>
      <w:r>
        <w:rPr>
          <w:rFonts w:ascii="Times New Roman" w:cs="Times New Roman" w:eastAsia="Times New Roman" w:hAnsi="Times New Roman"/>
        </w:rPr>
        <w:t xml:space="preserve">₀ − </w:t>
      </w:r>
      <w:r>
        <w:rPr>
          <w:rFonts w:ascii="Times New Roman" w:cs="Times New Roman" w:eastAsia="Times New Roman" w:hAnsi="Times New Roman"/>
          <w:i/>
        </w:rPr>
        <w:t>L</w:t>
      </w:r>
      <w:r>
        <w:rPr>
          <w:rFonts w:ascii="Times New Roman" w:cs="Times New Roman" w:eastAsia="Times New Roman" w:hAnsi="Times New Roman"/>
        </w:rPr>
        <w:t xml:space="preserve">*) and the share of the gap closed after </w:t>
      </w:r>
      <w:r>
        <w:rPr>
          <w:rFonts w:ascii="Times New Roman" w:cs="Times New Roman" w:eastAsia="Times New Roman" w:hAnsi="Times New Roman"/>
          <w:i/>
        </w:rPr>
        <w:t>T</w:t>
      </w:r>
      <w:r>
        <w:rPr>
          <w:rFonts w:ascii="Times New Roman" w:cs="Times New Roman" w:eastAsia="Times New Roman" w:hAnsi="Times New Roman"/>
        </w:rPr>
        <w:t xml:space="preserve"> periods is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Hires in the first period are </w:t>
      </w:r>
      <w:r>
        <w:rPr>
          <w:rFonts w:ascii="Times New Roman" w:cs="Times New Roman" w:eastAsia="Times New Roman" w:hAnsi="Times New Roman"/>
          <w:i/>
        </w:rPr>
        <w:t>H</w:t>
      </w:r>
      <w:r>
        <w:rPr>
          <w:rFonts w:ascii="Times New Roman" w:cs="Times New Roman" w:eastAsia="Times New Roman" w:hAnsi="Times New Roman"/>
        </w:rPr>
        <w:t xml:space="preserve">(0) = </w:t>
      </w:r>
      <w:r>
        <w:rPr>
          <w:rFonts w:ascii="Times New Roman" w:cs="Times New Roman" w:eastAsia="Times New Roman" w:hAnsi="Times New Roman"/>
          <w:i/>
        </w:rPr>
        <w:t>δL</w:t>
      </w:r>
      <w:r>
        <w:rPr>
          <w:rFonts w:ascii="Times New Roman" w:cs="Times New Roman" w:eastAsia="Times New Roman" w:hAnsi="Times New Roman"/>
        </w:rPr>
        <w:t xml:space="preserve">₀ − </w:t>
      </w:r>
      <w:r>
        <w:rPr>
          <w:rFonts w:ascii="Times New Roman" w:cs="Times New Roman" w:eastAsia="Times New Roman" w:hAnsi="Times New Roman"/>
          <w:i/>
        </w:rPr>
        <w:t>λfL</w:t>
      </w:r>
      <w:r>
        <w:rPr>
          <w:rFonts w:ascii="Times New Roman" w:cs="Times New Roman" w:eastAsia="Times New Roman" w:hAnsi="Times New Roman"/>
        </w:rPr>
        <w:t xml:space="preserve">₀, so </w:t>
      </w:r>
      <w:r>
        <w:rPr>
          <w:rFonts w:ascii="Times New Roman" w:cs="Times New Roman" w:eastAsia="Times New Roman" w:hAnsi="Times New Roman"/>
          <w:i/>
        </w:rPr>
        <w:t>H</w:t>
      </w:r>
      <w:r>
        <w:rPr>
          <w:rFonts w:ascii="Times New Roman" w:cs="Times New Roman" w:eastAsia="Times New Roman" w:hAnsi="Times New Roman"/>
        </w:rPr>
        <w:t>(0)/(</w:t>
      </w:r>
      <w:r>
        <w:rPr>
          <w:rFonts w:ascii="Times New Roman" w:cs="Times New Roman" w:eastAsia="Times New Roman" w:hAnsi="Times New Roman"/>
          <w:i/>
        </w:rPr>
        <w:t>δL</w:t>
      </w:r>
      <w:r>
        <w:rPr>
          <w:rFonts w:ascii="Times New Roman" w:cs="Times New Roman" w:eastAsia="Times New Roman" w:hAnsi="Times New Roman"/>
        </w:rPr>
        <w:t>₀)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As </w:t>
      </w:r>
      <w:r>
        <w:rPr>
          <w:rFonts w:ascii="Times New Roman" w:cs="Times New Roman" w:eastAsia="Times New Roman" w:hAnsi="Times New Roman"/>
          <w:i/>
        </w:rPr>
        <w:t>t</w:t>
      </w:r>
      <w:r>
        <w:rPr>
          <w:rFonts w:ascii="Times New Roman" w:cs="Times New Roman" w:eastAsia="Times New Roman" w:hAnsi="Times New Roman"/>
        </w:rPr>
        <w:t xml:space="preserve"> → ∞,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and </w:t>
      </w:r>
      <w:r>
        <w:rPr>
          <w:rFonts w:ascii="Times New Roman" w:cs="Times New Roman" w:eastAsia="Times New Roman" w:hAnsi="Times New Roman"/>
          <w:i/>
        </w:rPr>
        <w:t>H</w:t>
      </w:r>
      <w:r>
        <w:rPr>
          <w:rFonts w:ascii="Times New Roman" w:cs="Times New Roman" w:eastAsia="Times New Roman" w:hAnsi="Times New Roman"/>
        </w:rPr>
        <w:t xml:space="preserve">(t) → </w:t>
      </w:r>
      <w:r>
        <w:rPr>
          <w:rFonts w:ascii="Times New Roman" w:cs="Times New Roman" w:eastAsia="Times New Roman" w:hAnsi="Times New Roman"/>
          <w:i/>
        </w:rPr>
        <w:t>δL</w:t>
      </w:r>
      <w:r>
        <w:rPr>
          <w:rFonts w:ascii="Times New Roman" w:cs="Times New Roman" w:eastAsia="Times New Roman" w:hAnsi="Times New Roman"/>
        </w:rPr>
        <w:t xml:space="preserve">*, so </w:t>
      </w:r>
      <w:r>
        <w:rPr>
          <w:rFonts w:ascii="Times New Roman" w:cs="Times New Roman" w:eastAsia="Times New Roman" w:hAnsi="Times New Roman"/>
          <w:i/>
        </w:rPr>
        <w:t>H</w:t>
      </w:r>
      <w:r>
        <w:rPr>
          <w:rFonts w:ascii="Times New Roman" w:cs="Times New Roman" w:eastAsia="Times New Roman" w:hAnsi="Times New Roman"/>
        </w:rPr>
        <w:t>(t)/(</w:t>
      </w:r>
      <w:r>
        <w:rPr>
          <w:rFonts w:ascii="Times New Roman" w:cs="Times New Roman" w:eastAsia="Times New Roman" w:hAnsi="Times New Roman"/>
          <w:i/>
        </w:rPr>
        <w:t>δL</w:t>
      </w:r>
      <w:r>
        <w:rPr>
          <w:rFonts w:ascii="Times New Roman" w:cs="Times New Roman" w:eastAsia="Times New Roman" w:hAnsi="Times New Roman"/>
        </w:rPr>
        <w:t xml:space="preserve">₀) → 1 − </w:t>
      </w:r>
      <w:r>
        <w:rPr>
          <w:rFonts w:ascii="Times New Roman" w:cs="Times New Roman" w:eastAsia="Times New Roman" w:hAnsi="Times New Roman"/>
          <w:i/>
        </w:rPr>
        <w:t>f</w:t>
      </w:r>
      <w:r>
        <w:rPr>
          <w:rFonts w:ascii="Times New Roman" w:cs="Times New Roman" w:eastAsia="Times New Roman" w:hAnsi="Times New Roman"/>
        </w:rPr>
        <w:t xml:space="preserve">. Hires are non-negative in every period when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because </w:t>
      </w:r>
      <w:r>
        <w:rPr>
          <w:rFonts w:ascii="Times New Roman" w:cs="Times New Roman" w:eastAsia="Times New Roman" w:hAnsi="Times New Roman"/>
          <w:i/>
        </w:rPr>
        <w:t>λf</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for </w:t>
      </w:r>
      <w:r>
        <w:rPr>
          <w:rFonts w:ascii="Times New Roman" w:cs="Times New Roman" w:eastAsia="Times New Roman" w:hAnsi="Times New Roman"/>
          <w:i/>
        </w:rPr>
        <w:t>f</w:t>
      </w:r>
      <w:r>
        <w:rPr>
          <w:rFonts w:ascii="Times New Roman" w:cs="Times New Roman" w:eastAsia="Times New Roman" w:hAnsi="Times New Roman"/>
        </w:rPr>
        <w:t xml:space="preserve"> ≤ 1. The upper bound in part (i) holds when hiring is adjusted smoothly as in equation (4); a temporary hiring freeze could produce a larger transitory fall in adverts.</w:t>
      </w:r>
    </w:p>
    <w:p>
      <w:pPr>
        <w:pStyle w:val="Heading1"/>
        <w:spacing w:after="160" w:before="360"/>
      </w:pPr>
      <w:r>
        <w:rPr>
          <w:rFonts w:ascii="Times New Roman" w:cs="Times New Roman" w:eastAsia="Times New Roman" w:hAnsi="Times New Roman"/>
          <w:b/>
          <w:bCs/>
          <w:color w:val="000000"/>
          <w:sz w:val="26"/>
          <w:szCs w:val="26"/>
        </w:rPr>
        <w:t xml:space="preserve">References</w:t>
      </w:r>
    </w:p>
    <w:p>
      <w:pPr>
        <w:spacing w:after="100"/>
        <w:ind w:left="360" w:hanging="360"/>
      </w:pPr>
      <w:r>
        <w:rPr>
          <w:rFonts w:ascii="Times New Roman" w:cs="Times New Roman" w:eastAsia="Times New Roman" w:hAnsi="Times New Roman"/>
          <w:sz w:val="21"/>
          <w:szCs w:val="21"/>
        </w:rPr>
        <w:t xml:space="preserve">Acemoglu, D., Autor, D., Hazell, J., and Restrepo, P. 2022. Artificial intelligence and jobs: Evidence from online vacancies. </w:t>
      </w:r>
      <w:r>
        <w:rPr>
          <w:rFonts w:ascii="Times New Roman" w:cs="Times New Roman" w:eastAsia="Times New Roman" w:hAnsi="Times New Roman"/>
          <w:i/>
          <w:iCs/>
          <w:sz w:val="21"/>
          <w:szCs w:val="21"/>
        </w:rPr>
        <w:t xml:space="preserve">Journal of Labor Economics</w:t>
      </w:r>
      <w:r>
        <w:rPr>
          <w:rFonts w:ascii="Times New Roman" w:cs="Times New Roman" w:eastAsia="Times New Roman" w:hAnsi="Times New Roman"/>
          <w:sz w:val="21"/>
          <w:szCs w:val="21"/>
        </w:rPr>
        <w:t xml:space="preserve"> 40(S1):S293–S340.</w:t>
      </w:r>
    </w:p>
    <w:p>
      <w:pPr>
        <w:spacing w:after="100"/>
        <w:ind w:left="360" w:hanging="360"/>
      </w:pPr>
      <w:r>
        <w:rPr>
          <w:rFonts w:ascii="Times New Roman" w:cs="Times New Roman" w:eastAsia="Times New Roman" w:hAnsi="Times New Roman"/>
          <w:sz w:val="21"/>
          <w:szCs w:val="21"/>
        </w:rPr>
        <w:t xml:space="preserve">Acemoglu, D., and Restrepo, P. 2018. The race between man and machine: Implications of technology for growth, factor shares, and employment.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108(6):1488–1542.</w:t>
      </w:r>
    </w:p>
    <w:p>
      <w:pPr>
        <w:spacing w:after="100"/>
        <w:ind w:left="360" w:hanging="360"/>
      </w:pPr>
      <w:r>
        <w:rPr>
          <w:rFonts w:ascii="Times New Roman" w:cs="Times New Roman" w:eastAsia="Times New Roman" w:hAnsi="Times New Roman"/>
          <w:sz w:val="21"/>
          <w:szCs w:val="21"/>
        </w:rPr>
        <w:t xml:space="preserve">Acemoglu, D., and Restrepo, P. 2019. Automation and new tasks: How technology displaces and reinstates labor. </w:t>
      </w:r>
      <w:r>
        <w:rPr>
          <w:rFonts w:ascii="Times New Roman" w:cs="Times New Roman" w:eastAsia="Times New Roman" w:hAnsi="Times New Roman"/>
          <w:i/>
          <w:sz w:val="21"/>
          <w:szCs w:val="21"/>
        </w:rPr>
        <w:t>Journal of Economic Perspectives</w:t>
      </w:r>
      <w:r>
        <w:rPr>
          <w:rFonts w:ascii="Times New Roman" w:cs="Times New Roman" w:eastAsia="Times New Roman" w:hAnsi="Times New Roman"/>
          <w:sz w:val="21"/>
          <w:szCs w:val="21"/>
        </w:rPr>
        <w:t xml:space="preserve"> 33(2):3–30.</w:t>
      </w:r>
    </w:p>
    <w:p>
      <w:pPr>
        <w:spacing w:after="100"/>
        <w:ind w:left="360" w:hanging="360"/>
      </w:pPr>
      <w:r>
        <w:rPr>
          <w:rFonts w:ascii="Times New Roman" w:cs="Times New Roman" w:eastAsia="Times New Roman" w:hAnsi="Times New Roman"/>
          <w:sz w:val="21"/>
          <w:szCs w:val="21"/>
        </w:rPr>
        <w:t xml:space="preserve">Aghion, P., Jones, B. F., and Jones, C. I. 2019. Artificial intelligence and economic growth. In </w:t>
      </w:r>
      <w:r>
        <w:rPr>
          <w:rFonts w:ascii="Times New Roman" w:cs="Times New Roman" w:eastAsia="Times New Roman" w:hAnsi="Times New Roman"/>
          <w:i/>
          <w:sz w:val="21"/>
          <w:szCs w:val="21"/>
        </w:rPr>
        <w:t>The Economics of Artificial Intelligence: An Agenda</w:t>
      </w:r>
      <w:r>
        <w:rPr>
          <w:rFonts w:ascii="Times New Roman" w:cs="Times New Roman" w:eastAsia="Times New Roman" w:hAnsi="Times New Roman"/>
          <w:sz w:val="21"/>
          <w:szCs w:val="21"/>
        </w:rPr>
        <w:t>, edited by A. Agrawal, J. Gans, and A. Goldfarb. Chicago: University of Chicago Press.</w:t>
      </w:r>
    </w:p>
    <w:p>
      <w:pPr>
        <w:spacing w:after="100"/>
        <w:ind w:left="360" w:hanging="360"/>
      </w:pPr>
      <w:r>
        <w:rPr>
          <w:rFonts w:ascii="Times New Roman" w:cs="Times New Roman" w:eastAsia="Times New Roman" w:hAnsi="Times New Roman"/>
          <w:sz w:val="21"/>
          <w:szCs w:val="21"/>
        </w:rPr>
        <w:t xml:space="preserve">Agrawal, A., Gans, J., and Goldfarb, A. 2018. </w:t>
      </w:r>
      <w:r>
        <w:rPr>
          <w:rFonts w:ascii="Times New Roman" w:cs="Times New Roman" w:eastAsia="Times New Roman" w:hAnsi="Times New Roman"/>
          <w:i/>
          <w:iCs/>
          <w:sz w:val="21"/>
          <w:szCs w:val="21"/>
        </w:rPr>
        <w:t xml:space="preserve">Prediction Machines: The Simple Economics of Artificial Intelligence.</w:t>
      </w:r>
      <w:r>
        <w:rPr>
          <w:rFonts w:ascii="Times New Roman" w:cs="Times New Roman" w:eastAsia="Times New Roman" w:hAnsi="Times New Roman"/>
          <w:sz w:val="21"/>
          <w:szCs w:val="21"/>
        </w:rPr>
        <w:t xml:space="preserve"> Boston: Harvard Business Review Press.</w:t>
      </w:r>
    </w:p>
    <w:p>
      <w:pPr>
        <w:spacing w:after="100"/>
        <w:ind w:left="360" w:hanging="360"/>
      </w:pPr>
      <w:r>
        <w:rPr>
          <w:rFonts w:ascii="Times New Roman" w:cs="Times New Roman" w:eastAsia="Times New Roman" w:hAnsi="Times New Roman"/>
          <w:sz w:val="21"/>
          <w:szCs w:val="21"/>
        </w:rPr>
        <w:t xml:space="preserve">Aral, S., and Weill, P. 2007. IT assets, organizational capabilities, and firm performance: How resource allocations and organizational differences explain performance variation.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18(5):763–780.</w:t>
      </w:r>
    </w:p>
    <w:p>
      <w:pPr>
        <w:spacing w:after="100"/>
        <w:ind w:left="360" w:hanging="360"/>
      </w:pPr>
      <w:r>
        <w:rPr>
          <w:rFonts w:ascii="Times New Roman" w:cs="Times New Roman" w:eastAsia="Times New Roman" w:hAnsi="Times New Roman"/>
          <w:sz w:val="21"/>
          <w:szCs w:val="21"/>
        </w:rPr>
        <w:t xml:space="preserve">Attewell, P. 1992. Technology diffusion and organizational learning: The case of business computing.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3(1):1–19.</w:t>
      </w:r>
    </w:p>
    <w:p>
      <w:pPr>
        <w:spacing w:after="100"/>
        <w:ind w:left="360" w:hanging="360"/>
      </w:pPr>
      <w:r>
        <w:rPr>
          <w:rFonts w:ascii="Times New Roman" w:cs="Times New Roman" w:eastAsia="Times New Roman" w:hAnsi="Times New Roman"/>
          <w:sz w:val="21"/>
          <w:szCs w:val="21"/>
        </w:rPr>
        <w:t xml:space="preserve">Baumol, W. J. 1967. Macroeconomics of unbalanced growth: The anatomy of urban crisis.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57(3):415–426.</w:t>
      </w:r>
    </w:p>
    <w:p>
      <w:pPr>
        <w:spacing w:after="100"/>
        <w:ind w:left="360" w:hanging="360"/>
      </w:pPr>
      <w:r>
        <w:rPr>
          <w:rFonts w:ascii="Times New Roman" w:cs="Times New Roman" w:eastAsia="Times New Roman" w:hAnsi="Times New Roman"/>
          <w:sz w:val="21"/>
          <w:szCs w:val="21"/>
        </w:rPr>
        <w:t xml:space="preserve">Bresnahan, T. F., and Trajtenberg, M. 1995. General purpose technologies: “Engines of growth”? </w:t>
      </w:r>
      <w:r>
        <w:rPr>
          <w:rFonts w:ascii="Times New Roman" w:cs="Times New Roman" w:eastAsia="Times New Roman" w:hAnsi="Times New Roman"/>
          <w:i/>
          <w:iCs/>
          <w:sz w:val="21"/>
          <w:szCs w:val="21"/>
        </w:rPr>
        <w:t xml:space="preserve">Journal of Econometrics</w:t>
      </w:r>
      <w:r>
        <w:rPr>
          <w:rFonts w:ascii="Times New Roman" w:cs="Times New Roman" w:eastAsia="Times New Roman" w:hAnsi="Times New Roman"/>
          <w:sz w:val="21"/>
          <w:szCs w:val="21"/>
        </w:rPr>
        <w:t xml:space="preserve"> 65(1):83–108.</w:t>
      </w:r>
    </w:p>
    <w:p>
      <w:pPr>
        <w:spacing w:after="100"/>
        <w:ind w:left="360" w:hanging="360"/>
      </w:pPr>
      <w:r>
        <w:rPr>
          <w:rFonts w:ascii="Times New Roman" w:cs="Times New Roman" w:eastAsia="Times New Roman" w:hAnsi="Times New Roman"/>
          <w:sz w:val="21"/>
          <w:szCs w:val="21"/>
        </w:rPr>
        <w:t xml:space="preserve">Brynjolfsson, E., and Hitt, L. M. 2000. Beyond computation: Information technology, organizational transformation and business performance. </w:t>
      </w:r>
      <w:r>
        <w:rPr>
          <w:rFonts w:ascii="Times New Roman" w:cs="Times New Roman" w:eastAsia="Times New Roman" w:hAnsi="Times New Roman"/>
          <w:i/>
          <w:iCs/>
          <w:sz w:val="21"/>
          <w:szCs w:val="21"/>
        </w:rPr>
        <w:t xml:space="preserve">Journal of Economic Perspectives</w:t>
      </w:r>
      <w:r>
        <w:rPr>
          <w:rFonts w:ascii="Times New Roman" w:cs="Times New Roman" w:eastAsia="Times New Roman" w:hAnsi="Times New Roman"/>
          <w:sz w:val="21"/>
          <w:szCs w:val="21"/>
        </w:rPr>
        <w:t xml:space="preserve"> 14(4):23–48.</w:t>
      </w:r>
    </w:p>
    <w:p>
      <w:pPr>
        <w:spacing w:after="100"/>
        <w:ind w:left="360" w:hanging="360"/>
      </w:pPr>
      <w:r>
        <w:rPr>
          <w:rFonts w:ascii="Times New Roman" w:cs="Times New Roman" w:eastAsia="Times New Roman" w:hAnsi="Times New Roman"/>
          <w:sz w:val="21"/>
          <w:szCs w:val="21"/>
        </w:rPr>
        <w:t xml:space="preserve">Brynjolfsson, E., Li, D., and Raymond, L. 2025. Generative AI at work. </w:t>
      </w:r>
      <w:r>
        <w:rPr>
          <w:rFonts w:ascii="Times New Roman" w:cs="Times New Roman" w:eastAsia="Times New Roman" w:hAnsi="Times New Roman"/>
          <w:i/>
          <w:iCs/>
          <w:sz w:val="21"/>
          <w:szCs w:val="21"/>
        </w:rPr>
        <w:t xml:space="preserve">The Quarterly Journal of Economics</w:t>
      </w:r>
      <w:r>
        <w:rPr>
          <w:rFonts w:ascii="Times New Roman" w:cs="Times New Roman" w:eastAsia="Times New Roman" w:hAnsi="Times New Roman"/>
          <w:sz w:val="21"/>
          <w:szCs w:val="21"/>
        </w:rPr>
        <w:t xml:space="preserve"> 140(2):889–942.</w:t>
      </w:r>
    </w:p>
    <w:p>
      <w:pPr>
        <w:spacing w:after="100"/>
        <w:ind w:left="360" w:hanging="360"/>
      </w:pPr>
      <w:r>
        <w:rPr>
          <w:rFonts w:ascii="Times New Roman" w:cs="Times New Roman" w:eastAsia="Times New Roman" w:hAnsi="Times New Roman"/>
          <w:sz w:val="21"/>
          <w:szCs w:val="21"/>
        </w:rPr>
        <w:t xml:space="preserve">Brynjolfsson, E., Rock, D., and Syverson, C. 2021. The productivity J-curve: How intangibles complement general purpose technologies. </w:t>
      </w:r>
      <w:r>
        <w:rPr>
          <w:rFonts w:ascii="Times New Roman" w:cs="Times New Roman" w:eastAsia="Times New Roman" w:hAnsi="Times New Roman"/>
          <w:i/>
          <w:iCs/>
          <w:sz w:val="21"/>
          <w:szCs w:val="21"/>
        </w:rPr>
        <w:t xml:space="preserve">American Economic Journal: Macroeconomics</w:t>
      </w:r>
      <w:r>
        <w:rPr>
          <w:rFonts w:ascii="Times New Roman" w:cs="Times New Roman" w:eastAsia="Times New Roman" w:hAnsi="Times New Roman"/>
          <w:sz w:val="21"/>
          <w:szCs w:val="21"/>
        </w:rPr>
        <w:t xml:space="preserve"> 13(1):333–372.</w:t>
      </w:r>
    </w:p>
    <w:p>
      <w:pPr>
        <w:spacing w:after="100"/>
        <w:ind w:left="360" w:hanging="360"/>
      </w:pPr>
      <w:r>
        <w:rPr>
          <w:rFonts w:ascii="Times New Roman" w:cs="Times New Roman" w:eastAsia="Times New Roman" w:hAnsi="Times New Roman"/>
          <w:sz w:val="21"/>
          <w:szCs w:val="21"/>
        </w:rPr>
        <w:t xml:space="preserve">Cooper, R. B., and Zmud, R. W. 1990. Information technology implementation research: A technological diffusion approach.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36(2):123–139.</w:t>
      </w:r>
    </w:p>
    <w:p>
      <w:pPr>
        <w:spacing w:after="100"/>
        <w:ind w:left="360" w:hanging="360"/>
      </w:pPr>
      <w:r>
        <w:rPr>
          <w:rFonts w:ascii="Times New Roman" w:cs="Times New Roman" w:eastAsia="Times New Roman" w:hAnsi="Times New Roman"/>
          <w:sz w:val="21"/>
          <w:szCs w:val="21"/>
        </w:rPr>
        <w:t xml:space="preserve">David, P. A. 1990. The dynamo and the computer: An historical perspective on the modern productivity paradox. </w:t>
      </w:r>
      <w:r>
        <w:rPr>
          <w:rFonts w:ascii="Times New Roman" w:cs="Times New Roman" w:eastAsia="Times New Roman" w:hAnsi="Times New Roman"/>
          <w:i/>
          <w:iCs/>
          <w:sz w:val="21"/>
          <w:szCs w:val="21"/>
        </w:rPr>
        <w:t xml:space="preserve">American Economic Review</w:t>
      </w:r>
      <w:r>
        <w:rPr>
          <w:rFonts w:ascii="Times New Roman" w:cs="Times New Roman" w:eastAsia="Times New Roman" w:hAnsi="Times New Roman"/>
          <w:sz w:val="21"/>
          <w:szCs w:val="21"/>
        </w:rPr>
        <w:t xml:space="preserve"> 80(2):355–361.</w:t>
      </w:r>
    </w:p>
    <w:p>
      <w:pPr>
        <w:spacing w:after="100"/>
        <w:ind w:left="360" w:hanging="360"/>
      </w:pPr>
      <w:r>
        <w:rPr>
          <w:rFonts w:ascii="Times New Roman" w:cs="Times New Roman" w:eastAsia="Times New Roman" w:hAnsi="Times New Roman"/>
          <w:sz w:val="21"/>
          <w:szCs w:val="21"/>
        </w:rPr>
        <w:t xml:space="preserve">Demirci, O., Hannane, J., and Zhu, X. 2025. Who is AI replacing? The impact of generative AI on online freelancing platforms.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71(10):8097–8108.</w:t>
      </w:r>
    </w:p>
    <w:p>
      <w:pPr>
        <w:spacing w:after="100"/>
        <w:ind w:left="360" w:hanging="360"/>
      </w:pPr>
      <w:r>
        <w:rPr>
          <w:rFonts w:ascii="Times New Roman" w:cs="Times New Roman" w:eastAsia="Times New Roman" w:hAnsi="Times New Roman"/>
          <w:sz w:val="21"/>
          <w:szCs w:val="21"/>
        </w:rPr>
        <w:t xml:space="preserve">Eloundou, T., Manning, S., Mishkin, P., and Rock, D. 2023. GPTs are GPTs: An early look at the labor market impact potential of large language models. arXiv:2303.10130.</w:t>
      </w:r>
    </w:p>
    <w:p>
      <w:pPr>
        <w:spacing w:after="100"/>
        <w:ind w:left="360" w:hanging="360"/>
      </w:pPr>
      <w:r>
        <w:rPr>
          <w:rFonts w:ascii="Times New Roman" w:cs="Times New Roman" w:eastAsia="Times New Roman" w:hAnsi="Times New Roman"/>
          <w:sz w:val="21"/>
          <w:szCs w:val="21"/>
        </w:rPr>
        <w:t xml:space="preserve">Eurostat. ICT usage in enterprises; online job advertisements by occupation (experimental); Labour Force Survey. Accessed via the Eurostat dissemination API.</w:t>
      </w:r>
    </w:p>
    <w:p>
      <w:pPr>
        <w:spacing w:after="100"/>
        <w:ind w:left="360" w:hanging="360"/>
      </w:pPr>
      <w:r>
        <w:rPr>
          <w:rFonts w:ascii="Times New Roman" w:cs="Times New Roman" w:eastAsia="Times New Roman" w:hAnsi="Times New Roman"/>
          <w:sz w:val="21"/>
          <w:szCs w:val="21"/>
        </w:rPr>
        <w:t xml:space="preserve">Felten, E., Raj, M., and Seamans, R. 2021. Occupational, industry, and geographic exposure to artificial intelligence. </w:t>
      </w:r>
      <w:r>
        <w:rPr>
          <w:rFonts w:ascii="Times New Roman" w:cs="Times New Roman" w:eastAsia="Times New Roman" w:hAnsi="Times New Roman"/>
          <w:i/>
          <w:iCs/>
          <w:sz w:val="21"/>
          <w:szCs w:val="21"/>
        </w:rPr>
        <w:t xml:space="preserve">Strategic Management Journal</w:t>
      </w:r>
      <w:r>
        <w:rPr>
          <w:rFonts w:ascii="Times New Roman" w:cs="Times New Roman" w:eastAsia="Times New Roman" w:hAnsi="Times New Roman"/>
          <w:sz w:val="21"/>
          <w:szCs w:val="21"/>
        </w:rPr>
        <w:t xml:space="preserve"> 42(12):2195–2217.</w:t>
      </w:r>
    </w:p>
    <w:p>
      <w:pPr>
        <w:spacing w:after="100"/>
        <w:ind w:left="360" w:hanging="360"/>
      </w:pPr>
      <w:r>
        <w:rPr>
          <w:rFonts w:ascii="Times New Roman" w:cs="Times New Roman" w:eastAsia="Times New Roman" w:hAnsi="Times New Roman"/>
          <w:sz w:val="21"/>
          <w:szCs w:val="21"/>
        </w:rPr>
        <w:t xml:space="preserve">Fichman, R. G., and Kemerer, C. F. 1999. The illusory diffusion of innovation: An examination of assimilation gaps.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10(3):255–275.</w:t>
      </w:r>
    </w:p>
    <w:p>
      <w:pPr>
        <w:spacing w:after="100"/>
        <w:ind w:left="360" w:hanging="360"/>
      </w:pPr>
      <w:r>
        <w:rPr>
          <w:rFonts w:ascii="Times New Roman" w:cs="Times New Roman" w:eastAsia="Times New Roman" w:hAnsi="Times New Roman"/>
          <w:sz w:val="21"/>
          <w:szCs w:val="21"/>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35(6):1977–1989.</w:t>
      </w:r>
    </w:p>
    <w:p>
      <w:pPr>
        <w:spacing w:after="100"/>
        <w:ind w:left="360" w:hanging="360"/>
      </w:pPr>
      <w:r>
        <w:rPr>
          <w:rFonts w:ascii="Times New Roman" w:cs="Times New Roman" w:eastAsia="Times New Roman" w:hAnsi="Times New Roman"/>
          <w:sz w:val="21"/>
          <w:szCs w:val="21"/>
        </w:rPr>
        <w:t xml:space="preserve">Indeed Hiring Lab. Job Postings Index, by sector, United States. Creative Commons Attribution 4.0.</w:t>
      </w:r>
    </w:p>
    <w:p>
      <w:pPr>
        <w:spacing w:after="100"/>
        <w:ind w:left="360" w:hanging="360"/>
      </w:pPr>
      <w:r>
        <w:rPr>
          <w:rFonts w:ascii="Times New Roman" w:cs="Times New Roman" w:eastAsia="Times New Roman" w:hAnsi="Times New Roman"/>
          <w:sz w:val="21"/>
          <w:szCs w:val="21"/>
        </w:rPr>
        <w:t xml:space="preserve">Kim, S., Jin, G. Z., and Lee, E. 2026. Does generative AI crowd out human creators? Evidence from Pixiv. NBER Working Paper 34733.</w:t>
      </w:r>
    </w:p>
    <w:p>
      <w:pPr>
        <w:spacing w:after="100"/>
        <w:ind w:left="360" w:hanging="360"/>
      </w:pPr>
      <w:r>
        <w:rPr>
          <w:rFonts w:ascii="Times New Roman" w:cs="Times New Roman" w:eastAsia="Times New Roman" w:hAnsi="Times New Roman"/>
          <w:sz w:val="21"/>
          <w:szCs w:val="21"/>
        </w:rPr>
        <w:t xml:space="preserve">Melville, N., Kraemer, K., and Gurbaxani, V. 2004. Information technology and organizational performance: An integrative model of IT business value. </w:t>
      </w:r>
      <w:r>
        <w:rPr>
          <w:rFonts w:ascii="Times New Roman" w:cs="Times New Roman" w:eastAsia="Times New Roman" w:hAnsi="Times New Roman"/>
          <w:i/>
          <w:iCs/>
          <w:sz w:val="21"/>
          <w:szCs w:val="21"/>
        </w:rPr>
        <w:t xml:space="preserve">MIS Quarterly</w:t>
      </w:r>
      <w:r>
        <w:rPr>
          <w:rFonts w:ascii="Times New Roman" w:cs="Times New Roman" w:eastAsia="Times New Roman" w:hAnsi="Times New Roman"/>
          <w:sz w:val="21"/>
          <w:szCs w:val="21"/>
        </w:rPr>
        <w:t xml:space="preserve"> 28(2):283–322.</w:t>
      </w:r>
    </w:p>
    <w:p>
      <w:pPr>
        <w:spacing w:after="100"/>
        <w:ind w:left="360" w:hanging="360"/>
      </w:pPr>
      <w:r>
        <w:rPr>
          <w:rFonts w:ascii="Times New Roman" w:cs="Times New Roman" w:eastAsia="Times New Roman" w:hAnsi="Times New Roman"/>
          <w:sz w:val="21"/>
          <w:szCs w:val="21"/>
        </w:rPr>
        <w:t xml:space="preserve">National Center for O</w:t>
      </w:r>
      <w:r>
        <w:rPr>
          <w:rFonts w:ascii="Times New Roman" w:cs="Times New Roman" w:eastAsia="Times New Roman" w:hAnsi="Times New Roman"/>
          <w:i/>
          <w:iCs/>
          <w:sz w:val="21"/>
          <w:szCs w:val="21"/>
        </w:rPr>
        <w:t xml:space="preserve">NET Development. O</w:t>
      </w:r>
      <w:r>
        <w:rPr>
          <w:rFonts w:ascii="Times New Roman" w:cs="Times New Roman" w:eastAsia="Times New Roman" w:hAnsi="Times New Roman"/>
          <w:sz w:val="21"/>
          <w:szCs w:val="21"/>
        </w:rPr>
        <w:t xml:space="preserve">NET Database, version 29.1, and ESCO crosswalk. Creative Commons Attribution 4.0.</w:t>
      </w:r>
    </w:p>
    <w:p>
      <w:pPr>
        <w:spacing w:after="100"/>
        <w:ind w:left="360" w:hanging="360"/>
      </w:pPr>
      <w:r>
        <w:rPr>
          <w:rFonts w:ascii="Times New Roman" w:cs="Times New Roman" w:eastAsia="Times New Roman" w:hAnsi="Times New Roman"/>
          <w:sz w:val="21"/>
          <w:szCs w:val="21"/>
        </w:rPr>
        <w:t xml:space="preserve">Statistics Canada. Job vacancies by occupation, table 14-10-0444; NOC 2021. Statistics Canada Open Licence.</w:t>
      </w:r>
    </w:p>
    <w:p>
      <w:pPr>
        <w:spacing w:after="100"/>
        <w:ind w:left="360" w:hanging="360"/>
      </w:pPr>
      <w:r>
        <w:rPr>
          <w:rFonts w:ascii="Times New Roman" w:cs="Times New Roman" w:eastAsia="Times New Roman" w:hAnsi="Times New Roman"/>
          <w:sz w:val="21"/>
          <w:szCs w:val="21"/>
        </w:rPr>
        <w:t>U.S. Census Bureau. Business Trends and Outlook Survey (BTOS), sector estimates. Public-use tables.</w:t>
      </w:r>
    </w:p>
    <w:p>
      <w:pPr>
        <w:spacing w:after="100"/>
        <w:ind w:left="360" w:hanging="360"/>
      </w:pPr>
      <w:r>
        <w:rPr>
          <w:rFonts w:ascii="Times New Roman" w:cs="Times New Roman" w:eastAsia="Times New Roman" w:hAnsi="Times New Roman"/>
          <w:sz w:val="21"/>
          <w:szCs w:val="21"/>
        </w:rPr>
        <w:t xml:space="preserve">Webb, M. 2020. The impact of artificial intelligence on the labor market. SSRN 3482150.</w:t>
      </w:r>
    </w:p>
    <w:p>
      <w:pPr>
        <w:spacing w:after="100"/>
        <w:ind w:left="360" w:hanging="360"/>
      </w:pPr>
      <w:r>
        <w:rPr>
          <w:rFonts w:ascii="Times New Roman" w:cs="Times New Roman" w:eastAsia="Times New Roman" w:hAnsi="Times New Roman"/>
          <w:sz w:val="21"/>
          <w:szCs w:val="21"/>
        </w:rPr>
        <w:t xml:space="preserve">Zhou, E., and Lee, D. 2024. Generative artificial intelligence, human creativity, and art. </w:t>
      </w:r>
      <w:r>
        <w:rPr>
          <w:rFonts w:ascii="Times New Roman" w:cs="Times New Roman" w:eastAsia="Times New Roman" w:hAnsi="Times New Roman"/>
          <w:i/>
          <w:iCs/>
          <w:sz w:val="21"/>
          <w:szCs w:val="21"/>
        </w:rPr>
        <w:t xml:space="preserve">PNAS Nexus</w:t>
      </w:r>
      <w:r>
        <w:rPr>
          <w:rFonts w:ascii="Times New Roman" w:cs="Times New Roman" w:eastAsia="Times New Roman" w:hAnsi="Times New Roman"/>
          <w:sz w:val="21"/>
          <w:szCs w:val="21"/>
        </w:rPr>
        <w:t xml:space="preserve"> 3(3):pgae052.</w:t>
      </w:r>
    </w:p>
    <w:p>
      <w:pPr>
        <w:spacing w:after="100"/>
        <w:ind w:left="360" w:hanging="360"/>
      </w:pPr>
      <w:r>
        <w:rPr>
          <w:rFonts w:ascii="Times New Roman" w:cs="Times New Roman" w:eastAsia="Times New Roman" w:hAnsi="Times New Roman"/>
          <w:sz w:val="21"/>
          <w:szCs w:val="21"/>
        </w:rPr>
        <w:t xml:space="preserve">Zhu, K., and Kraemer, K. L. 2005. Post-adoption variations in usage and value of e-business by organizations: Cross-country evidence from the retail industry.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16(1):61–84.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2026-10-04T12:32:29.742Z</dcterms:created>
  <dcterms:modified xsi:type="dcterms:W3CDTF">2026-10-04T12:32:29.746Z</dcterms:modified>
</cp:coreProperties>
</file>

<file path=docProps/custom.xml><?xml version="1.0" encoding="utf-8"?>
<Properties xmlns="http://schemas.openxmlformats.org/officeDocument/2006/custom-properties" xmlns:vt="http://schemas.openxmlformats.org/officeDocument/2006/docPropsVTypes"/>
</file>