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4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Two larger commercial models (Sonnet 5.5 and Opus 5.5) did not skip in any of 4,320 first choices each. Enabling extended thinking in the fast model lowered skipping to 9.7%.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two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8 report the four studies. Section 9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and a recent study of reasoning effort asked whether agents facing an unreachable target use a forbidden tool, finding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commercial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three commercial models: Haiku 4.5 (temperature 0.7), Sonnet 5.5, and Opus 5.5; Studies 3 and 4 used Haiku 4.5. The Sonnet and Opus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4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and Opus 5.5,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Because the contrast cannot be estimated, these models neither support nor contradict a frame effect; this environment elicited no skipping from them under any of the 48 sentences.</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and Opus 5.5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Discussion</w:t>
      </w:r>
    </w:p>
    <w:p>
      <w:pPr>
        <w:pStyle w:val="Heading2"/>
        <w:keepNext/>
        <w:spacing w:after="0" w:before="0" w:line="480"/>
      </w:pPr>
      <w:r>
        <w:rPr>
          <w:rFonts w:ascii="Times New Roman" w:cs="Times New Roman" w:eastAsia="Times New Roman" w:hAnsi="Times New Roman"/>
          <w:b/>
          <w:bCs/>
          <w:i/>
          <w:iCs/>
          <w:sz w:val="24"/>
          <w:szCs w:val="24"/>
        </w:rPr>
        <w:t xml:space="preserve">9.1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three commercial tiers of Study 2, or in the fast tier with thinking or with the target manipulated in Studies 3 and 4. Where skipping occurs, it is associated with a visible target under time pressure, loss text goes with less of it, and reasoning removes most of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9.2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9.3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9.4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and Opus 5.5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4 were designed after Study 1 and were not registered. Their analysis scripts were written before the runs and their contrasts are descriptive, but the questions they answer were shaped by earlier output, the three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the operator sees only qualitative option descriptions, so the dominance of verification is visible to the designer but not to the operator; with few turns left, skipping can be a defensible trade-off from the operator's information, so the skipping we observe is not clearly the expected-value-inferior choice that condition (2) of our definition requires.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9.5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Four studies with independently generated wordings suggest that, in the fast commercial model that skips, the shortcut is associated with a visible target under time pressure, is lower under loss text, and is largely absent with reasoning, and that two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The analysis scripts for Studies 2 to 4 were committed before the runs they analyze. Studies 2 to 4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e99db501ccbe3e1c9a3dfd8b3d8bc36b797f2c9.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2026-10-01T09:04:01.608Z</dcterms:created>
  <dcterms:modified xsi:type="dcterms:W3CDTF">2026-10-01T09:04:01.609Z</dcterms:modified>
</cp:coreProperties>
</file>

<file path=docProps/custom.xml><?xml version="1.0" encoding="utf-8"?>
<Properties xmlns="http://schemas.openxmlformats.org/officeDocument/2006/custom-properties" xmlns:vt="http://schemas.openxmlformats.org/officeDocument/2006/docPropsVTypes"/>
</file>