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We then examine measurable counterparts of the theory in public leaderboard, endpoint-price, and SEC filing data. The evidence is directionally consistent with the predictions but rests on small samples, and we identify what it can and cannot establish.</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take the resulting predictions to public data.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how large it is likely to be, and when it will disappear. Second, we define appropriability ex ante, as expected imitation lag and cost, and show how that definition yields testable constructs (quality lead, imitation lag, and organizational capital) that can be measured from public sources. Third, we offer a first empirical look at these constructs using leaderboard, endpoint-price, and regulatory filing data, and we are explicit about the limits of these tests.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the hypotheses, and Section 6 reports results.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End w:id="39"/>
    <w:bookmarkStart w:id="43" w:name="results"/>
    <w:p>
      <w:pPr>
        <w:pStyle w:val="Heading1"/>
      </w:pPr>
      <w:r>
        <w:t xml:space="preserve">6. Results</w:t>
      </w:r>
    </w:p>
    <w:p>
      <w:pPr>
        <w:pStyle w:val="FirstParagraph"/>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inference uses the restricted wild cluster bootstrap with Webb weights (Cameron et al. 2008, Webb 2023), because the panel contains few labs. On the adopter side, the baseline is a two-way fixed-effects regression of operating margin on a post-GA indicator with firm and year effects. Under staggered treatment this estimator can be biased (Goodman-Bacon 2021), so heterogeneity-robust estimators (Callaway and Sant’Anna 2021, Sun and Abraham 2021) serve as complementary specifications. We report what has been estimated and indicate where an analysis has not yet been run.</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until bootstrap inference is reported.</w:t>
      </w:r>
      <w:r>
        <w:t xml:space="preserve"> </w:t>
      </w:r>
      <w:r>
        <w:rPr>
          <w:bCs/>
          <w:b/>
        </w:rPr>
        <w:t xml:space="preserve">[AUTHORS TO COMPLETE: wild cluster bootstrap p-values for both samples.]</w:t>
      </w:r>
      <w:r>
        <w:t xml:space="preserve"> </w:t>
      </w:r>
      <w:r>
        <w:t xml:space="preserve">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w:t>
      </w:r>
      <w:r>
        <w:t xml:space="preserve"> </w:t>
      </w:r>
      <w:r>
        <w:rPr>
          <w:bCs/>
          <w:b/>
        </w:rPr>
        <w:t xml:space="preserve">[AUTHORS TO COMPLETE: model-month estimates for H1a and launch-price regression for H1b, with the catch-up event-study figure.]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Pooled exposure without a coded GA year does not predict operating margin.</w:t>
      </w:r>
      <w:r>
        <w:t xml:space="preserve"> </w:t>
      </w:r>
      <w:r>
        <w:rPr>
          <w:bCs/>
          <w:b/>
        </w:rPr>
        <w:t xml:space="preserve">[AUTHORS TO COMPLETE: coefficient, standard error, and p-value.]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baseline estimate may be biased and may reflect non-AI margin trends, so we read it together with the complementary specifications and not as a stand-alone test of H3.</w:t>
      </w:r>
      <w:r>
        <w:t xml:space="preserve"> </w:t>
      </w:r>
      <w:r>
        <w:rPr>
          <w:bCs/>
          <w:b/>
        </w:rPr>
        <w:t xml:space="preserve">[AUTHORS TO COMPLETE: heterogeneity-robust estimates, SIC-by-year and trend specifications, matched-control estimates, placebo, randomization inference, and the gross-margin versus operating-expense decomposition.]</w:t>
      </w:r>
      <w:r>
        <w:t xml:space="preserve"> </w:t>
      </w:r>
      <w:r>
        <w:t xml:space="preserve">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so the point estimates alone do not establish decay, and we do not claim support for H4.</w:t>
      </w:r>
      <w:r>
        <w:t xml:space="preserve"> </w:t>
      </w:r>
      <w:r>
        <w:rPr>
          <w:bCs/>
          <w:b/>
        </w:rPr>
        <w:t xml:space="preserve">[AUTHORS TO COMPLETE: direct test of equality of</w:t>
      </w:r>
      <w:r>
        <w:rPr>
          <w:bCs/>
          <w:b/>
        </w:rPr>
        <w:t xml:space="preserve"> </w:t>
      </w:r>
      <m:oMath>
        <m:r>
          <m:t>t</m:t>
        </m:r>
        <m:r>
          <m:rPr>
            <m:sty m:val="p"/>
          </m:rPr>
          <m:t>+</m:t>
        </m:r>
        <m:r>
          <m:t>1</m:t>
        </m:r>
      </m:oMath>
      <w:r>
        <w:rPr>
          <w:bCs/>
          <w:b/>
        </w:rPr>
        <w:t xml:space="preserve"> </w:t>
      </w:r>
      <w:r>
        <w:rPr>
          <w:bCs/>
          <w:b/>
        </w:rPr>
        <w:t xml:space="preserve">and the last post-GA bin, and joint test of pre-GA coefficients.]</w:t>
      </w:r>
      <w:r>
        <w:t xml:space="preserve"> </w:t>
      </w:r>
      <w:r>
        <w:t xml:space="preserve">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and while the robust estimators address that bias, they still rest on parallel trends, which the matched-control and trend specifications relax only partly.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The tests here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Callaway, B., and Sant’Anna, P. H. C. 2021. Difference-in-differences with multiple time periods.</w:t>
      </w:r>
      <w:r>
        <w:t xml:space="preserve"> </w:t>
      </w:r>
      <w:r>
        <w:rPr>
          <w:iCs/>
          <w:i/>
        </w:rPr>
        <w:t xml:space="preserve">Journal of Econometrics</w:t>
      </w:r>
      <w:r>
        <w:t xml:space="preserve"> </w:t>
      </w:r>
      <w:r>
        <w:t xml:space="preserve">225(2):200–230.</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Sun, L., and Abraham, S. 2021. Estimating dynamic treatment effects in event studies with heterogeneous treatment effects.</w:t>
      </w:r>
      <w:r>
        <w:t xml:space="preserve"> </w:t>
      </w:r>
      <w:r>
        <w:rPr>
          <w:iCs/>
          <w:i/>
        </w:rPr>
        <w:t xml:space="preserve">Journal of Econometrics</w:t>
      </w:r>
      <w:r>
        <w:t xml:space="preserve"> </w:t>
      </w:r>
      <w:r>
        <w:t xml:space="preserve">225(2):175–199.</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Webb, M. D. 2023. Reworking wild bootstrap-based inference for clustered errors.</w:t>
      </w:r>
      <w:r>
        <w:t xml:space="preserve"> </w:t>
      </w:r>
      <w:r>
        <w:rPr>
          <w:iCs/>
          <w:i/>
        </w:rPr>
        <w:t xml:space="preserve">Canadian Journal of Economics</w:t>
      </w:r>
      <w:r>
        <w:t xml:space="preserve"> </w:t>
      </w:r>
      <w:r>
        <w:t xml:space="preserve">56(3):839–858.</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2026-10-20T23:14:39Z</dcterms:created>
  <dcterms:modified xsi:type="dcterms:W3CDTF">2026-10-20T23:14:39Z</dcterms:modified>
</cp:coreProperties>
</file>

<file path=docProps/custom.xml><?xml version="1.0" encoding="utf-8"?>
<Properties xmlns="http://schemas.openxmlformats.org/officeDocument/2006/custom-properties" xmlns:vt="http://schemas.openxmlformats.org/officeDocument/2006/docPropsVTypes"/>
</file>