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which is the no-deterrence counterpart of scoring-based audit rules (Dionne et al. 2009) and is not claimed as new in form,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In image-classification experiments, an AI that delegated uncertain cases to people improved on the AI alone, whereas people who delegated to the AI did not, because they could not judge accurately which cases they would get wrong (Fügener et al. 2022).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Scoring-based audit theory likewise yields threshold rules, including under a budget constraint (Dionne et al. 2009).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randomized and exists to deter misreporting. When a score of suspicion is available, the optimal audit rule becomes a deterministic</w:t>
      </w:r>
      <w:r>
        <w:t xml:space="preserve"> </w:t>
      </w:r>
      <w:r>
        <w:t xml:space="preserve">“</w:t>
      </w:r>
      <w:r>
        <w:t xml:space="preserve">red flags</w:t>
      </w:r>
      <w:r>
        <w:t xml:space="preserve">”</w:t>
      </w:r>
      <w:r>
        <w:t xml:space="preserve"> </w:t>
      </w:r>
      <w:r>
        <w:t xml:space="preserve">threshold from the auditor’s viewpoint, and deterrence can justify auditing cases whose direct expected gain is negative (Dionne et al. 2009). A language model does not respond strategically to being checked. Its errors arise from a random process whose intensity the organization can estimate, and with no deterrence to produce, the optimal policy is the direct benefit-cost threshold rule (Proposition 4), the counterpart of the scoring-based rule in which every audit must pay for itself.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p>
      <w:pPr>
        <w:pStyle w:val="BodyText"/>
      </w:pPr>
      <w:r>
        <w:t xml:space="preserve">Provenance metadata kept to route review should not be confused with labels shown to audiences, because disclosure can change the behavior of those who produce content. In creative work with a text-to-image tool, creators who anticipated that their use of generative AI would be disclosed to an audience largely withdrew from the process and left image generation to the tool; the authors suggest that more nuanced, process-level provenance records, in the manner of content-provenance standards, may mitigate this, and they leave open whether the effect extends to writing and to more technical tasks (Jussupow et al. 2026). Whether recording which model produced a text changes how its authors use the tool is, in our setting, an open question that an experiment would have to answer.</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Explanations attached to a flag are not neutral either: in two experiments with a prediction task, feature-based explanations changed how users weighted information and lowered the investment performance of laypeople relative to opaque predictions, with users updating more toward explanations that confirmed their prior beliefs (Bauer et al. 2023). Those tasks were numerical prediction, not review of generated text, so we treat the result as a reason to test, not to assume, that adding explanations to flags helps reviewers. A related caution concerns redundancy. In image-classification experiments, giving people AI advice raised individual accuracy but made their answers more alike and so reduced the unique knowledge a group of people could contribute (Fügener et al. 2021). If several reviewers see the same machine flag, their misses may become correlated, which would lower the value of a second independent check; we have not modeled this. Our model suggests where such designs matter most: for units of high predicted risk, where the cost of an accepted false flag or a missed error is largest and where direct human verification may dominate screening. Evidence on the limits of self-assessment points the same way: in image-classification experiments, people who chose which cases to delegate to an AI did not improve on working alone, because they misjudged which cases they would classify wrongly (Fügener et al. 2022). This supports routing review by externally recorded signals such as the generating model rather than by the reviewer’s own sense of where errors lie, although those experiments concerned image classification, not checking generated text, and we have no direct test.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Bauer K, von Zahn M, Hinz O (2023) Expl(AI)ned: The impact of explainable artificial intelligence on users’ information processing.</w:t>
      </w:r>
      <w:r>
        <w:t xml:space="preserve"> </w:t>
      </w:r>
      <w:r>
        <w:rPr>
          <w:iCs/>
          <w:i/>
        </w:rPr>
        <w:t xml:space="preserve">Inform. Systems Res.</w:t>
      </w:r>
      <w:r>
        <w:t xml:space="preserve"> </w:t>
      </w:r>
      <w:r>
        <w:t xml:space="preserve">34(4):1582–1602.</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Dionne G, Giuliano F, Picard P (2009) Optimal auditing with scoring: Theory and application to insurance fraud.</w:t>
      </w:r>
      <w:r>
        <w:t xml:space="preserve"> </w:t>
      </w:r>
      <w:r>
        <w:rPr>
          <w:iCs/>
          <w:i/>
        </w:rPr>
        <w:t xml:space="preserve">Management Sci.</w:t>
      </w:r>
      <w:r>
        <w:t xml:space="preserve"> </w:t>
      </w:r>
      <w:r>
        <w:t xml:space="preserve">55(1):58–70.</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Jussupow E, Bauer K, Heigl RM, Vogt B, Hinz O (2026) The indirect disclosure effect: How disclosing generative AI use impacts human creative collaboration with AI.</w:t>
      </w:r>
      <w:r>
        <w:t xml:space="preserve"> </w:t>
      </w:r>
      <w:r>
        <w:rPr>
          <w:iCs/>
          <w:i/>
        </w:rPr>
        <w:t xml:space="preserve">Inform. Systems Res.</w:t>
      </w:r>
      <w:r>
        <w:t xml:space="preserve"> </w:t>
      </w:r>
      <w:r>
        <w:t xml:space="preserve">Published online ahead of print August 27, https://doi.org/10.1287/isre.2024.0951.</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et al.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 [AUTHORS: complete author list and venue.]</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 [AUTHORS: update volume and pages if the article has appeared in an issue.]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et al. (2025) Investigating factuality in long-form text generation: The roles of self-known and self-unknown.</w:t>
      </w:r>
      <w:r>
        <w:t xml:space="preserve"> </w:t>
      </w:r>
      <w:r>
        <w:rPr>
          <w:iCs/>
          <w:i/>
        </w:rPr>
        <w:t xml:space="preserve">Proc. 2025 Conf. Empirical Methods Natural Language Processing</w:t>
      </w:r>
      <w:r>
        <w:t xml:space="preserve">. arXiv:2411.15993. [AUTHORS: complete author list.]</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et al. (2024) Long-form factuality in large language models.</w:t>
      </w:r>
      <w:r>
        <w:t xml:space="preserve"> </w:t>
      </w:r>
      <w:r>
        <w:rPr>
          <w:iCs/>
          <w:i/>
        </w:rPr>
        <w:t xml:space="preserve">Adv. Neural Inform. Processing Systems</w:t>
      </w:r>
      <w:r>
        <w:t xml:space="preserve">, vol. 37. arXiv:2403.18802. [AUTHORS: complete author list.]</w:t>
      </w:r>
    </w:p>
    <w:p>
      <w:pPr>
        <w:pStyle w:val="BodyText"/>
      </w:pPr>
      <w:r>
        <w:t xml:space="preserve">Yang, et al. (2025) Hallucinate at the last in long response generation: A case study on long document summarization. Preprint, arXiv:2505.15291. [AUTHORS: complete author list and venue.]</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2026-10-28T13:13:03Z</dcterms:created>
  <dcterms:modified xsi:type="dcterms:W3CDTF">2026-10-28T13:13:03Z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