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-page-not-blinded-upload-separately"/>
    <w:p>
      <w:pPr>
        <w:pStyle w:val="Heading1"/>
      </w:pPr>
      <w:r>
        <w:t xml:space="preserve">Title Page (not blinded; upload separately)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Do Influencers Pay? Limited Attention, Engagement Elasticity, and Simulation-Based Pre-Tests for Seeding Decisions</w:t>
      </w:r>
    </w:p>
    <w:p>
      <w:pPr>
        <w:pStyle w:val="BodyText"/>
      </w:pPr>
      <w:r>
        <w:rPr>
          <w:bCs/>
          <w:b/>
        </w:rPr>
        <w:t xml:space="preserve">Author(s):</w:t>
      </w:r>
      <w:r>
        <w:t xml:space="preserve"> </w:t>
      </w:r>
      <w:r>
        <w:t xml:space="preserve">[AUTHOR TO COMPLETE: names, affiliations, e-mail, ORCID]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[AUTHOR TO COMPLETE]</w:t>
      </w:r>
    </w:p>
    <w:p>
      <w:pPr>
        <w:pStyle w:val="BodyText"/>
      </w:pPr>
      <w:r>
        <w:rPr>
          <w:bCs/>
          <w:b/>
        </w:rPr>
        <w:t xml:space="preserve">Funding:</w:t>
      </w:r>
      <w:r>
        <w:t xml:space="preserve"> </w:t>
      </w:r>
      <w:r>
        <w:t xml:space="preserve">[AUTHOR TO COMPLETE]</w:t>
      </w:r>
    </w:p>
    <w:p>
      <w:pPr>
        <w:pStyle w:val="BodyText"/>
      </w:pPr>
      <w:r>
        <w:rPr>
          <w:bCs/>
          <w:b/>
        </w:rPr>
        <w:t xml:space="preserve">Declaration of competing interest:</w:t>
      </w:r>
      <w:r>
        <w:t xml:space="preserve"> </w:t>
      </w:r>
      <w:r>
        <w:t xml:space="preserve">[AUTHOR TO COMPLETE]</w:t>
      </w:r>
    </w:p>
    <w:p>
      <w:pPr>
        <w:pStyle w:val="BodyText"/>
      </w:pPr>
      <w:r>
        <w:rPr>
          <w:bCs/>
          <w:b/>
        </w:rPr>
        <w:t xml:space="preserve">Data availability:</w:t>
      </w:r>
      <w:r>
        <w:t xml:space="preserve"> </w:t>
      </w:r>
      <w:r>
        <w:t xml:space="preserve">The simulation code and per-run results are available as an anonymized archive for review; the empirical analysis uses SAGraph (Zhang et al. 2025), CC-BY 4.0. [Add repository link after acceptance.]</w:t>
      </w:r>
    </w:p>
    <w:p>
      <w:pPr>
        <w:pStyle w:val="BodyText"/>
      </w:pPr>
      <w:r>
        <w:rPr>
          <w:bCs/>
          <w:b/>
        </w:rPr>
        <w:t xml:space="preserve">Declaration of generative AI use:</w:t>
      </w:r>
      <w:r>
        <w:t xml:space="preserve"> </w:t>
      </w:r>
      <w:r>
        <w:t xml:space="preserve">[AUTHOR TO COMPLETE according to Elsevier’s current policy. If an AI assistant was used for writing or coding, state it here.]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480" w:lineRule="auto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40" w:lineRule="auto"/>
    </w:pPr>
    <w:rPr>
      <w:rFonts w:ascii="Times New Roman" w:cs="Times New Roman" w:eastAsia="Times New Roman" w:hAnsi="Times New Roman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asciiTheme="majorHAnsi" w:cs="Times New Roman" w:cstheme="majorBidi" w:eastAsia="Times New Roman" w:eastAsiaTheme="majorEastAsia" w:hAnsi="Times New Roman" w:hAnsiTheme="majorHAnsi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asciiTheme="majorHAnsi" w:cs="Times New Roman" w:cstheme="majorBidi" w:eastAsia="Times New Roman" w:eastAsiaTheme="majorEastAsia" w:hAnsi="Times New Roman" w:hAnsiTheme="majorHAnsi"/>
      <w:b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asciiTheme="majorHAnsi" w:cs="Times New Roman" w:cstheme="majorBidi" w:eastAsia="Times New Roman" w:eastAsiaTheme="majorEastAsia" w:hAnsi="Times New Roman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2026-10-24T22:51:08Z</dcterms:created>
  <dcterms:modified xsi:type="dcterms:W3CDTF">2026-10-24T22:51:08Z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