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pPr>
      <w:r>
        <w:rPr/>
        <w:t xml:space="preserve">Article</w:t>
      </w:r>
    </w:p>
    <w:p>
      <w:pPr>
        <w:pStyle w:val="MDPI12title"/>
      </w:pPr>
      <w:r>
        <w:rPr/>
        <w:t xml:space="preserve">Is the Sampling Temperature the Agent's Decision State? A Reference-Based Indicator and Its Comparison with Entropy, Calibration and Semantic Entropy</w:t>
      </w:r>
    </w:p>
    <w:p>
      <w:pPr>
        <w:pStyle w:val="MDPI13authornames"/>
      </w:pPr>
      <w:r>
        <w:rPr/>
        <w:t xml:space="preserve">Ook Lee </w:t>
      </w:r>
      <w:r>
        <w:rPr>
          <w:vertAlign w:val="superscript"/>
        </w:rPr>
        <w:t xml:space="preserve">*</w:t>
      </w:r>
      <w:r>
        <w:rPr/>
        <w:t xml:space="preserve"> and Saeho Park</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61citation"/>
              <w:rPr>
                <w:lang w:bidi="en-US"/>
              </w:rPr>
            </w:pPr>
            <w:r>
              <w:rPr>
                <w:b/>
                <w:lang w:bidi="en-US"/>
              </w:rPr>
              <w:t xml:space="preserve">Citation: </w:t>
            </w:r>
            <w:r>
              <w:rPr>
                <w:lang w:bidi="en-US"/>
              </w:rPr>
              <w:t>To be added by editorial staff during production.</w:t>
            </w:r>
          </w:p>
          <w:p>
            <w:pPr>
              <w:pStyle w:val="MDPI72copyright"/>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pPr>
        <w:pStyle w:val="MDPI16affiliation"/>
      </w:pPr>
      <w:r>
        <w:tab/>
        <w:t>Department of Information System, Hanyang University, Seoul, Korea</w:t>
      </w:r>
    </w:p>
    <w:p>
      <w:pPr>
        <w:pStyle w:val="MDPI16affiliation"/>
      </w:pPr>
      <w:r>
        <w:rPr>
          <w:b/>
        </w:rPr>
        <w:t>*</w:t>
      </w:r>
      <w:r>
        <w:tab/>
        <w:t>Correspondence: ooklee@hanyang.ac.kr</w:t>
      </w:r>
    </w:p>
    <w:p>
      <w:pPr>
        <w:pStyle w:val="MDPI17abstract"/>
        <w:jc w:val="left"/>
      </w:pPr>
      <w:r>
        <w:rPr>
          <w:b/>
        </w:rPr>
        <w:t>Abstract</w:t>
      </w:r>
    </w:p>
    <w:p>
      <w:pPr>
        <w:pStyle w:val="MDPI17abstract"/>
        <w:spacing w:before="0" w:after="0"/>
      </w:pPr>
      <w:r>
        <w:rPr/>
        <w:t xml:space="preserve">Operators of large language model (LLM) agents control reliability mainly through the sampling temperature, yet the temperature that governs an agent's choices may differ from the one that was set. We define the effective decision temperature, T</w:t>
      </w:r>
      <w:r>
        <w:rPr>
          <w:vertAlign w:val="subscript"/>
        </w:rPr>
        <w:t xml:space="preserve">eff</w:t>
      </w:r>
      <w:r>
        <w:rPr/>
        <w:t xml:space="preserve">, as the temperature at which an agent's chosen tokens are best explained by a reference valuation computed on a clean copy of the context, and state when it is identified. Using a synthetic agent and four open-weight models from three families on ordered-list tasks with a planted off-path attractor of graded strength, we test three hypotheses and compare T</w:t>
      </w:r>
      <w:r>
        <w:rPr>
          <w:vertAlign w:val="subscript"/>
        </w:rPr>
        <w:t xml:space="preserve">eff</w:t>
      </w:r>
      <w:r>
        <w:rPr/>
        <w:t xml:space="preserve"> with token entropy, confidence, expected calibration error (ECE) and a discrete semantic entropy. Accuracy rose and then fell with temperature for attractors of intermediate strength, peaking near T = 2 to 2.5 on the alphabet task, whereas weak attractors declined monotonically. Pressure raised T</w:t>
      </w:r>
      <w:r>
        <w:rPr>
          <w:vertAlign w:val="subscript"/>
        </w:rPr>
        <w:t xml:space="preserve">eff</w:t>
      </w:r>
      <w:r>
        <w:rPr/>
        <w:t xml:space="preserve"> in Qwen2.5-3B (5 of 7 identified matched cells) but not in Llama-3.2-3B (1 of 8); contamination had little effect. As a detector of distorted contexts, T</w:t>
      </w:r>
      <w:r>
        <w:rPr>
          <w:vertAlign w:val="subscript"/>
        </w:rPr>
        <w:t xml:space="preserve">eff</w:t>
      </w:r>
      <w:r>
        <w:rPr/>
        <w:t xml:space="preserve"> flagged 6 of 15 pressured cells, against 10 of 16 for entropy and 13 of 16 for label-dependent ECE. All label-free indicators missed fully locked-in trajectories. T</w:t>
      </w:r>
      <w:r>
        <w:rPr>
          <w:vertAlign w:val="subscript"/>
        </w:rPr>
        <w:t xml:space="preserve">eff</w:t>
      </w:r>
      <w:r>
        <w:rPr/>
        <w:t xml:space="preserve"> is best treated as a model-specific diagnostic, not a general-purpose monitor.</w:t>
      </w:r>
      <w:r>
        <w:rPr>
          <w:color w:val="0000FF"/>
        </w:rPr>
        <w:t xml:space="preserve"> In a revision study with four further small models (0.5 to 1.7 billion parameters, three families, one inference stack), three wordings of each distortion, full-vocabulary generation and entailment-clustered semantic entropy, </w:t>
      </w:r>
      <w:r>
        <w:rPr>
          <w:i/>
          <w:color w:val="0000FF"/>
        </w:rPr>
        <w:t>T</w:t>
      </w:r>
      <w:r>
        <w:rPr>
          <w:color w:val="0000FF"/>
        </w:rPr>
        <w:t>eff</w:t>
      </w:r>
      <w:r>
        <w:rPr>
          <w:color w:val="0000FF"/>
        </w:rPr>
        <w:t xml:space="preserve"> again did not outperform simpler indicators, and with six choices per trajectory its 95% interval spanned a median factor of about 9.</w:t>
      </w:r>
    </w:p>
    <w:p>
      <w:pPr>
        <w:pStyle w:val="MDPI18keywords"/>
      </w:pPr>
      <w:r>
        <w:rPr>
          <w:b/>
        </w:rPr>
        <w:t xml:space="preserve">Keywords: </w:t>
      </w:r>
      <w:r>
        <w:rPr/>
        <w:t xml:space="preserve">large language models; LLM agents; sampling temperature; effective decision temperature; quantal response; uncertainty estimation; calibration; semantic entropy; reliability monitoring</w:t>
      </w:r>
    </w:p>
    <w:p>
      <w:pPr>
        <w:pStyle w:val="MDPI19line"/>
        <w:rPr/>
      </w:pPr>
      <w:r>
        <w:rPr/>
      </w:r>
    </w:p>
    <w:p>
      <w:pPr>
        <w:pStyle w:val="MDPI21heading1"/>
        <w:keepNext/>
      </w:pPr>
      <w:r>
        <w:rPr/>
        <w:t xml:space="preserve">1. Introduction</w:t>
      </w:r>
    </w:p>
    <w:p>
      <w:pPr>
        <w:pStyle w:val="MDPI31text"/>
      </w:pPr>
      <w:r>
        <w:rPr/>
        <w:t xml:space="preserve">Large language model (LLM) agents are now embedded in expert and intelligent systems that triage requests, draft documents, call external tools and pass intermediate results to other agents, often with limited human supervision. Operators of such systems have two main levers for controlling reliability. The first is the decoding configuration, of which the sampling temperature is the best known. The second is evaluation, usually accuracy on held-out tasks and, increasingly, token-level uncertainty estimates. Both levers rest on an implicit assumption, namely that the behaviour of a deployed agent is a stable property of its weights and its decoder.</w:t>
      </w:r>
    </w:p>
    <w:p>
      <w:pPr>
        <w:pStyle w:val="MDPI31text"/>
      </w:pPr>
      <w:r>
        <w:rPr/>
        <w:t xml:space="preserve">That assumption is fragile for autoregressive agents. The same weights can solve a task when the context is clean and fail on it when the context contains contradictory instructions, hostile framing or an earlier mistake. The failure is often not random noise. A well-documented form is rigid repetition, in which the model locks onto a continuation and reproduces it </w:t>
      </w:r>
      <w:r>
        <w:rPr>
          <w:color w:val="0000FF"/>
        </w:rPr>
        <w:t>with high confidence [1,24]</w:t>
      </w:r>
      <w:r>
        <w:rPr/>
        <w:t xml:space="preserve">. In an agentic loop the problem is compounded, because each output is written back into the context and conditions the next step. A single early error can therefore turn into a self-reinforcing trajectory. The temperature the operator set is a property of the decoder. It says nothing about what the context has done to the model's preferences, so two agents run at the same temperature can be in very different decision states.</w:t>
      </w:r>
    </w:p>
    <w:p>
      <w:pPr>
        <w:pStyle w:val="MDPI31text"/>
      </w:pPr>
      <w:r>
        <w:rPr/>
        <w:t xml:space="preserve">Existing monitoring tools describe the output distribution rather than the preferences behind it. Token entropy and the probability assigned to the chosen token measure how concentrated the distribution is. Calibration error compares stated confidence with realized correctness, which requires ground-truth labels [2,3]. Semantic entropy clusters sampled answers by meaning and measures their dispersion [4,5]. Failure taxonomies for multi-agent systems classify errors after they have been observed [6]. None of these tells the operator whether a concentrated distribution is concentrated on the right thing. A locked agent that repeats a wrong token is, by construction, a low-entropy agent.</w:t>
      </w:r>
    </w:p>
    <w:p>
      <w:pPr>
        <w:pStyle w:val="MDPI31text"/>
      </w:pPr>
      <w:r>
        <w:rPr/>
        <w:t xml:space="preserve">This paper proposes and evaluates an indicator aimed at that gap. Because sampling from a softmax is equivalent to a random-utility choice with Gumbel-distributed noise, the temperature plays the same role as the noise scale in the logit rule of quantal response theory [7,8]. We define the effective decision temperature, T</w:t>
      </w:r>
      <w:r>
        <w:rPr>
          <w:vertAlign w:val="subscript"/>
        </w:rPr>
        <w:t xml:space="preserve">eff</w:t>
      </w:r>
      <w:r>
        <w:rPr/>
        <w:t xml:space="preserve">, as the temperature at which the tokens an agent actually chose are best explained by a reference valuation of the same task, where the reference is the logits the same model produces on the same history with the distorting context removed. If the context does not change the model's valuations, T</w:t>
      </w:r>
      <w:r>
        <w:rPr>
          <w:vertAlign w:val="subscript"/>
        </w:rPr>
        <w:t xml:space="preserve">eff</w:t>
      </w:r>
      <w:r>
        <w:rPr/>
        <w:t xml:space="preserve"> recovers the nominal temperature. If it does, T</w:t>
      </w:r>
      <w:r>
        <w:rPr>
          <w:vertAlign w:val="subscript"/>
        </w:rPr>
        <w:t xml:space="preserve">eff</w:t>
      </w:r>
      <w:r>
        <w:rPr/>
      </w:r>
      <w:r>
        <w:rPr>
          <w:color w:val="0000FF"/>
        </w:rPr>
        <w:t xml:space="preserve"> may depart from it, in either direction, although it need not (Section 3.3).</w:t>
      </w:r>
    </w:p>
    <w:p>
      <w:pPr>
        <w:pStyle w:val="MDPI35textbeforelist"/>
      </w:pPr>
      <w:r>
        <w:rPr/>
        <w:t xml:space="preserve">The contributions of the paper are as follows.</w:t>
      </w:r>
    </w:p>
    <w:p>
      <w:pPr>
        <w:pStyle w:val="MDPI38bullet"/>
        <w:numPr>
          <w:ilvl w:val="0"/>
          <w:numId w:val="3"/>
        </w:numPr>
      </w:pPr>
      <w:r>
        <w:rPr/>
        <w:t xml:space="preserve">We define T</w:t>
      </w:r>
      <w:r>
        <w:rPr>
          <w:vertAlign w:val="subscript"/>
        </w:rPr>
        <w:t xml:space="preserve">eff</w:t>
      </w:r>
      <w:r>
        <w:rPr/>
        <w:t xml:space="preserve">, state the conditions under which it is identified, and show where it is not: it is uninformative when the reference is also the sampling distribution, and weakly identified when the reference is saturated on the chosen tokens.</w:t>
      </w:r>
    </w:p>
    <w:p>
      <w:pPr>
        <w:pStyle w:val="MDPI38bullet"/>
      </w:pPr>
      <w:r>
        <w:rPr>
          <w:color w:val="0000FF"/>
        </w:rPr>
        <w:t>We separate what the estimator identifies (a temperature-equivalent of the context's net effect on the logit scale, not decoder randomness), report its fit and a distributional variant, compare alternative reference constructions, and replace the fixed saturation threshold by an interval-based identification rule.</w:t>
      </w:r>
    </w:p>
    <w:p>
      <w:pPr>
        <w:pStyle w:val="MDPI38bullet"/>
        <w:numPr>
          <w:ilvl w:val="0"/>
          <w:numId w:val="3"/>
        </w:numPr>
      </w:pPr>
      <w:r>
        <w:rPr/>
        <w:t xml:space="preserve">We derive three hypotheses about pressure, content contamination and the relationship between temperature and accuracy, and we state the boundary conditions under which an interior optimum in temperature can and cannot occur.</w:t>
      </w:r>
    </w:p>
    <w:p>
      <w:pPr>
        <w:pStyle w:val="MDPI38bullet"/>
        <w:numPr>
          <w:ilvl w:val="0"/>
          <w:numId w:val="3"/>
        </w:numPr>
      </w:pPr>
      <w:r>
        <w:rPr/>
        <w:t xml:space="preserve">We test the hypotheses in a controlled measurement study that combines a synthetic agent with four open-weight models from three families (SmolLM2, Qwen2.5 and Llama 3.2). Four task families are studied on two of the models, and the alphabet task on all of them. The tasks are ordered-list continuation problems that the models solve when the prompt is clean, with an off-path attractor of graded strength planted in the context.</w:t>
      </w:r>
    </w:p>
    <w:p>
      <w:pPr>
        <w:pStyle w:val="MDPI38bullet"/>
        <w:numPr>
          <w:ilvl w:val="0"/>
          <w:numId w:val="3"/>
        </w:numPr>
      </w:pPr>
      <w:r>
        <w:rPr/>
        <w:t xml:space="preserve">We compare T</w:t>
      </w:r>
      <w:r>
        <w:rPr>
          <w:vertAlign w:val="subscript"/>
        </w:rPr>
        <w:t xml:space="preserve">eff</w:t>
      </w:r>
      <w:r>
        <w:rPr/>
        <w:t xml:space="preserve"> head to head with token entropy, confidence, expected calibration error and a discrete form of semantic entropy, and we identify the situations in which each indicator is blind.</w:t>
      </w:r>
    </w:p>
    <w:p>
      <w:pPr>
        <w:pStyle w:val="MDPI31text"/>
      </w:pPr>
      <w:r>
        <w:rPr/>
        <w:t xml:space="preserve">The results are mixed, and we report them as such. An accuracy peak at intermediate temperature appears for attractors of intermediate strength and not for weak ones, but the boundary with strong attractors is not clean. Pressure raises T</w:t>
      </w:r>
      <w:r>
        <w:rPr>
          <w:vertAlign w:val="subscript"/>
        </w:rPr>
        <w:t xml:space="preserve">eff</w:t>
      </w:r>
      <w:r>
        <w:rPr/>
        <w:t xml:space="preserve"> in the Qwen models but not in Llama-3.2-3B, contamination has little measurable effect, and T</w:t>
      </w:r>
      <w:r>
        <w:rPr>
          <w:vertAlign w:val="subscript"/>
        </w:rPr>
        <w:t xml:space="preserve">eff</w:t>
      </w:r>
      <w:r>
        <w:rPr/>
        <w:t xml:space="preserve"> does not outperform simpler indicators as a detector of distorted contexts. No label-free indicator, T</w:t>
      </w:r>
      <w:r>
        <w:rPr>
          <w:vertAlign w:val="subscript"/>
        </w:rPr>
        <w:t xml:space="preserve">eff</w:t>
      </w:r>
      <w:r>
        <w:rPr/>
        <w:t xml:space="preserve"> included, detects a fully locked-in agent. The remainder of the paper is organized as follows. Section 2 reviews related work, Section 3 defines the indicator and the hypotheses, Section 4 describes the experimental design, Section 5 reports the results, Section 6 discusses implications and limitations, and Section 7 concludes.</w:t>
      </w:r>
    </w:p>
    <w:p>
      <w:pPr>
        <w:pStyle w:val="MDPI21heading1"/>
        <w:keepNext/>
      </w:pPr>
      <w:r>
        <w:rPr/>
        <w:t xml:space="preserve">2. Related Work</w:t>
      </w:r>
    </w:p>
    <w:p>
      <w:pPr>
        <w:pStyle w:val="MDPI22heading2"/>
        <w:keepNext/>
      </w:pPr>
      <w:r>
        <w:rPr/>
        <w:t xml:space="preserve">2.1. Decoding Temperature and Sampling</w:t>
      </w:r>
    </w:p>
    <w:p>
      <w:pPr>
        <w:pStyle w:val="MDPI31text"/>
      </w:pPr>
      <w:r>
        <w:rPr/>
        <w:t xml:space="preserve">The softmax with a temperature parameter is a standard component of neural sequence models and of knowledge distillation [9]. In language generation, low temperatures and greedy decoding tend to produce repetitive text, whereas high temperatures produce incoherent text, and truncation schemes such as nucleus sampling were introduced to navigate this trade-off [1]. Studies of temperature typically treat it as a free hyperparameter to be tuned on a benchmark. We take a different view. The temperature that matters for reliability is the one that is operative in the model's choices, which may differ from the one the operator set.</w:t>
      </w:r>
      <w:r>
        <w:rPr>
          <w:color w:val="0000FF"/>
        </w:rPr>
        <w:t xml:space="preserve"> Empirical work that varies the temperature on problem-solving benchmarks finds that changes between 0 and 1 have little systematic effect on average accuracy [23]. That is a statement about performance averaged over contexts, whereas the question here is how the effect of one temperature changes with the context. Repetition loops, in which the probability of a repeated continuation grows with each repetition, have been analysed and mitigated at training time [24]; our planted attractor is a controlled version of that self-reinforcement.</w:t>
      </w:r>
    </w:p>
    <w:p>
      <w:pPr>
        <w:pStyle w:val="MDPI22heading2"/>
        <w:keepNext/>
      </w:pPr>
      <w:r>
        <w:rPr/>
        <w:t xml:space="preserve">2.2. Uncertainty, Calibration and Semantic Entropy</w:t>
      </w:r>
    </w:p>
    <w:p>
      <w:pPr>
        <w:pStyle w:val="MDPI31text"/>
      </w:pPr>
      <w:r>
        <w:rPr/>
        <w:t xml:space="preserve">Work on uncertainty in language models asks whether the model's expressed or implied confidence tracks its correctness. Larger models are partly able to judge whether they know the answer to a question [3], and modern neural networks are often miscalibrated, a property commonly summarized by the expected calibration error [2]. Because a single answer can be phrased in many ways, token-level entropy conflates lexical and semantic uncertainty. Semantic entropy addresses this by sampling several answers, grouping those that mean the same thing and computing the entropy over the groups [4,5]. These methods are designed to detect that an answer is unreliable. They are not designed to detect that the decision state of the agent has been altered by its context, and the label-free ones among them cannot distinguish a concentrated distribution that is correct from one that is not.</w:t>
      </w:r>
      <w:r>
        <w:rPr>
          <w:color w:val="0000FF"/>
        </w:rPr>
        <w:t xml:space="preserve"> Adaptive temperature scaling fits a per-token temperature to calibrate the probabilities of a fine-tuned model [25]. Its temperature is a calibration device fitted on labelled data, whereas </w:t>
      </w:r>
      <w:r>
        <w:rPr>
          <w:i/>
          <w:color w:val="0000FF"/>
        </w:rPr>
        <w:t>T</w:t>
      </w:r>
      <w:r>
        <w:rPr>
          <w:color w:val="0000FF"/>
        </w:rPr>
        <w:t>eff</w:t>
      </w:r>
      <w:r>
        <w:rPr>
          <w:color w:val="0000FF"/>
        </w:rPr>
        <w:t xml:space="preserve"> is fitted against a clean-context reference without labels; both treat the effective temperature as depending on the context.</w:t>
      </w:r>
      <w:r>
        <w:rPr>
          <w:color w:val="0000FF"/>
        </w:rPr>
        <w:t xml:space="preserve"> Estimating semantic equivalence reliably is itself a representation problem. Entailment-based clustering relies on a natural-language-inference model [20,21], and its outcome depends on how well that model represents the text being compared. We use an entailment model only for the free-generation semantic-entropy baseline (Section 5.12) and do not evaluate its reliability.</w:t>
      </w:r>
    </w:p>
    <w:p>
      <w:pPr>
        <w:pStyle w:val="MDPI22heading2"/>
        <w:keepNext/>
      </w:pPr>
      <w:r>
        <w:rPr/>
        <w:t xml:space="preserve">2.3. Failure Analysis of LLM Agents</w:t>
      </w:r>
    </w:p>
    <w:p>
      <w:pPr>
        <w:pStyle w:val="MDPI31text"/>
      </w:pPr>
      <w:r>
        <w:rPr/>
        <w:t xml:space="preserve">Empirical studies of multi-agent LLM systems catalogue failure modes such as specification problems, inter-agent misalignment and inadequate verification [6]. Such taxonomies are valuable for debugging, but they work retrospectively on observed failures. Human-automation research suggests a further difficulty, namely that operators stop acting on alarms that they have learned are uninformative [10]. An indicator intended for deployment therefore needs to be interpretable, and its failure conditions need to be known.</w:t>
      </w:r>
    </w:p>
    <w:p>
      <w:pPr>
        <w:pStyle w:val="MDPI22heading2"/>
        <w:keepNext/>
      </w:pPr>
      <w:r>
        <w:rPr/>
        <w:t xml:space="preserve">2.4. Softmax Sampling as a Random-Utility Choice</w:t>
      </w:r>
    </w:p>
    <w:p>
      <w:pPr>
        <w:pStyle w:val="MDPI31text"/>
      </w:pPr>
      <w:r>
        <w:rPr/>
        <w:t xml:space="preserve">The use of the softmax as a choice rule has a long history outside machine learning. In discrete-choice econometrics, the logit model follows from additive extreme-value noise on utilities [7]. In game theory, quantal response equilibrium replaces best responses by noisy best responses of the same form, which makes the precision parameter an index of bounded rationality [8,11]. The equivalence between softmax sampling and the Gumbel-max construction is well known in the machine learning literature. A second link comes from preference optimization. A model fine-tuned with a penalty for departing from a reference policy has log-probability ratios that equal, up to a constant, a scaled reward [12], which gives a precise sense in which log-probabilities carry value information. Neither result turns logits into task utilities automatically. They support reading the sampler as a noisy chooser, and they motivate estimating a noise scale against an explicitly chosen reference. Language models can also imitate human behaviour without sharing its mechanisms [13], so we make no claim about machine experience.</w:t>
      </w:r>
      <w:r>
        <w:rPr>
          <w:color w:val="0000FF"/>
        </w:rPr>
        <w:t xml:space="preserve"> The estimator in Section 3.2 is a quasi-likelihood in the sense of White [19]: when the reference family is misspecified, the maximizer converges to the member of the family closest in Kullback-Leibler divergence to the true choice distribution, and the log likelihood is a strictly proper scoring rule [22].</w:t>
      </w:r>
    </w:p>
    <w:p>
      <w:pPr>
        <w:pStyle w:val="MDPI21heading1"/>
        <w:keepNext/>
      </w:pPr>
      <w:r>
        <w:rPr/>
        <w:t xml:space="preserve">3. The Effective Decision Temperature</w:t>
      </w:r>
    </w:p>
    <w:p>
      <w:pPr>
        <w:pStyle w:val="MDPI22heading2"/>
        <w:keepNext/>
      </w:pPr>
      <w:r>
        <w:rPr/>
        <w:t xml:space="preserve">3.1. The Choice Rule</w:t>
      </w:r>
    </w:p>
    <w:p>
      <w:pPr>
        <w:pStyle w:val="MDPI31text"/>
      </w:pPr>
      <w:r>
        <w:rPr/>
        <w:t xml:space="preserve">Let </w:t>
      </w:r>
      <w:r>
        <w:rPr>
          <w:i/>
        </w:rPr>
        <w:t xml:space="preserve">z</w:t>
      </w:r>
      <w:r>
        <w:rPr/>
        <w:t xml:space="preserve"> denote the logits that a model assigns to a set of candidate tokens at some step, and let </w:t>
      </w:r>
      <w:r>
        <w:rPr>
          <w:i/>
        </w:rPr>
        <w:t xml:space="preserve">T</w:t>
      </w:r>
      <w:r>
        <w:rPr/>
        <w:t xml:space="preserve"> &gt; 0 be the sampling temperature. The model selects candidate </w:t>
      </w:r>
      <w:r>
        <w:rPr>
          <w:i/>
        </w:rPr>
        <w:t xml:space="preserve">y</w:t>
      </w:r>
      <w:r>
        <w:rPr/>
        <w:t xml:space="preserve"> with probability</w:t>
      </w:r>
    </w:p>
    <w:tbl>
      <w:tblPr>
        <w:tblW w:w="7858" w:type="dxa"/>
        <w:tblInd w:w="2608" w:type="dxa"/>
        <w:tblLayout w:type="fixed"/>
        <w:tblCellMar>
          <w:top w:w="0" w:type="dxa"/>
          <w:left w:w="0" w:type="dxa"/>
          <w:bottom w:w="0" w:type="dxa"/>
          <w:right w:w="0" w:type="dxa"/>
        </w:tblCellMar>
      </w:tblPr>
      <w:tblGrid>
        <w:gridCol w:w="7428"/>
        <w:gridCol w:w="430"/>
      </w:tblGrid>
      <w:tr>
        <w:tc>
          <w:tcPr>
            <w:tcW w:w="7428" w:type="dxa"/>
          </w:tcPr>
          <w:p>
            <w:pPr>
              <w:pStyle w:val="MDPI39equation"/>
            </w:pPr>
            <w:r>
              <w:rPr>
                <w:i/>
              </w:rPr>
              <w:t xml:space="preserve">p</w:t>
            </w:r>
            <w:r>
              <w:rPr/>
              <w:t xml:space="preserve">(</w:t>
            </w:r>
            <w:r>
              <w:rPr>
                <w:i/>
              </w:rPr>
              <w:t xml:space="preserve">y</w:t>
            </w:r>
            <w:r>
              <w:rPr/>
              <w:t xml:space="preserve"> | </w:t>
            </w:r>
            <w:r>
              <w:rPr>
                <w:i/>
              </w:rPr>
              <w:t xml:space="preserve">z</w:t>
            </w:r>
            <w:r>
              <w:rPr/>
              <w:t xml:space="preserve">, </w:t>
            </w:r>
            <w:r>
              <w:rPr>
                <w:i/>
              </w:rPr>
              <w:t xml:space="preserve">T</w:t>
            </w:r>
            <w:r>
              <w:rPr/>
              <w:t xml:space="preserve">) = exp(</w:t>
            </w:r>
            <w:r>
              <w:rPr>
                <w:i/>
              </w:rPr>
              <w:t xml:space="preserve">z</w:t>
            </w:r>
            <w:r>
              <w:rPr>
                <w:i/>
                <w:vertAlign w:val="subscript"/>
              </w:rPr>
              <w:t xml:space="preserve">y</w:t>
            </w:r>
            <w:r>
              <w:rPr/>
              <w:t xml:space="preserve"> / </w:t>
            </w:r>
            <w:r>
              <w:rPr>
                <w:i/>
              </w:rPr>
              <w:t xml:space="preserve">T</w:t>
            </w:r>
            <w:r>
              <w:rPr/>
              <w:t xml:space="preserve">) / Σ</w:t>
            </w:r>
            <w:r>
              <w:rPr>
                <w:i/>
                <w:vertAlign w:val="subscript"/>
              </w:rPr>
              <w:t xml:space="preserve">k</w:t>
            </w:r>
            <w:r>
              <w:rPr/>
              <w:t xml:space="preserve"> exp(</w:t>
            </w:r>
            <w:r>
              <w:rPr>
                <w:i/>
              </w:rPr>
              <w:t xml:space="preserve">z</w:t>
            </w:r>
            <w:r>
              <w:rPr>
                <w:i/>
                <w:vertAlign w:val="subscript"/>
              </w:rPr>
              <w:t xml:space="preserve">k</w:t>
            </w:r>
            <w:r>
              <w:rPr/>
              <w:t xml:space="preserve"> / </w:t>
            </w:r>
            <w:r>
              <w:rPr>
                <w:i/>
              </w:rPr>
              <w:t xml:space="preserve">T</w:t>
            </w:r>
            <w:r>
              <w:rPr/>
              <w:t xml:space="preserve">).</w:t>
            </w:r>
          </w:p>
        </w:tc>
        <w:tc>
          <w:tcPr>
            <w:tcW w:w="430" w:type="dxa"/>
            <w:vAlign w:val="center"/>
          </w:tcPr>
          <w:p>
            <w:pPr>
              <w:pStyle w:val="MDPI3aequationnumber"/>
            </w:pPr>
            <w:r>
              <w:rPr/>
              <w:t xml:space="preserve">(1)</w:t>
            </w:r>
          </w:p>
        </w:tc>
      </w:tr>
    </w:tbl>
    <w:p>
      <w:pPr>
        <w:pStyle w:val="MDPI32textnoindent"/>
      </w:pPr>
      <w:r>
        <w:rPr/>
        <w:t xml:space="preserve">Sampling from Equation (1) is equivalent to adding independent Gumbel noise, scaled by </w:t>
      </w:r>
      <w:r>
        <w:rPr>
          <w:i/>
        </w:rPr>
        <w:t xml:space="preserve">T</w:t>
      </w:r>
      <w:r>
        <w:rPr/>
        <w:t xml:space="preserve">, to every logit and selecting the largest perturbed value. This is the random-utility representation of the logit rule, and it makes </w:t>
      </w:r>
      <w:r>
        <w:rPr>
          <w:i/>
        </w:rPr>
        <w:t xml:space="preserve">T</w:t>
      </w:r>
      <w:r>
        <w:rPr/>
        <w:t xml:space="preserve"> the scale of the random component of choice, just as the inverse of the precision parameter λ plays that role in quantal response theory. The entropy of the distribution, </w:t>
      </w:r>
      <w:r>
        <w:rPr>
          <w:i/>
        </w:rPr>
        <w:t xml:space="preserve">H</w:t>
      </w:r>
      <w:r>
        <w:rPr/>
        <w:t xml:space="preserve"> = −Σ </w:t>
      </w:r>
      <w:r>
        <w:rPr>
          <w:i/>
        </w:rPr>
        <w:t xml:space="preserve">p</w:t>
      </w:r>
      <w:r>
        <w:rPr/>
        <w:t xml:space="preserve"> log </w:t>
      </w:r>
      <w:r>
        <w:rPr>
          <w:i/>
        </w:rPr>
        <w:t xml:space="preserve">p</w:t>
      </w:r>
      <w:r>
        <w:rPr/>
        <w:t xml:space="preserve">, tends to zero as </w:t>
      </w:r>
      <w:r>
        <w:rPr>
          <w:i/>
        </w:rPr>
        <w:t xml:space="preserve">T</w:t>
      </w:r>
      <w:r>
        <w:rPr/>
        <w:t xml:space="preserve"> tends to zero and grows toward the logarithm of the number of candidates as </w:t>
      </w:r>
      <w:r>
        <w:rPr>
          <w:i/>
        </w:rPr>
        <w:t xml:space="preserve">T</w:t>
      </w:r>
      <w:r>
        <w:rPr/>
        <w:t xml:space="preserve"> grows. Both the distribution and the chosen token are observable in an open-weight model, which is what allows a behavioural construct to be turned into a measurement.</w:t>
      </w:r>
    </w:p>
    <w:p>
      <w:pPr>
        <w:pStyle w:val="MDPI22heading2"/>
        <w:keepNext/>
      </w:pPr>
      <w:r>
        <w:rPr/>
        <w:t xml:space="preserve">3.2. Definition of the Effective Decision Temperature</w:t>
      </w:r>
    </w:p>
    <w:p>
      <w:pPr>
        <w:pStyle w:val="MDPI31text"/>
      </w:pPr>
      <w:r>
        <w:rPr/>
        <w:t xml:space="preserve">Consider a trajectory of choices </w:t>
      </w:r>
      <w:r>
        <w:rPr>
          <w:i/>
        </w:rPr>
        <w:t xml:space="preserve">y</w:t>
      </w:r>
      <w:r>
        <w:rPr>
          <w:vertAlign w:val="subscript"/>
        </w:rPr>
        <w:t xml:space="preserve">1</w:t>
      </w:r>
      <w:r>
        <w:rPr/>
        <w:t xml:space="preserve">, ..., </w:t>
      </w:r>
      <w:r>
        <w:rPr>
          <w:i/>
        </w:rPr>
        <w:t xml:space="preserve">y</w:t>
      </w:r>
      <w:r>
        <w:rPr>
          <w:i/>
          <w:vertAlign w:val="subscript"/>
        </w:rPr>
        <w:t xml:space="preserve">n</w:t>
      </w:r>
      <w:r>
        <w:rPr/>
        <w:t xml:space="preserve"> produced by an agent in a context </w:t>
      </w:r>
      <w:r>
        <w:rPr>
          <w:i/>
        </w:rPr>
        <w:t xml:space="preserve">C</w:t>
      </w:r>
      <w:r>
        <w:rPr/>
        <w:t xml:space="preserve">. Let </w:t>
      </w:r>
      <w:r>
        <w:rPr>
          <w:i/>
        </w:rPr>
        <w:t xml:space="preserve">v</w:t>
      </w:r>
      <w:r>
        <w:rPr>
          <w:i/>
          <w:vertAlign w:val="subscript"/>
        </w:rPr>
        <w:t xml:space="preserve">t</w:t>
      </w:r>
      <w:r>
        <w:rPr/>
        <w:t xml:space="preserve"> be the reference logits at step </w:t>
      </w:r>
      <w:r>
        <w:rPr>
          <w:i/>
        </w:rPr>
        <w:t xml:space="preserve">t</w:t>
      </w:r>
      <w:r>
        <w:rPr/>
        <w:t xml:space="preserve">, defined as the logits the same model produces at that step on the same task and the same history, with the distorting content removed from the context. The effective decision temperature is the maximum-likelihood temperature of the reference choice model,</w:t>
      </w:r>
    </w:p>
    <w:tbl>
      <w:tblPr>
        <w:tblW w:w="7858" w:type="dxa"/>
        <w:tblInd w:w="2608" w:type="dxa"/>
        <w:tblLayout w:type="fixed"/>
        <w:tblCellMar>
          <w:top w:w="0" w:type="dxa"/>
          <w:left w:w="0" w:type="dxa"/>
          <w:bottom w:w="0" w:type="dxa"/>
          <w:right w:w="0" w:type="dxa"/>
        </w:tblCellMar>
      </w:tblPr>
      <w:tblGrid>
        <w:gridCol w:w="7428"/>
        <w:gridCol w:w="430"/>
      </w:tblGrid>
      <w:tr>
        <w:tc>
          <w:tcPr>
            <w:tcW w:w="7428" w:type="dxa"/>
          </w:tcPr>
          <w:p>
            <w:pPr>
              <w:pStyle w:val="MDPI39equation"/>
            </w:pPr>
            <w:r>
              <w:rPr>
                <w:i/>
              </w:rPr>
              <w:t xml:space="preserve">T</w:t>
            </w:r>
            <w:r>
              <w:rPr>
                <w:vertAlign w:val="subscript"/>
              </w:rPr>
              <w:t xml:space="preserve">eff</w:t>
            </w:r>
            <w:r>
              <w:rPr/>
              <w:t xml:space="preserve"> = argmin</w:t>
            </w:r>
            <w:r>
              <w:rPr>
                <w:i/>
                <w:vertAlign w:val="subscript"/>
              </w:rPr>
              <w:t xml:space="preserve">T</w:t>
            </w:r>
            <w:r>
              <w:rPr/>
              <w:t xml:space="preserve"> − Σ</w:t>
            </w:r>
            <w:r>
              <w:rPr>
                <w:i/>
                <w:vertAlign w:val="subscript"/>
              </w:rPr>
              <w:t xml:space="preserve">t</w:t>
            </w:r>
            <w:r>
              <w:rPr/>
              <w:t xml:space="preserve"> log </w:t>
            </w:r>
            <w:r>
              <w:rPr>
                <w:i/>
              </w:rPr>
              <w:t xml:space="preserve">p</w:t>
            </w:r>
            <w:r>
              <w:rPr/>
              <w:t xml:space="preserve">(</w:t>
            </w:r>
            <w:r>
              <w:rPr>
                <w:i/>
              </w:rPr>
              <w:t xml:space="preserve">y</w:t>
            </w:r>
            <w:r>
              <w:rPr>
                <w:i/>
                <w:vertAlign w:val="subscript"/>
              </w:rPr>
              <w:t xml:space="preserve">t</w:t>
            </w:r>
            <w:r>
              <w:rPr/>
              <w:t xml:space="preserve"> | </w:t>
            </w:r>
            <w:r>
              <w:rPr>
                <w:i/>
              </w:rPr>
              <w:t xml:space="preserve">v</w:t>
            </w:r>
            <w:r>
              <w:rPr>
                <w:i/>
                <w:vertAlign w:val="subscript"/>
              </w:rPr>
              <w:t xml:space="preserve">t</w:t>
            </w:r>
            <w:r>
              <w:rPr/>
              <w:t xml:space="preserve">, </w:t>
            </w:r>
            <w:r>
              <w:rPr>
                <w:i/>
              </w:rPr>
              <w:t xml:space="preserve">T</w:t>
            </w:r>
            <w:r>
              <w:rPr/>
              <w:t xml:space="preserve">),</w:t>
            </w:r>
          </w:p>
        </w:tc>
        <w:tc>
          <w:tcPr>
            <w:tcW w:w="430" w:type="dxa"/>
            <w:vAlign w:val="center"/>
          </w:tcPr>
          <w:p>
            <w:pPr>
              <w:pStyle w:val="MDPI3aequationnumber"/>
            </w:pPr>
            <w:r>
              <w:rPr/>
              <w:t xml:space="preserve">(2)</w:t>
            </w:r>
          </w:p>
        </w:tc>
      </w:tr>
    </w:tbl>
    <w:p>
      <w:pPr>
        <w:pStyle w:val="MDPI32textnoindent"/>
      </w:pPr>
      <w:r>
        <w:rPr/>
        <w:t xml:space="preserve">where </w:t>
      </w:r>
      <w:r>
        <w:rPr>
          <w:i/>
        </w:rPr>
        <w:t xml:space="preserve">p</w:t>
      </w:r>
      <w:r>
        <w:rPr/>
        <w:t xml:space="preserve"> is given by Equation (1) applied to </w:t>
      </w:r>
      <w:r>
        <w:rPr>
          <w:i/>
        </w:rPr>
        <w:t xml:space="preserve">v</w:t>
      </w:r>
      <w:r>
        <w:rPr>
          <w:i/>
          <w:vertAlign w:val="subscript"/>
        </w:rPr>
        <w:t xml:space="preserve">t</w:t>
      </w:r>
      <w:r>
        <w:rPr/>
        <w:t xml:space="preserve">. The definition has a direct reading. If the context does not alter the model's valuations, </w:t>
      </w:r>
      <w:r>
        <w:rPr>
          <w:i/>
        </w:rPr>
        <w:t xml:space="preserve">v</w:t>
      </w:r>
      <w:r>
        <w:rPr>
          <w:i/>
          <w:vertAlign w:val="subscript"/>
        </w:rPr>
        <w:t xml:space="preserve">t</w:t>
      </w:r>
      <w:r>
        <w:rPr/>
        <w:t xml:space="preserve"> equals the sampling logits and T</w:t>
      </w:r>
      <w:r>
        <w:rPr>
          <w:vertAlign w:val="subscript"/>
        </w:rPr>
        <w:t xml:space="preserve">eff</w:t>
      </w:r>
      <w:r>
        <w:rPr/>
        <w:t xml:space="preserve"> estimates the nominal temperature. If the context alters the valuations, </w:t>
      </w:r>
      <w:r>
        <w:rPr>
          <w:color w:val="0000FF"/>
        </w:rPr>
        <w:t>the chosen tokens are in general explained less well by the reference, and T</w:t>
      </w:r>
      <w:r>
        <w:rPr>
          <w:vertAlign w:val="subscript"/>
        </w:rPr>
        <w:t xml:space="preserve">eff</w:t>
      </w:r>
      <w:r>
        <w:rPr/>
      </w:r>
      <w:r>
        <w:rPr>
          <w:color w:val="0000FF"/>
        </w:rPr>
        <w:t xml:space="preserve"> may depart from </w:t>
      </w:r>
      <w:r>
        <w:rPr>
          <w:i/>
        </w:rPr>
        <w:t xml:space="preserve">T</w:t>
      </w:r>
      <w:r>
        <w:rPr/>
      </w:r>
      <w:r>
        <w:rPr>
          <w:color w:val="0000FF"/>
        </w:rPr>
        <w:t xml:space="preserve">. It need not: a change that leaves the scale and the ordering of the candidates unchanged, or whose effects cancel across steps, leaves </w:t>
      </w:r>
      <w:r>
        <w:rPr>
          <w:i/>
          <w:color w:val="0000FF"/>
        </w:rPr>
        <w:t>T</w:t>
      </w:r>
      <w:r>
        <w:rPr>
          <w:color w:val="0000FF"/>
        </w:rPr>
        <w:t>eff</w:t>
      </w:r>
      <w:r>
        <w:rPr>
          <w:color w:val="0000FF"/>
        </w:rPr>
        <w:t xml:space="preserve"> at </w:t>
      </w:r>
      <w:r>
        <w:rPr>
          <w:i/>
          <w:color w:val="0000FF"/>
        </w:rPr>
        <w:t>T</w:t>
      </w:r>
      <w:r>
        <w:rPr>
          <w:color w:val="0000FF"/>
        </w:rPr>
        <w:t xml:space="preserve">, and a change of ordering alone corresponds to no particular temperature (Section 3.3). A value above </w:t>
      </w:r>
      <w:r>
        <w:rPr>
          <w:i/>
        </w:rPr>
        <w:t xml:space="preserve">T</w:t>
      </w:r>
      <w:r>
        <w:rPr/>
        <w:t xml:space="preserve"> means that the choices are noisier, relative to the reference, than the nominal temperature implies. A value below </w:t>
      </w:r>
      <w:r>
        <w:rPr>
          <w:i/>
        </w:rPr>
        <w:t xml:space="preserve">T</w:t>
      </w:r>
      <w:r>
        <w:rPr/>
        <w:t xml:space="preserve"> means that they are more concentrated than the reference implies, for instance because the distorting context has made one option dominant. When no temperature rationalizes the choices, the maximized log-likelihood is low, which is itself a signal that the context has changed more than the scale of choice.</w:t>
      </w:r>
    </w:p>
    <w:p>
      <w:pPr>
        <w:pStyle w:val="MDPI22heading2"/>
        <w:keepNext/>
      </w:pPr>
      <w:r>
        <w:rPr/>
        <w:t xml:space="preserve">3.3. Identification and Limits of the Estimator</w:t>
      </w:r>
    </w:p>
    <w:p>
      <w:pPr>
        <w:pStyle w:val="MDPI31text"/>
      </w:pPr>
      <w:r>
        <w:rPr/>
        <w:t xml:space="preserve">Four properties of the estimator matter for its use. First, T</w:t>
      </w:r>
      <w:r>
        <w:rPr>
          <w:vertAlign w:val="subscript"/>
        </w:rPr>
        <w:t xml:space="preserve">eff</w:t>
      </w:r>
      <w:r>
        <w:rPr/>
        <w:t xml:space="preserve"> is informative only if the reference differs from the distribution that generated the choices. If Equation (2) is evaluated with the sampling logits, the estimator recovers the nominal temperature by construction. In our experiments the clean-prompt cells therefore serve as a calibration check of the estimator and not as evidence about the hypotheses. Second, the temperature is weakly identified when the reference puts almost all of its probability on the chosen token at every step. The likelihood is then nearly flat in </w:t>
      </w:r>
      <w:r>
        <w:rPr>
          <w:i/>
        </w:rPr>
        <w:t xml:space="preserve">T</w:t>
      </w:r>
      <w:r>
        <w:rPr/>
        <w:t xml:space="preserve">, and the estimate falls on the lower boundary of the search grid. </w:t>
      </w:r>
      <w:r>
        <w:rPr>
          <w:color w:val="0000FF"/>
        </w:rPr>
        <w:t>We flag such cells as not identified rather than interpreting the boundary value; Section 3.3 replaces the fixed saturation threshold by an interval-based rule.</w:t>
      </w:r>
      <w:r>
        <w:rPr/>
        <w:t xml:space="preserve"> Third, T</w:t>
      </w:r>
      <w:r>
        <w:rPr>
          <w:vertAlign w:val="subscript"/>
        </w:rPr>
        <w:t xml:space="preserve">eff</w:t>
      </w:r>
      <w:r>
        <w:rPr/>
        <w:t xml:space="preserve"> captures only a scale. It cannot represent a change in the ordering of the candidates, so a poor fit would be a signal in its own right. </w:t>
      </w:r>
      <w:r>
        <w:rPr>
          <w:color w:val="0000FF"/>
        </w:rPr>
        <w:t>Fit quality is analysed in Sections 3.3 and 5.10.</w:t>
      </w:r>
      <w:r>
        <w:rPr/>
        <w:t xml:space="preserve"> Fourth, the estimator needs access to the logits of the candidate tokens and a second forward pass per step to compute the reference. Interfaces that return only the top-ranked log-probabilities force the computation onto a truncated support.</w:t>
      </w:r>
    </w:p>
    <w:p>
      <w:pPr>
        <w:pStyle w:val="MDPI31text"/>
      </w:pPr>
      <w:r>
        <w:rPr>
          <w:b/>
          <w:color w:val="0000FF"/>
        </w:rPr>
        <w:t xml:space="preserve">What the estimator identifies. </w:t>
      </w:r>
      <w:r>
        <w:rPr>
          <w:color w:val="0000FF"/>
        </w:rPr>
        <w:t xml:space="preserve">The estimator does not separate a context-induced change of preference scale from a change of decision randomness, and we no longer describe it as doing so. Suppose the context rescales the sampling logits, </w:t>
      </w:r>
      <w:r>
        <w:rPr>
          <w:i/>
          <w:color w:val="0000FF"/>
        </w:rPr>
        <w:t>z</w:t>
      </w:r>
      <w:r>
        <w:rPr>
          <w:color w:val="0000FF"/>
        </w:rPr>
        <w:t>t</w:t>
      </w:r>
      <w:r>
        <w:rPr>
          <w:color w:val="0000FF"/>
        </w:rPr>
        <w:t xml:space="preserve"> = </w:t>
      </w:r>
      <w:r>
        <w:rPr>
          <w:i/>
          <w:color w:val="0000FF"/>
        </w:rPr>
        <w:t>a v</w:t>
      </w:r>
      <w:r>
        <w:rPr>
          <w:color w:val="0000FF"/>
        </w:rPr>
        <w:t>t</w:t>
      </w:r>
      <w:r>
        <w:rPr>
          <w:color w:val="0000FF"/>
        </w:rPr>
        <w:t xml:space="preserve">. Then </w:t>
      </w:r>
      <w:r>
        <w:rPr>
          <w:i/>
          <w:color w:val="0000FF"/>
        </w:rPr>
        <w:t>p</w:t>
      </w:r>
      <w:r>
        <w:rPr>
          <w:color w:val="0000FF"/>
        </w:rPr>
        <w:t>(</w:t>
      </w:r>
      <w:r>
        <w:rPr>
          <w:i/>
          <w:color w:val="0000FF"/>
        </w:rPr>
        <w:t>y</w:t>
      </w:r>
      <w:r>
        <w:rPr>
          <w:color w:val="0000FF"/>
        </w:rPr>
        <w:t xml:space="preserve"> | </w:t>
      </w:r>
      <w:r>
        <w:rPr>
          <w:i/>
          <w:color w:val="0000FF"/>
        </w:rPr>
        <w:t>z</w:t>
      </w:r>
      <w:r>
        <w:rPr>
          <w:color w:val="0000FF"/>
        </w:rPr>
        <w:t>t</w:t>
      </w:r>
      <w:r>
        <w:rPr>
          <w:color w:val="0000FF"/>
        </w:rPr>
        <w:t xml:space="preserve">, </w:t>
      </w:r>
      <w:r>
        <w:rPr>
          <w:i/>
          <w:color w:val="0000FF"/>
        </w:rPr>
        <w:t>T</w:t>
      </w:r>
      <w:r>
        <w:rPr>
          <w:color w:val="0000FF"/>
        </w:rPr>
        <w:t xml:space="preserve">) = </w:t>
      </w:r>
      <w:r>
        <w:rPr>
          <w:i/>
          <w:color w:val="0000FF"/>
        </w:rPr>
        <w:t>p</w:t>
      </w:r>
      <w:r>
        <w:rPr>
          <w:color w:val="0000FF"/>
        </w:rPr>
        <w:t>(</w:t>
      </w:r>
      <w:r>
        <w:rPr>
          <w:i/>
          <w:color w:val="0000FF"/>
        </w:rPr>
        <w:t>y</w:t>
      </w:r>
      <w:r>
        <w:rPr>
          <w:color w:val="0000FF"/>
        </w:rPr>
        <w:t xml:space="preserve"> | </w:t>
      </w:r>
      <w:r>
        <w:rPr>
          <w:i/>
          <w:color w:val="0000FF"/>
        </w:rPr>
        <w:t>v</w:t>
      </w:r>
      <w:r>
        <w:rPr>
          <w:color w:val="0000FF"/>
        </w:rPr>
        <w:t>t</w:t>
      </w:r>
      <w:r>
        <w:rPr>
          <w:color w:val="0000FF"/>
        </w:rPr>
        <w:t xml:space="preserve">, </w:t>
      </w:r>
      <w:r>
        <w:rPr>
          <w:i/>
          <w:color w:val="0000FF"/>
        </w:rPr>
        <w:t>T</w:t>
      </w:r>
      <w:r>
        <w:rPr>
          <w:color w:val="0000FF"/>
        </w:rPr>
        <w:t>/</w:t>
      </w:r>
      <w:r>
        <w:rPr>
          <w:i/>
          <w:color w:val="0000FF"/>
        </w:rPr>
        <w:t>a</w:t>
      </w:r>
      <w:r>
        <w:rPr>
          <w:color w:val="0000FF"/>
        </w:rPr>
        <w:t xml:space="preserve">), so </w:t>
      </w:r>
      <w:r>
        <w:rPr>
          <w:i/>
          <w:color w:val="0000FF"/>
        </w:rPr>
        <w:t>T</w:t>
      </w:r>
      <w:r>
        <w:rPr>
          <w:color w:val="0000FF"/>
        </w:rPr>
        <w:t>eff</w:t>
      </w:r>
      <w:r>
        <w:rPr>
          <w:color w:val="0000FF"/>
        </w:rPr>
        <w:t xml:space="preserve"> converges to </w:t>
      </w:r>
      <w:r>
        <w:rPr>
          <w:i/>
          <w:color w:val="0000FF"/>
        </w:rPr>
        <w:t>T</w:t>
      </w:r>
      <w:r>
        <w:rPr>
          <w:color w:val="0000FF"/>
        </w:rPr>
        <w:t>/</w:t>
      </w:r>
      <w:r>
        <w:rPr>
          <w:i/>
          <w:color w:val="0000FF"/>
        </w:rPr>
        <w:t>a</w:t>
      </w:r>
      <w:r>
        <w:rPr>
          <w:color w:val="0000FF"/>
        </w:rPr>
        <w:t>: a context that sharpens preferences (</w:t>
      </w:r>
      <w:r>
        <w:rPr>
          <w:i/>
          <w:color w:val="0000FF"/>
        </w:rPr>
        <w:t>a</w:t>
      </w:r>
      <w:r>
        <w:rPr>
          <w:color w:val="0000FF"/>
        </w:rPr>
        <w:t xml:space="preserve"> &gt; 1) and a lower sampler temperature give the same choice distribution, and choice data identify only their ratio. In our protocol the sampler is not a free unknown. The operator sets </w:t>
      </w:r>
      <w:r>
        <w:rPr>
          <w:i/>
          <w:color w:val="0000FF"/>
        </w:rPr>
        <w:t>T</w:t>
      </w:r>
      <w:r>
        <w:rPr>
          <w:color w:val="0000FF"/>
        </w:rPr>
        <w:t xml:space="preserve">, the logits </w:t>
      </w:r>
      <w:r>
        <w:rPr>
          <w:i/>
          <w:color w:val="0000FF"/>
        </w:rPr>
        <w:t>z</w:t>
      </w:r>
      <w:r>
        <w:rPr>
          <w:color w:val="0000FF"/>
        </w:rPr>
        <w:t>t</w:t>
      </w:r>
      <w:r>
        <w:rPr>
          <w:color w:val="0000FF"/>
        </w:rPr>
        <w:t xml:space="preserve"> are observable, and the draws are exactly those of Equation (1). A gap between </w:t>
      </w:r>
      <w:r>
        <w:rPr>
          <w:i/>
          <w:color w:val="0000FF"/>
        </w:rPr>
        <w:t>T</w:t>
      </w:r>
      <w:r>
        <w:rPr>
          <w:color w:val="0000FF"/>
        </w:rPr>
        <w:t>eff</w:t>
      </w:r>
      <w:r>
        <w:rPr>
          <w:color w:val="0000FF"/>
        </w:rPr>
        <w:t xml:space="preserve"> and </w:t>
      </w:r>
      <w:r>
        <w:rPr>
          <w:i/>
          <w:color w:val="0000FF"/>
        </w:rPr>
        <w:t>T</w:t>
      </w:r>
      <w:r>
        <w:rPr>
          <w:color w:val="0000FF"/>
        </w:rPr>
        <w:t xml:space="preserve"> is therefore caused by the effect of the context on the logits and not by a change in the sampler. </w:t>
      </w:r>
      <w:r>
        <w:rPr>
          <w:i/>
          <w:color w:val="0000FF"/>
        </w:rPr>
        <w:t>T</w:t>
      </w:r>
      <w:r>
        <w:rPr>
          <w:color w:val="0000FF"/>
        </w:rPr>
        <w:t>eff</w:t>
      </w:r>
      <w:r>
        <w:rPr>
          <w:color w:val="0000FF"/>
        </w:rPr>
        <w:t>/</w:t>
      </w:r>
      <w:r>
        <w:rPr>
          <w:i/>
          <w:color w:val="0000FF"/>
        </w:rPr>
        <w:t>T</w:t>
      </w:r>
      <w:r>
        <w:rPr>
          <w:color w:val="0000FF"/>
        </w:rPr>
        <w:t xml:space="preserve"> = 1/</w:t>
      </w:r>
      <w:r>
        <w:rPr>
          <w:i/>
          <w:color w:val="0000FF"/>
        </w:rPr>
        <w:t>a</w:t>
      </w:r>
      <w:r>
        <w:rPr>
          <w:color w:val="0000FF"/>
        </w:rPr>
        <w:t xml:space="preserve"> is the temperature-equivalent of that effect on the logit scale. In a simulation with 12 candidates and 600 choices (Appendix E, S1), </w:t>
      </w:r>
      <w:r>
        <w:rPr>
          <w:i/>
          <w:color w:val="0000FF"/>
        </w:rPr>
        <w:t>T</w:t>
      </w:r>
      <w:r>
        <w:rPr>
          <w:color w:val="0000FF"/>
        </w:rPr>
        <w:t>eff</w:t>
      </w:r>
      <w:r>
        <w:rPr>
          <w:color w:val="0000FF"/>
        </w:rPr>
        <w:t xml:space="preserve"> recovered </w:t>
      </w:r>
      <w:r>
        <w:rPr>
          <w:i/>
          <w:color w:val="0000FF"/>
        </w:rPr>
        <w:t>T</w:t>
      </w:r>
      <w:r>
        <w:rPr>
          <w:color w:val="0000FF"/>
        </w:rPr>
        <w:t>/</w:t>
      </w:r>
      <w:r>
        <w:rPr>
          <w:i/>
          <w:color w:val="0000FF"/>
        </w:rPr>
        <w:t>a</w:t>
      </w:r>
      <w:r>
        <w:rPr>
          <w:color w:val="0000FF"/>
        </w:rPr>
        <w:t xml:space="preserve"> to within 12% for </w:t>
      </w:r>
      <w:r>
        <w:rPr>
          <w:i/>
          <w:color w:val="0000FF"/>
        </w:rPr>
        <w:t>a</w:t>
      </w:r>
      <w:r>
        <w:rPr>
          <w:color w:val="0000FF"/>
        </w:rPr>
        <w:t xml:space="preserve"> in {0.5, 1, 2} and </w:t>
      </w:r>
      <w:r>
        <w:rPr>
          <w:i/>
          <w:color w:val="0000FF"/>
        </w:rPr>
        <w:t>T</w:t>
      </w:r>
      <w:r>
        <w:rPr>
          <w:color w:val="0000FF"/>
        </w:rPr>
        <w:t xml:space="preserve"> in {0.8, 2.0}.</w:t>
      </w:r>
    </w:p>
    <w:p>
      <w:pPr>
        <w:pStyle w:val="MDPI31text"/>
      </w:pPr>
      <w:r>
        <w:rPr>
          <w:b/>
          <w:color w:val="0000FF"/>
        </w:rPr>
        <w:t xml:space="preserve">Misspecification, fit and the part that scale cannot explain. </w:t>
      </w:r>
      <w:r>
        <w:rPr>
          <w:color w:val="0000FF"/>
        </w:rPr>
        <w:t xml:space="preserve">When the context also changes the ordering of the candidates, </w:t>
      </w:r>
      <w:r>
        <w:rPr>
          <w:i/>
          <w:color w:val="0000FF"/>
        </w:rPr>
        <w:t>z</w:t>
      </w:r>
      <w:r>
        <w:rPr>
          <w:color w:val="0000FF"/>
        </w:rPr>
        <w:t>t</w:t>
      </w:r>
      <w:r>
        <w:rPr>
          <w:color w:val="0000FF"/>
        </w:rPr>
        <w:t xml:space="preserve"> = </w:t>
      </w:r>
      <w:r>
        <w:rPr>
          <w:i/>
          <w:color w:val="0000FF"/>
        </w:rPr>
        <w:t>a v</w:t>
      </w:r>
      <w:r>
        <w:rPr>
          <w:color w:val="0000FF"/>
        </w:rPr>
        <w:t>t</w:t>
      </w:r>
      <w:r>
        <w:rPr>
          <w:color w:val="0000FF"/>
        </w:rPr>
        <w:t xml:space="preserve"> + </w:t>
      </w:r>
      <w:r>
        <w:rPr>
          <w:i/>
          <w:color w:val="0000FF"/>
        </w:rPr>
        <w:t>r</w:t>
      </w:r>
      <w:r>
        <w:rPr>
          <w:color w:val="0000FF"/>
        </w:rPr>
        <w:t>t</w:t>
      </w:r>
      <w:r>
        <w:rPr>
          <w:color w:val="0000FF"/>
        </w:rPr>
        <w:t>, Equation (2) is a quasi-likelihood. Its maximizer converges to the pseudo-true value τ</w:t>
      </w:r>
      <w:r>
        <w:rPr>
          <w:color w:val="0000FF"/>
          <w:vertAlign w:val="superscript"/>
        </w:rPr>
        <w:t>*</w:t>
      </w:r>
      <w:r>
        <w:rPr>
          <w:color w:val="0000FF"/>
        </w:rPr>
        <w:t xml:space="preserve"> = argmin</w:t>
      </w:r>
      <w:r>
        <w:rPr>
          <w:color w:val="0000FF"/>
        </w:rPr>
        <w:t>τ</w:t>
      </w:r>
      <w:r>
        <w:rPr>
          <w:color w:val="0000FF"/>
        </w:rPr>
        <w:t xml:space="preserve"> E KL(</w:t>
      </w:r>
      <w:r>
        <w:rPr>
          <w:i/>
          <w:color w:val="0000FF"/>
        </w:rPr>
        <w:t>p</w:t>
      </w:r>
      <w:r>
        <w:rPr>
          <w:color w:val="0000FF"/>
        </w:rPr>
        <w:t>(·|</w:t>
      </w:r>
      <w:r>
        <w:rPr>
          <w:i/>
          <w:color w:val="0000FF"/>
        </w:rPr>
        <w:t>z</w:t>
      </w:r>
      <w:r>
        <w:rPr>
          <w:color w:val="0000FF"/>
        </w:rPr>
        <w:t>,</w:t>
      </w:r>
      <w:r>
        <w:rPr>
          <w:i/>
          <w:color w:val="0000FF"/>
        </w:rPr>
        <w:t>T</w:t>
      </w:r>
      <w:r>
        <w:rPr>
          <w:color w:val="0000FF"/>
        </w:rPr>
        <w:t xml:space="preserve">) ‖ </w:t>
      </w:r>
      <w:r>
        <w:rPr>
          <w:i/>
          <w:color w:val="0000FF"/>
        </w:rPr>
        <w:t>p</w:t>
      </w:r>
      <w:r>
        <w:rPr>
          <w:color w:val="0000FF"/>
        </w:rPr>
        <w:t>(·|</w:t>
      </w:r>
      <w:r>
        <w:rPr>
          <w:i/>
          <w:color w:val="0000FF"/>
        </w:rPr>
        <w:t>v</w:t>
      </w:r>
      <w:r>
        <w:rPr>
          <w:color w:val="0000FF"/>
        </w:rPr>
        <w:t xml:space="preserve">,τ)) [19], and the minimized divergence κ measures what no rescaling of the reference can reproduce. Every choice is drawn conditionally on the realized history, so Equation (2) is a partial likelihood, and we resample whole trajectories for inference. A reordering context does not show up as a different </w:t>
      </w:r>
      <w:r>
        <w:rPr>
          <w:i/>
          <w:color w:val="0000FF"/>
        </w:rPr>
        <w:t>T</w:t>
      </w:r>
      <w:r>
        <w:rPr>
          <w:color w:val="0000FF"/>
        </w:rPr>
        <w:t>eff</w:t>
      </w:r>
      <w:r>
        <w:rPr>
          <w:color w:val="0000FF"/>
        </w:rPr>
        <w:t xml:space="preserve">. In the simulation it sent the estimate to the upper grid bound (20) and lowered the log-likelihood per step to the uniform value (between -2.49 and -2.47 against log(1/12) = -2.48), whereas pure rescaling gave -2.37 to -0.57. </w:t>
      </w:r>
      <w:r>
        <w:rPr>
          <w:i/>
          <w:color w:val="0000FF"/>
        </w:rPr>
        <w:t>T</w:t>
      </w:r>
      <w:r>
        <w:rPr>
          <w:color w:val="0000FF"/>
        </w:rPr>
        <w:t>eff</w:t>
      </w:r>
      <w:r>
        <w:rPr>
          <w:color w:val="0000FF"/>
        </w:rPr>
        <w:t xml:space="preserve"> must therefore be reported together with its fit, and we do so from Section 5.9 on.</w:t>
      </w:r>
    </w:p>
    <w:p>
      <w:pPr>
        <w:pStyle w:val="MDPI31text"/>
      </w:pPr>
      <w:r>
        <w:rPr>
          <w:b/>
          <w:color w:val="0000FF"/>
        </w:rPr>
        <w:t xml:space="preserve">Distributional estimator. </w:t>
      </w:r>
      <w:r>
        <w:rPr>
          <w:color w:val="0000FF"/>
        </w:rPr>
        <w:t xml:space="preserve">Because the sampling logits are observable in an open-weight model, we also compute </w:t>
      </w:r>
      <w:r>
        <w:rPr>
          <w:i/>
          <w:color w:val="0000FF"/>
        </w:rPr>
        <w:t>T</w:t>
      </w:r>
      <w:r>
        <w:rPr>
          <w:color w:val="0000FF"/>
        </w:rPr>
        <w:t>eff</w:t>
      </w:r>
      <w:r>
        <w:rPr>
          <w:color w:val="0000FF"/>
          <w:vertAlign w:val="superscript"/>
        </w:rPr>
        <w:t>dist</w:t>
      </w:r>
      <w:r>
        <w:rPr>
          <w:color w:val="0000FF"/>
        </w:rPr>
        <w:t xml:space="preserve"> = argmin</w:t>
      </w:r>
      <w:r>
        <w:rPr>
          <w:color w:val="0000FF"/>
        </w:rPr>
        <w:t>τ</w:t>
      </w:r>
      <w:r>
        <w:rPr>
          <w:color w:val="0000FF"/>
        </w:rPr>
        <w:t xml:space="preserve"> (1/</w:t>
      </w:r>
      <w:r>
        <w:rPr>
          <w:i/>
          <w:color w:val="0000FF"/>
        </w:rPr>
        <w:t>n</w:t>
      </w:r>
      <w:r>
        <w:rPr>
          <w:color w:val="0000FF"/>
        </w:rPr>
        <w:t>) Σ</w:t>
      </w:r>
      <w:r>
        <w:rPr>
          <w:color w:val="0000FF"/>
        </w:rPr>
        <w:t>t</w:t>
      </w:r>
      <w:r>
        <w:rPr>
          <w:color w:val="0000FF"/>
        </w:rPr>
        <w:t xml:space="preserve"> KL(</w:t>
      </w:r>
      <w:r>
        <w:rPr>
          <w:i/>
          <w:color w:val="0000FF"/>
        </w:rPr>
        <w:t>p</w:t>
      </w:r>
      <w:r>
        <w:rPr>
          <w:color w:val="0000FF"/>
        </w:rPr>
        <w:t>(·|</w:t>
      </w:r>
      <w:r>
        <w:rPr>
          <w:i/>
          <w:color w:val="0000FF"/>
        </w:rPr>
        <w:t>z</w:t>
      </w:r>
      <w:r>
        <w:rPr>
          <w:color w:val="0000FF"/>
        </w:rPr>
        <w:t>t</w:t>
      </w:r>
      <w:r>
        <w:rPr>
          <w:color w:val="0000FF"/>
        </w:rPr>
        <w:t>,</w:t>
      </w:r>
      <w:r>
        <w:rPr>
          <w:i/>
          <w:color w:val="0000FF"/>
        </w:rPr>
        <w:t>T</w:t>
      </w:r>
      <w:r>
        <w:rPr>
          <w:color w:val="0000FF"/>
        </w:rPr>
        <w:t xml:space="preserve">) ‖ </w:t>
      </w:r>
      <w:r>
        <w:rPr>
          <w:i/>
          <w:color w:val="0000FF"/>
        </w:rPr>
        <w:t>p</w:t>
      </w:r>
      <w:r>
        <w:rPr>
          <w:color w:val="0000FF"/>
        </w:rPr>
        <w:t>(·|</w:t>
      </w:r>
      <w:r>
        <w:rPr>
          <w:i/>
          <w:color w:val="0000FF"/>
        </w:rPr>
        <w:t>v</w:t>
      </w:r>
      <w:r>
        <w:rPr>
          <w:color w:val="0000FF"/>
        </w:rPr>
        <w:t>t</w:t>
      </w:r>
      <w:r>
        <w:rPr>
          <w:color w:val="0000FF"/>
        </w:rPr>
        <w:t>,τ)). It uses the whole sampling distribution instead of one draw per step, so it has no draw noise, and its minimum κ is the non-scale part of the mismatch. It requires the same two forward passes as the sample-based estimator. The sample-based form remains the one that applies when only sampled tokens and the reference are available.</w:t>
      </w:r>
    </w:p>
    <w:p>
      <w:pPr>
        <w:pStyle w:val="MDPI31text"/>
      </w:pPr>
      <w:r>
        <w:rPr>
          <w:b/>
          <w:color w:val="0000FF"/>
        </w:rPr>
        <w:t xml:space="preserve">Reference construction. </w:t>
      </w:r>
      <w:r>
        <w:rPr>
          <w:color w:val="0000FF"/>
        </w:rPr>
        <w:t>The reference in the main experiments is the clean-context distribution on the realized history ("same history"). It inherits the history, so once the realized history contains a run of repeated wrong tokens the reference can itself be saturated on the repeated token (Table 9), and the estimator is then blind. We therefore compare it with two repairs that change the history seen by the reference and not the prompt. In the "gold-repaired" reference, the history is replaced by the correct list prefix ending at the item last produced. It needs the task order and is therefore label-like. In the "de-duplicated" reference, runs of identical consecutive items are collapsed, which is label-free and needs only a repetition detector. We also tried a position-blind reference that sees only the first item, but in these tasks it always predicts the second item, which is the attractor itself, so it is degenerate and is not used. No reference is neutral. The same-history reference measures consistency with the model's own conditioned valuation, and the repaired references measure departure from the valuation under a repaired history, which confounds the distorting prompt with the repair. The label-based reference (one-hot on the correct item) is the log-likelihood of correctness and underlies ECE. A reference from a different model is possible but not tested.</w:t>
      </w:r>
    </w:p>
    <w:p>
      <w:pPr>
        <w:pStyle w:val="MDPI31text"/>
      </w:pPr>
      <w:r>
        <w:rPr>
          <w:b/>
          <w:color w:val="0000FF"/>
        </w:rPr>
        <w:t xml:space="preserve">Uncertainty and the identification rule. </w:t>
      </w:r>
      <w:r>
        <w:rPr>
          <w:color w:val="0000FF"/>
        </w:rPr>
        <w:t xml:space="preserve">The pooled log-likelihood over a cell gives a profile-likelihood interval for </w:t>
      </w:r>
      <w:r>
        <w:rPr>
          <w:i/>
          <w:color w:val="0000FF"/>
        </w:rPr>
        <w:t>T</w:t>
      </w:r>
      <w:r>
        <w:rPr>
          <w:color w:val="0000FF"/>
        </w:rPr>
        <w:t>eff</w:t>
      </w:r>
      <w:r>
        <w:rPr>
          <w:color w:val="0000FF"/>
        </w:rPr>
        <w:t xml:space="preserve"> (all τ on the grid with a likelihood-ratio statistic below 3.84), and we also report a percentile bootstrap over trajectories. A cell is called identified if its 95% profile interval is bounded away from both ends of the grid and its upper bound is at most four times its lower bound. The earlier rule (mean reference probability of the chosen items at most 0.999) is kept as a secondary flag. The simulations in Appendix E (S2, S3) show why a fixed threshold is not enough: with six choices the interval is wide whatever the reference, and the interval widens sharply well below a mean reference probability of 0.999.</w:t>
      </w:r>
    </w:p>
    <w:p>
      <w:pPr>
        <w:pStyle w:val="MDPI22heading2"/>
        <w:keepNext/>
      </w:pPr>
      <w:r>
        <w:rPr/>
        <w:t xml:space="preserve">3.4. Hypotheses</w:t>
      </w:r>
    </w:p>
    <w:p>
      <w:pPr>
        <w:pStyle w:val="MDPI31text"/>
      </w:pPr>
      <w:r>
        <w:rPr/>
        <w:t xml:space="preserve">We distinguish contextual pressure, defined as input that imposes mutually unsatisfiable demands, from content contamination, defined as negatively valenced or defensive content in the context. Both are properties of the input and are fixed before any output is generated, so hypotheses about their effect on the choice process are empirical and not true by definition (Table 1). The hypotheses are as follows.</w:t>
      </w:r>
    </w:p>
    <w:p>
      <w:pPr>
        <w:pStyle w:val="MDPI31text"/>
      </w:pPr>
      <w:r>
        <w:rPr>
          <w:b/>
        </w:rPr>
        <w:t xml:space="preserve">H1.</w:t>
      </w:r>
      <w:r>
        <w:rPr/>
        <w:t xml:space="preserve"> Contextual pressure raises the effective decision temperature above the nominal sampling temperature.</w:t>
      </w:r>
    </w:p>
    <w:p>
      <w:pPr>
        <w:pStyle w:val="MDPI31text"/>
      </w:pPr>
      <w:r>
        <w:rPr>
          <w:b/>
        </w:rPr>
        <w:t xml:space="preserve">H2.</w:t>
      </w:r>
      <w:r>
        <w:rPr/>
        <w:t xml:space="preserve"> On compounding tasks that the model can solve, the relationship between nominal temperature and accuracy is inverted-U shaped only if an off-path attractor is sticky at low temperature and escapable at moderate temperature. With no attractor, or with an attractor that is too weak or too strong, accuracy has no interior peak.</w:t>
      </w:r>
    </w:p>
    <w:p>
      <w:pPr>
        <w:pStyle w:val="MDPI31text"/>
      </w:pPr>
      <w:r>
        <w:rPr>
          <w:b/>
        </w:rPr>
        <w:t xml:space="preserve">H3.</w:t>
      </w:r>
      <w:r>
        <w:rPr/>
        <w:t xml:space="preserve"> Content contamination strengthens the effect of pressure. The strengthening should be larger when the contaminated content lies close to a dominant response than when it is diffuse negative sentiment.</w:t>
      </w:r>
    </w:p>
    <w:p>
      <w:pPr>
        <w:pStyle w:val="MDPI31text"/>
      </w:pPr>
      <w:r>
        <w:rPr/>
        <w:t xml:space="preserve">The reasoning behind H2 is as follows. If there is no attractor, a greedy agent that starts on the correct path stays on it, and accuracy can only fall as noise is added. If the attractor is weak, low temperatures absorb the error and accuracy again falls with temperature. If the attractor is very strong, moderate temperatures cannot dislodge it, so accuracy remains near the floor over the range of temperatures that is sampled. An interior peak requires an intermediate case in which greedy decoding is trapped but moderate noise lets the agent escape (Table 2). Strength is a continuous quantity, so the regime into which a given attractor falls depends on the temperature range that is examined.</w:t>
      </w:r>
    </w:p>
    <w:p>
      <w:pPr>
        <w:pStyle w:val="MDPI31text"/>
      </w:pPr>
      <w:r>
        <w:rPr>
          <w:color w:val="0000FF"/>
        </w:rPr>
        <w:t xml:space="preserve"> A stylised model makes the boundary explicit. Let there be </w:t>
      </w:r>
      <w:r>
        <w:rPr>
          <w:i/>
          <w:color w:val="0000FF"/>
        </w:rPr>
        <w:t>K</w:t>
      </w:r>
      <w:r>
        <w:rPr>
          <w:color w:val="0000FF"/>
        </w:rPr>
        <w:t xml:space="preserve"> candidates, let the attractor have a logit advantage Δ &gt; 0 over the correct item, and let the other </w:t>
      </w:r>
      <w:r>
        <w:rPr>
          <w:i/>
          <w:color w:val="0000FF"/>
        </w:rPr>
        <w:t>K</w:t>
      </w:r>
      <w:r>
        <w:rPr>
          <w:color w:val="0000FF"/>
        </w:rPr>
        <w:t xml:space="preserve"> - 2 candidates lie </w:t>
      </w:r>
      <w:r>
        <w:rPr>
          <w:i/>
          <w:color w:val="0000FF"/>
        </w:rPr>
        <w:t>g</w:t>
      </w:r>
      <w:r>
        <w:rPr>
          <w:color w:val="0000FF"/>
        </w:rPr>
        <w:t xml:space="preserve"> below the correct item. The probability of the correct item is </w:t>
      </w:r>
      <w:r>
        <w:rPr>
          <w:i/>
          <w:color w:val="0000FF"/>
        </w:rPr>
        <w:t>p</w:t>
      </w:r>
      <w:r>
        <w:rPr>
          <w:color w:val="0000FF"/>
        </w:rPr>
        <w:t>c</w:t>
      </w:r>
      <w:r>
        <w:rPr>
          <w:color w:val="0000FF"/>
        </w:rPr>
        <w:t>(</w:t>
      </w:r>
      <w:r>
        <w:rPr>
          <w:i/>
          <w:color w:val="0000FF"/>
        </w:rPr>
        <w:t>T</w:t>
      </w:r>
      <w:r>
        <w:rPr>
          <w:color w:val="0000FF"/>
        </w:rPr>
        <w:t>) = [exp(Δ/</w:t>
      </w:r>
      <w:r>
        <w:rPr>
          <w:i/>
          <w:color w:val="0000FF"/>
        </w:rPr>
        <w:t>T</w:t>
      </w:r>
      <w:r>
        <w:rPr>
          <w:color w:val="0000FF"/>
        </w:rPr>
        <w:t>) + 1 + (</w:t>
      </w:r>
      <w:r>
        <w:rPr>
          <w:i/>
          <w:color w:val="0000FF"/>
        </w:rPr>
        <w:t>K</w:t>
      </w:r>
      <w:r>
        <w:rPr>
          <w:color w:val="0000FF"/>
        </w:rPr>
        <w:t xml:space="preserve"> - 2)exp(-</w:t>
      </w:r>
      <w:r>
        <w:rPr>
          <w:i/>
          <w:color w:val="0000FF"/>
        </w:rPr>
        <w:t>g</w:t>
      </w:r>
      <w:r>
        <w:rPr>
          <w:color w:val="0000FF"/>
        </w:rPr>
        <w:t>/</w:t>
      </w:r>
      <w:r>
        <w:rPr>
          <w:i/>
          <w:color w:val="0000FF"/>
        </w:rPr>
        <w:t>T</w:t>
      </w:r>
      <w:r>
        <w:rPr>
          <w:color w:val="0000FF"/>
        </w:rPr>
        <w:t>)]</w:t>
      </w:r>
      <w:r>
        <w:rPr>
          <w:color w:val="0000FF"/>
          <w:vertAlign w:val="superscript"/>
        </w:rPr>
        <w:t>-1</w:t>
      </w:r>
      <w:r>
        <w:rPr>
          <w:color w:val="0000FF"/>
        </w:rPr>
        <w:t xml:space="preserve">. It is zero at </w:t>
      </w:r>
      <w:r>
        <w:rPr>
          <w:i/>
          <w:color w:val="0000FF"/>
        </w:rPr>
        <w:t>T</w:t>
      </w:r>
      <w:r>
        <w:rPr>
          <w:color w:val="0000FF"/>
        </w:rPr>
        <w:t xml:space="preserve"> → 0, tends to 1/</w:t>
      </w:r>
      <w:r>
        <w:rPr>
          <w:i/>
          <w:color w:val="0000FF"/>
        </w:rPr>
        <w:t>K</w:t>
      </w:r>
      <w:r>
        <w:rPr>
          <w:color w:val="0000FF"/>
        </w:rPr>
        <w:t xml:space="preserve"> as </w:t>
      </w:r>
      <w:r>
        <w:rPr>
          <w:i/>
          <w:color w:val="0000FF"/>
        </w:rPr>
        <w:t>T</w:t>
      </w:r>
      <w:r>
        <w:rPr>
          <w:color w:val="0000FF"/>
        </w:rPr>
        <w:t xml:space="preserve"> → ∞, and the denominator behaves as </w:t>
      </w:r>
      <w:r>
        <w:rPr>
          <w:i/>
          <w:color w:val="0000FF"/>
        </w:rPr>
        <w:t>K</w:t>
      </w:r>
      <w:r>
        <w:rPr>
          <w:color w:val="0000FF"/>
        </w:rPr>
        <w:t xml:space="preserve"> + [Δ - (</w:t>
      </w:r>
      <w:r>
        <w:rPr>
          <w:i/>
          <w:color w:val="0000FF"/>
        </w:rPr>
        <w:t>K</w:t>
      </w:r>
      <w:r>
        <w:rPr>
          <w:color w:val="0000FF"/>
        </w:rPr>
        <w:t xml:space="preserve"> - 2)</w:t>
      </w:r>
      <w:r>
        <w:rPr>
          <w:i/>
          <w:color w:val="0000FF"/>
        </w:rPr>
        <w:t>g</w:t>
      </w:r>
      <w:r>
        <w:rPr>
          <w:color w:val="0000FF"/>
        </w:rPr>
        <w:t>]/</w:t>
      </w:r>
      <w:r>
        <w:rPr>
          <w:i/>
          <w:color w:val="0000FF"/>
        </w:rPr>
        <w:t>T</w:t>
      </w:r>
      <w:r>
        <w:rPr>
          <w:color w:val="0000FF"/>
        </w:rPr>
        <w:t xml:space="preserve"> at high </w:t>
      </w:r>
      <w:r>
        <w:rPr>
          <w:i/>
          <w:color w:val="0000FF"/>
        </w:rPr>
        <w:t>T</w:t>
      </w:r>
      <w:r>
        <w:rPr>
          <w:color w:val="0000FF"/>
        </w:rPr>
        <w:t>. An interior maximum therefore exists if and only if Δ &lt; (</w:t>
      </w:r>
      <w:r>
        <w:rPr>
          <w:i/>
          <w:color w:val="0000FF"/>
        </w:rPr>
        <w:t>K</w:t>
      </w:r>
      <w:r>
        <w:rPr>
          <w:color w:val="0000FF"/>
        </w:rPr>
        <w:t xml:space="preserve"> - 2)</w:t>
      </w:r>
      <w:r>
        <w:rPr>
          <w:i/>
          <w:color w:val="0000FF"/>
        </w:rPr>
        <w:t>g</w:t>
      </w:r>
      <w:r>
        <w:rPr>
          <w:color w:val="0000FF"/>
        </w:rPr>
        <w:t>. Otherwise accuracy rises monotonically to 1/</w:t>
      </w:r>
      <w:r>
        <w:rPr>
          <w:i/>
          <w:color w:val="0000FF"/>
        </w:rPr>
        <w:t>K</w:t>
      </w:r>
      <w:r>
        <w:rPr>
          <w:color w:val="0000FF"/>
        </w:rPr>
        <w:t xml:space="preserve">. We confirmed the condition numerically for 36 combinations of </w:t>
      </w:r>
      <w:r>
        <w:rPr>
          <w:i/>
          <w:color w:val="0000FF"/>
        </w:rPr>
        <w:t>K</w:t>
      </w:r>
      <w:r>
        <w:rPr>
          <w:color w:val="0000FF"/>
        </w:rPr>
        <w:t xml:space="preserve"> (8, 26), </w:t>
      </w:r>
      <w:r>
        <w:rPr>
          <w:i/>
          <w:color w:val="0000FF"/>
        </w:rPr>
        <w:t>g</w:t>
      </w:r>
      <w:r>
        <w:rPr>
          <w:color w:val="0000FF"/>
        </w:rPr>
        <w:t xml:space="preserve"> and Δ (agreement 100%; Appendix E, S4). Strength is continuous, the boundary depends on </w:t>
      </w:r>
      <w:r>
        <w:rPr>
          <w:i/>
          <w:color w:val="0000FF"/>
        </w:rPr>
        <w:t>K</w:t>
      </w:r>
      <w:r>
        <w:rPr>
          <w:color w:val="0000FF"/>
        </w:rPr>
        <w:t xml:space="preserve"> and </w:t>
      </w:r>
      <w:r>
        <w:rPr>
          <w:i/>
          <w:color w:val="0000FF"/>
        </w:rPr>
        <w:t>g</w:t>
      </w:r>
      <w:r>
        <w:rPr>
          <w:color w:val="0000FF"/>
        </w:rPr>
        <w:t xml:space="preserve"> and hence on the task and the model, and the peak temperature grows with Δ (for </w:t>
      </w:r>
      <w:r>
        <w:rPr>
          <w:i/>
          <w:color w:val="0000FF"/>
        </w:rPr>
        <w:t>K</w:t>
      </w:r>
      <w:r>
        <w:rPr>
          <w:color w:val="0000FF"/>
        </w:rPr>
        <w:t xml:space="preserve"> = 26 and </w:t>
      </w:r>
      <w:r>
        <w:rPr>
          <w:i/>
          <w:color w:val="0000FF"/>
        </w:rPr>
        <w:t>g</w:t>
      </w:r>
      <w:r>
        <w:rPr>
          <w:color w:val="0000FF"/>
        </w:rPr>
        <w:t xml:space="preserve"> = 1 it is 0.6, 1.9, 5.1 and 18.7 for Δ = 1, 3, 6 and 12). A strong attractor can thus have an interior peak when </w:t>
      </w:r>
      <w:r>
        <w:rPr>
          <w:i/>
          <w:color w:val="0000FF"/>
        </w:rPr>
        <w:t>g</w:t>
      </w:r>
      <w:r>
        <w:rPr>
          <w:color w:val="0000FF"/>
        </w:rPr>
        <w:t xml:space="preserve"> is large, and its peak can lie beyond any fixed grid. This is a one-step caricature and not a model of the trajectories.</w:t>
      </w:r>
    </w:p>
    <w:p>
      <w:pPr>
        <w:pStyle w:val="MDPI31text"/>
      </w:pPr>
      <w:r>
        <w:rPr/>
        <w:t xml:space="preserve">We also discuss, but do not test, two implications. A context reset should remove distortion that resides in the context but not distortion that resides in the weights. And monitoring T</w:t>
      </w:r>
      <w:r>
        <w:rPr>
          <w:vertAlign w:val="subscript"/>
        </w:rPr>
        <w:t xml:space="preserve">eff</w:t>
      </w:r>
      <w:r>
        <w:rPr/>
        <w:t xml:space="preserve"> could inform a state-contingent decision about whether to leave a task with an agent. Both require designs that go beyond the present study.</w:t>
      </w:r>
    </w:p>
    <w:p>
      <w:pPr>
        <w:pStyle w:val="MDPI22heading2"/>
        <w:keepNext/>
      </w:pPr>
      <w:r>
        <w:rPr/>
        <w:t xml:space="preserve">3.5. Comparison Indicators</w:t>
      </w:r>
    </w:p>
    <w:p>
      <w:pPr>
        <w:pStyle w:val="MDPI31text"/>
      </w:pPr>
      <w:r>
        <w:rPr/>
        <w:t xml:space="preserve">We compare T</w:t>
      </w:r>
      <w:r>
        <w:rPr>
          <w:vertAlign w:val="subscript"/>
        </w:rPr>
        <w:t xml:space="preserve">eff</w:t>
      </w:r>
      <w:r>
        <w:rPr/>
        <w:t xml:space="preserve"> with four established indicators computed on the same trajectories. Token entropy is the mean entropy of the sampling distribution over a trajectory. Confidence is the mean probability that the sampling distribution assigns to the item that was chosen. The expected calibration error (ECE) is computed with five equal-width confidence bins, comparing the probability assigned to the chosen item with whether that item was correct, so it requires ground-truth labels. The discrete semantic entropy is the entropy of the empirical distribution over complete sampled completions. In the closed-vocabulary tasks used here, two completions mean the same thing only if they are identical, so the clustering step reduces to exact matching. Table 3 summarizes what each indicator requires.</w:t>
      </w:r>
    </w:p>
    <w:p>
      <w:pPr>
        <w:pStyle w:val="MDPI41tablecaption"/>
        <w:keepNext/>
      </w:pPr>
      <w:r>
        <w:rPr>
          <w:b/>
        </w:rPr>
        <w:t xml:space="preserve">Table 1.</w:t>
      </w:r>
      <w:r>
        <w:rPr/>
        <w:t xml:space="preserve"> Constructs and indicators.</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965"/>
        <w:gridCol w:w="2945"/>
        <w:gridCol w:w="2948"/>
      </w:tblGrid>
      <w:tr>
        <w:trPr>
          <w:cantSplit/>
          <w:tblHeader/>
        </w:trPr>
        <w:tc>
          <w:tcPr>
            <w:tcW w:w="1965" w:type="dxa"/>
            <w:tcBorders>
              <w:top w:val="single" w:sz="8" w:space="0" w:color="000000"/>
              <w:bottom w:val="single" w:sz="4" w:space="0" w:color="000000"/>
            </w:tcBorders>
            <w:vAlign w:val="center"/>
          </w:tcPr>
          <w:p>
            <w:pPr>
              <w:pStyle w:val="MDPI42tablebody"/>
              <w:jc w:val="left"/>
            </w:pPr>
            <w:r>
              <w:rPr>
                <w:b/>
                <w:sz w:val="18"/>
                <w:szCs w:val="18"/>
              </w:rPr>
              <w:t xml:space="preserve">Construct</w:t>
            </w:r>
          </w:p>
        </w:tc>
        <w:tc>
          <w:tcPr>
            <w:tcW w:w="2945" w:type="dxa"/>
            <w:tcBorders>
              <w:top w:val="single" w:sz="8" w:space="0" w:color="000000"/>
              <w:bottom w:val="single" w:sz="4" w:space="0" w:color="000000"/>
            </w:tcBorders>
            <w:vAlign w:val="center"/>
          </w:tcPr>
          <w:p>
            <w:pPr>
              <w:pStyle w:val="MDPI42tablebody"/>
              <w:jc w:val="left"/>
            </w:pPr>
            <w:r>
              <w:rPr>
                <w:b/>
                <w:sz w:val="18"/>
                <w:szCs w:val="18"/>
              </w:rPr>
              <w:t xml:space="preserve">Definition</w:t>
            </w:r>
          </w:p>
        </w:tc>
        <w:tc>
          <w:tcPr>
            <w:tcW w:w="2948" w:type="dxa"/>
            <w:tcBorders>
              <w:top w:val="single" w:sz="8" w:space="0" w:color="000000"/>
              <w:bottom w:val="single" w:sz="4" w:space="0" w:color="000000"/>
            </w:tcBorders>
            <w:vAlign w:val="center"/>
          </w:tcPr>
          <w:p>
            <w:pPr>
              <w:pStyle w:val="MDPI42tablebody"/>
              <w:jc w:val="left"/>
            </w:pPr>
            <w:r>
              <w:rPr>
                <w:b/>
                <w:sz w:val="18"/>
                <w:szCs w:val="18"/>
              </w:rPr>
              <w:t xml:space="preserve">Operationalization</w:t>
            </w:r>
          </w:p>
        </w:tc>
      </w:tr>
      <w:tr>
        <w:trPr>
          <w:cantSplit/>
        </w:trPr>
        <w:tc>
          <w:tcPr>
            <w:tcW w:w="1965" w:type="dxa"/>
            <w:tcBorders/>
            <w:vAlign w:val="center"/>
          </w:tcPr>
          <w:p>
            <w:pPr>
              <w:pStyle w:val="MDPI42tablebody"/>
              <w:jc w:val="left"/>
            </w:pPr>
            <w:r>
              <w:rPr>
                <w:sz w:val="18"/>
                <w:szCs w:val="18"/>
              </w:rPr>
              <w:t xml:space="preserve">Contextual pressure</w:t>
            </w:r>
          </w:p>
        </w:tc>
        <w:tc>
          <w:tcPr>
            <w:tcW w:w="2945" w:type="dxa"/>
            <w:tcBorders/>
            <w:vAlign w:val="center"/>
          </w:tcPr>
          <w:p>
            <w:pPr>
              <w:pStyle w:val="MDPI42tablebody"/>
              <w:jc w:val="left"/>
            </w:pPr>
            <w:r>
              <w:rPr>
                <w:sz w:val="18"/>
                <w:szCs w:val="18"/>
              </w:rPr>
              <w:t xml:space="preserve">Input that imposes mutually unsatisfiable demands or penalties.</w:t>
            </w:r>
          </w:p>
        </w:tc>
        <w:tc>
          <w:tcPr>
            <w:tcW w:w="2948" w:type="dxa"/>
            <w:tcBorders/>
            <w:vAlign w:val="center"/>
          </w:tcPr>
          <w:p>
            <w:pPr>
              <w:pStyle w:val="MDPI42tablebody"/>
              <w:jc w:val="left"/>
            </w:pPr>
            <w:r>
              <w:rPr>
                <w:sz w:val="18"/>
                <w:szCs w:val="18"/>
              </w:rPr>
              <w:t xml:space="preserve">Added rule text with contradictory demands (Appendix A).</w:t>
            </w:r>
          </w:p>
        </w:tc>
      </w:tr>
      <w:tr>
        <w:trPr>
          <w:cantSplit/>
        </w:trPr>
        <w:tc>
          <w:tcPr>
            <w:tcW w:w="1965" w:type="dxa"/>
            <w:tcBorders/>
            <w:vAlign w:val="center"/>
          </w:tcPr>
          <w:p>
            <w:pPr>
              <w:pStyle w:val="MDPI42tablebody"/>
              <w:jc w:val="left"/>
            </w:pPr>
            <w:r>
              <w:rPr>
                <w:sz w:val="18"/>
                <w:szCs w:val="18"/>
              </w:rPr>
              <w:t xml:space="preserve">Content contamination</w:t>
            </w:r>
          </w:p>
        </w:tc>
        <w:tc>
          <w:tcPr>
            <w:tcW w:w="2945" w:type="dxa"/>
            <w:tcBorders/>
            <w:vAlign w:val="center"/>
          </w:tcPr>
          <w:p>
            <w:pPr>
              <w:pStyle w:val="MDPI42tablebody"/>
              <w:jc w:val="left"/>
            </w:pPr>
            <w:r>
              <w:rPr>
                <w:sz w:val="18"/>
                <w:szCs w:val="18"/>
              </w:rPr>
              <w:t xml:space="preserve">Negatively valenced or defensive content in the context.</w:t>
            </w:r>
          </w:p>
        </w:tc>
        <w:tc>
          <w:tcPr>
            <w:tcW w:w="2948" w:type="dxa"/>
            <w:tcBorders/>
            <w:vAlign w:val="center"/>
          </w:tcPr>
          <w:p>
            <w:pPr>
              <w:pStyle w:val="MDPI42tablebody"/>
              <w:jc w:val="left"/>
            </w:pPr>
            <w:r>
              <w:rPr>
                <w:sz w:val="18"/>
                <w:szCs w:val="18"/>
              </w:rPr>
              <w:t xml:space="preserve">Added text predicting failure, without contradictory demands.</w:t>
            </w:r>
          </w:p>
        </w:tc>
      </w:tr>
      <w:tr>
        <w:trPr>
          <w:cantSplit/>
        </w:trPr>
        <w:tc>
          <w:tcPr>
            <w:tcW w:w="1965" w:type="dxa"/>
            <w:tcBorders/>
            <w:vAlign w:val="center"/>
          </w:tcPr>
          <w:p>
            <w:pPr>
              <w:pStyle w:val="MDPI42tablebody"/>
              <w:jc w:val="left"/>
            </w:pPr>
            <w:r>
              <w:rPr>
                <w:sz w:val="18"/>
                <w:szCs w:val="18"/>
              </w:rPr>
              <w:t xml:space="preserve">Effective decision temperature</w:t>
            </w:r>
          </w:p>
        </w:tc>
        <w:tc>
          <w:tcPr>
            <w:tcW w:w="2945" w:type="dxa"/>
            <w:tcBorders/>
            <w:vAlign w:val="center"/>
          </w:tcPr>
          <w:p>
            <w:pPr>
              <w:pStyle w:val="MDPI42tablebody"/>
              <w:jc w:val="left"/>
            </w:pPr>
            <w:r>
              <w:rPr>
                <w:sz w:val="18"/>
                <w:szCs w:val="18"/>
              </w:rPr>
              <w:t xml:space="preserve">Temperature at which observed choices are best explained by the clean-context reference.</w:t>
            </w:r>
          </w:p>
        </w:tc>
        <w:tc>
          <w:tcPr>
            <w:tcW w:w="2948" w:type="dxa"/>
            <w:tcBorders/>
            <w:vAlign w:val="center"/>
          </w:tcPr>
          <w:p>
            <w:pPr>
              <w:pStyle w:val="MDPI42tablebody"/>
              <w:jc w:val="left"/>
            </w:pPr>
            <w:r>
              <w:rPr>
                <w:sz w:val="18"/>
                <w:szCs w:val="18"/>
              </w:rPr>
              <w:t xml:space="preserve">Maximum-likelihood </w:t>
            </w:r>
            <w:r>
              <w:rPr>
                <w:i/>
                <w:sz w:val="18"/>
                <w:szCs w:val="18"/>
              </w:rPr>
              <w:t xml:space="preserve">T</w:t>
            </w:r>
            <w:r>
              <w:rPr>
                <w:sz w:val="18"/>
                <w:szCs w:val="18"/>
              </w:rPr>
              <w:t xml:space="preserve"> over a log grid, Equation (2); reported with a not-identified flag.</w:t>
            </w:r>
          </w:p>
        </w:tc>
      </w:tr>
      <w:tr>
        <w:trPr>
          <w:cantSplit/>
        </w:trPr>
        <w:tc>
          <w:tcPr>
            <w:tcW w:w="1965" w:type="dxa"/>
            <w:tcBorders>
              <w:bottom w:val="single" w:sz="8" w:space="0" w:color="000000"/>
            </w:tcBorders>
            <w:vAlign w:val="center"/>
          </w:tcPr>
          <w:p>
            <w:pPr>
              <w:pStyle w:val="MDPI42tablebody"/>
              <w:jc w:val="left"/>
            </w:pPr>
            <w:r>
              <w:rPr>
                <w:sz w:val="18"/>
                <w:szCs w:val="18"/>
              </w:rPr>
              <w:t xml:space="preserve">Lock-in</w:t>
            </w:r>
          </w:p>
        </w:tc>
        <w:tc>
          <w:tcPr>
            <w:tcW w:w="2945" w:type="dxa"/>
            <w:tcBorders>
              <w:bottom w:val="single" w:sz="8" w:space="0" w:color="000000"/>
            </w:tcBorders>
            <w:vAlign w:val="center"/>
          </w:tcPr>
          <w:p>
            <w:pPr>
              <w:pStyle w:val="MDPI42tablebody"/>
              <w:jc w:val="left"/>
            </w:pPr>
            <w:r>
              <w:rPr>
                <w:sz w:val="18"/>
                <w:szCs w:val="18"/>
              </w:rPr>
              <w:t xml:space="preserve">Repeated selection of the planted off-path item.</w:t>
            </w:r>
          </w:p>
        </w:tc>
        <w:tc>
          <w:tcPr>
            <w:tcW w:w="2948" w:type="dxa"/>
            <w:tcBorders>
              <w:bottom w:val="single" w:sz="8" w:space="0" w:color="000000"/>
            </w:tcBorders>
            <w:vAlign w:val="center"/>
          </w:tcPr>
          <w:p>
            <w:pPr>
              <w:pStyle w:val="MDPI42tablebody"/>
              <w:jc w:val="left"/>
            </w:pPr>
            <w:r>
              <w:rPr>
                <w:sz w:val="18"/>
                <w:szCs w:val="18"/>
              </w:rPr>
              <w:t xml:space="preserve">Share of steps choosing the planted item.</w:t>
            </w:r>
          </w:p>
        </w:tc>
      </w:tr>
    </w:tbl>
    <w:p>
      <w:pPr>
        <w:pStyle w:val="MDPI31text"/>
        <w:spacing w:before="0" w:after="0" w:line="120" w:lineRule="exact"/>
      </w:pPr>
    </w:p>
    <w:p>
      <w:pPr>
        <w:pStyle w:val="MDPI41tablecaption"/>
        <w:keepNext/>
      </w:pPr>
      <w:r>
        <w:rPr>
          <w:b/>
        </w:rPr>
        <w:t xml:space="preserve">Table 2.</w:t>
      </w:r>
      <w:r>
        <w:rPr/>
        <w:t xml:space="preserve"> Regimes of the accuracy–temperature relationship predicted by H2.</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758"/>
        <w:gridCol w:w="1551"/>
        <w:gridCol w:w="2068"/>
        <w:gridCol w:w="2481"/>
      </w:tblGrid>
      <w:tr>
        <w:trPr>
          <w:cantSplit/>
          <w:tblHeader/>
        </w:trPr>
        <w:tc>
          <w:tcPr>
            <w:tcW w:w="1758" w:type="dxa"/>
            <w:tcBorders>
              <w:top w:val="single" w:sz="8" w:space="0" w:color="000000"/>
              <w:bottom w:val="single" w:sz="4" w:space="0" w:color="000000"/>
            </w:tcBorders>
            <w:vAlign w:val="center"/>
          </w:tcPr>
          <w:p>
            <w:pPr>
              <w:pStyle w:val="MDPI42tablebody"/>
              <w:jc w:val="left"/>
            </w:pPr>
            <w:r>
              <w:rPr>
                <w:b/>
                <w:sz w:val="18"/>
                <w:szCs w:val="18"/>
              </w:rPr>
              <w:t xml:space="preserve">Regime</w:t>
            </w:r>
          </w:p>
        </w:tc>
        <w:tc>
          <w:tcPr>
            <w:tcW w:w="1551" w:type="dxa"/>
            <w:tcBorders>
              <w:top w:val="single" w:sz="8" w:space="0" w:color="000000"/>
              <w:bottom w:val="single" w:sz="4" w:space="0" w:color="000000"/>
            </w:tcBorders>
            <w:vAlign w:val="center"/>
          </w:tcPr>
          <w:p>
            <w:pPr>
              <w:pStyle w:val="MDPI42tablebody"/>
              <w:jc w:val="left"/>
            </w:pPr>
            <w:r>
              <w:rPr>
                <w:b/>
                <w:sz w:val="18"/>
                <w:szCs w:val="18"/>
              </w:rPr>
              <w:t xml:space="preserve">Starts on Path?</w:t>
            </w:r>
          </w:p>
        </w:tc>
        <w:tc>
          <w:tcPr>
            <w:tcW w:w="2068" w:type="dxa"/>
            <w:tcBorders>
              <w:top w:val="single" w:sz="8" w:space="0" w:color="000000"/>
              <w:bottom w:val="single" w:sz="4" w:space="0" w:color="000000"/>
            </w:tcBorders>
            <w:vAlign w:val="center"/>
          </w:tcPr>
          <w:p>
            <w:pPr>
              <w:pStyle w:val="MDPI42tablebody"/>
              <w:jc w:val="left"/>
            </w:pPr>
            <w:r>
              <w:rPr>
                <w:b/>
                <w:sz w:val="18"/>
                <w:szCs w:val="18"/>
              </w:rPr>
              <w:t xml:space="preserve">Attractor</w:t>
            </w:r>
          </w:p>
        </w:tc>
        <w:tc>
          <w:tcPr>
            <w:tcW w:w="2481" w:type="dxa"/>
            <w:tcBorders>
              <w:top w:val="single" w:sz="8" w:space="0" w:color="000000"/>
              <w:bottom w:val="single" w:sz="4" w:space="0" w:color="000000"/>
            </w:tcBorders>
            <w:vAlign w:val="center"/>
          </w:tcPr>
          <w:p>
            <w:pPr>
              <w:pStyle w:val="MDPI42tablebody"/>
              <w:jc w:val="left"/>
            </w:pPr>
            <w:r>
              <w:rPr>
                <w:b/>
                <w:sz w:val="18"/>
                <w:szCs w:val="18"/>
              </w:rPr>
              <w:t xml:space="preserve">Predicted Accuracy as </w:t>
            </w:r>
            <w:r>
              <w:rPr>
                <w:b/>
                <w:i/>
                <w:sz w:val="18"/>
                <w:szCs w:val="18"/>
              </w:rPr>
              <w:t xml:space="preserve">T</w:t>
            </w:r>
            <w:r>
              <w:rPr>
                <w:b/>
                <w:sz w:val="18"/>
                <w:szCs w:val="18"/>
              </w:rPr>
              <w:t xml:space="preserve"> Increases</w:t>
            </w:r>
          </w:p>
        </w:tc>
      </w:tr>
      <w:tr>
        <w:trPr>
          <w:cantSplit/>
        </w:trPr>
        <w:tc>
          <w:tcPr>
            <w:tcW w:w="1758" w:type="dxa"/>
            <w:tcBorders/>
            <w:vAlign w:val="center"/>
          </w:tcPr>
          <w:p>
            <w:pPr>
              <w:pStyle w:val="MDPI42tablebody"/>
              <w:jc w:val="left"/>
            </w:pPr>
            <w:r>
              <w:rPr>
                <w:sz w:val="18"/>
                <w:szCs w:val="18"/>
              </w:rPr>
              <w:t xml:space="preserve">No attractor</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None</w:t>
            </w:r>
          </w:p>
        </w:tc>
        <w:tc>
          <w:tcPr>
            <w:tcW w:w="2481" w:type="dxa"/>
            <w:tcBorders/>
            <w:vAlign w:val="center"/>
          </w:tcPr>
          <w:p>
            <w:pPr>
              <w:pStyle w:val="MDPI42tablebody"/>
              <w:jc w:val="left"/>
            </w:pPr>
            <w:r>
              <w:rPr>
                <w:sz w:val="18"/>
                <w:szCs w:val="18"/>
              </w:rPr>
              <w:t xml:space="preserve">Monotone decline</w:t>
            </w:r>
          </w:p>
        </w:tc>
      </w:tr>
      <w:tr>
        <w:trPr>
          <w:cantSplit/>
        </w:trPr>
        <w:tc>
          <w:tcPr>
            <w:tcW w:w="1758" w:type="dxa"/>
            <w:tcBorders/>
            <w:vAlign w:val="center"/>
          </w:tcPr>
          <w:p>
            <w:pPr>
              <w:pStyle w:val="MDPI42tablebody"/>
              <w:jc w:val="left"/>
            </w:pPr>
            <w:r>
              <w:rPr>
                <w:sz w:val="18"/>
                <w:szCs w:val="18"/>
              </w:rPr>
              <w:t xml:space="preserve">Weak</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Absorbed at low </w:t>
            </w:r>
            <w:r>
              <w:rPr>
                <w:i/>
                <w:sz w:val="18"/>
                <w:szCs w:val="18"/>
              </w:rPr>
              <w:t xml:space="preserve">T</w:t>
            </w:r>
          </w:p>
        </w:tc>
        <w:tc>
          <w:tcPr>
            <w:tcW w:w="2481" w:type="dxa"/>
            <w:tcBorders/>
            <w:vAlign w:val="center"/>
          </w:tcPr>
          <w:p>
            <w:pPr>
              <w:pStyle w:val="MDPI42tablebody"/>
              <w:jc w:val="left"/>
            </w:pPr>
            <w:r>
              <w:rPr>
                <w:sz w:val="18"/>
                <w:szCs w:val="18"/>
              </w:rPr>
              <w:t xml:space="preserve">Near-monotone decline; the error is repaired</w:t>
            </w:r>
          </w:p>
        </w:tc>
      </w:tr>
      <w:tr>
        <w:trPr>
          <w:cantSplit/>
        </w:trPr>
        <w:tc>
          <w:tcPr>
            <w:tcW w:w="1758" w:type="dxa"/>
            <w:tcBorders/>
            <w:vAlign w:val="center"/>
          </w:tcPr>
          <w:p>
            <w:pPr>
              <w:pStyle w:val="MDPI42tablebody"/>
              <w:jc w:val="left"/>
            </w:pPr>
            <w:r>
              <w:rPr>
                <w:sz w:val="18"/>
                <w:szCs w:val="18"/>
              </w:rPr>
              <w:t xml:space="preserve">Sticky and escapable</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Locks at low </w:t>
            </w:r>
            <w:r>
              <w:rPr>
                <w:i/>
                <w:sz w:val="18"/>
                <w:szCs w:val="18"/>
              </w:rPr>
              <w:t xml:space="preserve">T</w:t>
            </w:r>
            <w:r>
              <w:rPr>
                <w:sz w:val="18"/>
                <w:szCs w:val="18"/>
              </w:rPr>
              <w:t xml:space="preserve">, leaks at moderate </w:t>
            </w:r>
            <w:r>
              <w:rPr>
                <w:i/>
                <w:sz w:val="18"/>
                <w:szCs w:val="18"/>
              </w:rPr>
              <w:t xml:space="preserve">T</w:t>
            </w:r>
          </w:p>
        </w:tc>
        <w:tc>
          <w:tcPr>
            <w:tcW w:w="2481" w:type="dxa"/>
            <w:tcBorders/>
            <w:vAlign w:val="center"/>
          </w:tcPr>
          <w:p>
            <w:pPr>
              <w:pStyle w:val="MDPI42tablebody"/>
              <w:jc w:val="left"/>
            </w:pPr>
            <w:r>
              <w:rPr>
                <w:sz w:val="18"/>
                <w:szCs w:val="18"/>
              </w:rPr>
              <w:t xml:space="preserve">Inverted U</w:t>
            </w:r>
          </w:p>
        </w:tc>
      </w:tr>
      <w:tr>
        <w:trPr>
          <w:cantSplit/>
        </w:trPr>
        <w:tc>
          <w:tcPr>
            <w:tcW w:w="1758" w:type="dxa"/>
            <w:tcBorders/>
            <w:vAlign w:val="center"/>
          </w:tcPr>
          <w:p>
            <w:pPr>
              <w:pStyle w:val="MDPI42tablebody"/>
              <w:jc w:val="left"/>
            </w:pPr>
            <w:r>
              <w:rPr>
                <w:sz w:val="18"/>
                <w:szCs w:val="18"/>
              </w:rPr>
              <w:t xml:space="preserve">Too strong</w:t>
            </w:r>
          </w:p>
        </w:tc>
        <w:tc>
          <w:tcPr>
            <w:tcW w:w="1551" w:type="dxa"/>
            <w:tcBorders/>
            <w:vAlign w:val="center"/>
          </w:tcPr>
          <w:p>
            <w:pPr>
              <w:pStyle w:val="MDPI42tablebody"/>
              <w:jc w:val="left"/>
            </w:pPr>
            <w:r>
              <w:rPr>
                <w:sz w:val="18"/>
                <w:szCs w:val="18"/>
              </w:rPr>
              <w:t xml:space="preserve">Yes, then knocked off</w:t>
            </w:r>
          </w:p>
        </w:tc>
        <w:tc>
          <w:tcPr>
            <w:tcW w:w="2068" w:type="dxa"/>
            <w:tcBorders/>
            <w:vAlign w:val="center"/>
          </w:tcPr>
          <w:p>
            <w:pPr>
              <w:pStyle w:val="MDPI42tablebody"/>
              <w:jc w:val="left"/>
            </w:pPr>
            <w:r>
              <w:rPr>
                <w:sz w:val="18"/>
                <w:szCs w:val="18"/>
              </w:rPr>
              <w:t xml:space="preserve">Locks over the sampled range</w:t>
            </w:r>
          </w:p>
        </w:tc>
        <w:tc>
          <w:tcPr>
            <w:tcW w:w="2481" w:type="dxa"/>
            <w:tcBorders/>
            <w:vAlign w:val="center"/>
          </w:tcPr>
          <w:p>
            <w:pPr>
              <w:pStyle w:val="MDPI42tablebody"/>
              <w:jc w:val="left"/>
            </w:pPr>
            <w:r>
              <w:rPr>
                <w:sz w:val="18"/>
                <w:szCs w:val="18"/>
              </w:rPr>
              <w:t xml:space="preserve">Floor; no interior peak</w:t>
            </w:r>
          </w:p>
        </w:tc>
      </w:tr>
      <w:tr>
        <w:trPr>
          <w:cantSplit/>
        </w:trPr>
        <w:tc>
          <w:tcPr>
            <w:tcW w:w="1758" w:type="dxa"/>
            <w:tcBorders>
              <w:bottom w:val="single" w:sz="8" w:space="0" w:color="000000"/>
            </w:tcBorders>
            <w:vAlign w:val="center"/>
          </w:tcPr>
          <w:p>
            <w:pPr>
              <w:pStyle w:val="MDPI42tablebody"/>
              <w:jc w:val="left"/>
            </w:pPr>
            <w:r>
              <w:rPr>
                <w:sz w:val="18"/>
                <w:szCs w:val="18"/>
              </w:rPr>
              <w:t xml:space="preserve">Unsolvable task</w:t>
            </w:r>
          </w:p>
        </w:tc>
        <w:tc>
          <w:tcPr>
            <w:tcW w:w="1551" w:type="dxa"/>
            <w:tcBorders>
              <w:bottom w:val="single" w:sz="8" w:space="0" w:color="000000"/>
            </w:tcBorders>
            <w:vAlign w:val="center"/>
          </w:tcPr>
          <w:p>
            <w:pPr>
              <w:pStyle w:val="MDPI42tablebody"/>
              <w:jc w:val="left"/>
            </w:pPr>
            <w:r>
              <w:rPr>
                <w:sz w:val="18"/>
                <w:szCs w:val="18"/>
              </w:rPr>
              <w:t xml:space="preserve">No</w:t>
            </w:r>
          </w:p>
        </w:tc>
        <w:tc>
          <w:tcPr>
            <w:tcW w:w="2068" w:type="dxa"/>
            <w:tcBorders>
              <w:bottom w:val="single" w:sz="8" w:space="0" w:color="000000"/>
            </w:tcBorders>
            <w:vAlign w:val="center"/>
          </w:tcPr>
          <w:p>
            <w:pPr>
              <w:pStyle w:val="MDPI42tablebody"/>
              <w:jc w:val="left"/>
            </w:pPr>
            <w:r>
              <w:rPr>
                <w:sz w:val="18"/>
                <w:szCs w:val="18"/>
              </w:rPr>
              <w:t xml:space="preserve">Irrelevant</w:t>
            </w:r>
          </w:p>
        </w:tc>
        <w:tc>
          <w:tcPr>
            <w:tcW w:w="2481" w:type="dxa"/>
            <w:tcBorders>
              <w:bottom w:val="single" w:sz="8" w:space="0" w:color="000000"/>
            </w:tcBorders>
            <w:vAlign w:val="center"/>
          </w:tcPr>
          <w:p>
            <w:pPr>
              <w:pStyle w:val="MDPI42tablebody"/>
              <w:jc w:val="left"/>
            </w:pPr>
            <w:r>
              <w:rPr>
                <w:sz w:val="18"/>
                <w:szCs w:val="18"/>
              </w:rPr>
              <w:t xml:space="preserve">Accuracy uninformative</w:t>
            </w:r>
          </w:p>
        </w:tc>
      </w:tr>
    </w:tbl>
    <w:p>
      <w:pPr>
        <w:pStyle w:val="MDPI31text"/>
        <w:spacing w:before="0" w:after="0" w:line="120" w:lineRule="exact"/>
      </w:pPr>
    </w:p>
    <w:p>
      <w:pPr>
        <w:pStyle w:val="MDPI41tablecaption"/>
        <w:keepNext/>
      </w:pPr>
      <w:r>
        <w:rPr>
          <w:b/>
        </w:rPr>
        <w:t xml:space="preserve">Table 3.</w:t>
      </w:r>
      <w:r>
        <w:rPr/>
        <w:t xml:space="preserve"> What each indicator requires.</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758"/>
        <w:gridCol w:w="1137"/>
        <w:gridCol w:w="1292"/>
        <w:gridCol w:w="1292"/>
        <w:gridCol w:w="2379"/>
      </w:tblGrid>
      <w:tr>
        <w:trPr>
          <w:cantSplit/>
          <w:tblHeader/>
        </w:trPr>
        <w:tc>
          <w:tcPr>
            <w:tcW w:w="1758" w:type="dxa"/>
            <w:tcBorders>
              <w:top w:val="single" w:sz="8" w:space="0" w:color="000000"/>
              <w:bottom w:val="single" w:sz="4" w:space="0" w:color="000000"/>
            </w:tcBorders>
            <w:vAlign w:val="center"/>
          </w:tcPr>
          <w:p>
            <w:pPr>
              <w:pStyle w:val="MDPI42tablebody"/>
              <w:jc w:val="left"/>
            </w:pPr>
            <w:r>
              <w:rPr>
                <w:b/>
                <w:sz w:val="16"/>
                <w:szCs w:val="16"/>
              </w:rPr>
              <w:t xml:space="preserve">Indicator</w:t>
            </w:r>
          </w:p>
        </w:tc>
        <w:tc>
          <w:tcPr>
            <w:tcW w:w="1137" w:type="dxa"/>
            <w:tcBorders>
              <w:top w:val="single" w:sz="8" w:space="0" w:color="000000"/>
              <w:bottom w:val="single" w:sz="4" w:space="0" w:color="000000"/>
            </w:tcBorders>
            <w:vAlign w:val="center"/>
          </w:tcPr>
          <w:p>
            <w:pPr>
              <w:pStyle w:val="MDPI42tablebody"/>
              <w:jc w:val="center"/>
            </w:pPr>
            <w:r>
              <w:rPr>
                <w:b/>
                <w:sz w:val="16"/>
                <w:szCs w:val="16"/>
              </w:rPr>
              <w:t xml:space="preserve">Ground-Truth Labels</w:t>
            </w:r>
          </w:p>
        </w:tc>
        <w:tc>
          <w:tcPr>
            <w:tcW w:w="1292" w:type="dxa"/>
            <w:tcBorders>
              <w:top w:val="single" w:sz="8" w:space="0" w:color="000000"/>
              <w:bottom w:val="single" w:sz="4" w:space="0" w:color="000000"/>
            </w:tcBorders>
            <w:vAlign w:val="center"/>
          </w:tcPr>
          <w:p>
            <w:pPr>
              <w:pStyle w:val="MDPI42tablebody"/>
              <w:jc w:val="center"/>
            </w:pPr>
            <w:r>
              <w:rPr>
                <w:b/>
                <w:sz w:val="16"/>
                <w:szCs w:val="16"/>
              </w:rPr>
              <w:t xml:space="preserve">Several Samples per Context</w:t>
            </w:r>
          </w:p>
        </w:tc>
        <w:tc>
          <w:tcPr>
            <w:tcW w:w="1292" w:type="dxa"/>
            <w:tcBorders>
              <w:top w:val="single" w:sz="8" w:space="0" w:color="000000"/>
              <w:bottom w:val="single" w:sz="4" w:space="0" w:color="000000"/>
            </w:tcBorders>
            <w:vAlign w:val="center"/>
          </w:tcPr>
          <w:p>
            <w:pPr>
              <w:pStyle w:val="MDPI42tablebody"/>
              <w:jc w:val="center"/>
            </w:pPr>
            <w:r>
              <w:rPr>
                <w:b/>
                <w:sz w:val="16"/>
                <w:szCs w:val="16"/>
              </w:rPr>
              <w:t xml:space="preserve">Clean-Context Reference</w:t>
            </w:r>
          </w:p>
        </w:tc>
        <w:tc>
          <w:tcPr>
            <w:tcW w:w="2379" w:type="dxa"/>
            <w:tcBorders>
              <w:top w:val="single" w:sz="8" w:space="0" w:color="000000"/>
              <w:bottom w:val="single" w:sz="4" w:space="0" w:color="000000"/>
            </w:tcBorders>
            <w:vAlign w:val="center"/>
          </w:tcPr>
          <w:p>
            <w:pPr>
              <w:pStyle w:val="MDPI42tablebody"/>
              <w:jc w:val="center"/>
            </w:pPr>
            <w:r>
              <w:rPr>
                <w:b/>
                <w:sz w:val="16"/>
                <w:szCs w:val="16"/>
              </w:rPr>
              <w:t xml:space="preserve">What It Measures</w:t>
            </w:r>
          </w:p>
        </w:tc>
      </w:tr>
      <w:tr>
        <w:trPr>
          <w:cantSplit/>
        </w:trPr>
        <w:tc>
          <w:tcPr>
            <w:tcW w:w="1758" w:type="dxa"/>
            <w:tcBorders/>
            <w:vAlign w:val="center"/>
          </w:tcPr>
          <w:p>
            <w:pPr>
              <w:pStyle w:val="MDPI42tablebody"/>
              <w:jc w:val="left"/>
            </w:pPr>
            <w:r>
              <w:rPr>
                <w:sz w:val="16"/>
                <w:szCs w:val="16"/>
              </w:rPr>
              <w:t xml:space="preserve">Token entropy</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Dispersion of the sampling distribution</w:t>
            </w:r>
          </w:p>
        </w:tc>
      </w:tr>
      <w:tr>
        <w:trPr>
          <w:cantSplit/>
        </w:trPr>
        <w:tc>
          <w:tcPr>
            <w:tcW w:w="1758" w:type="dxa"/>
            <w:tcBorders/>
            <w:vAlign w:val="center"/>
          </w:tcPr>
          <w:p>
            <w:pPr>
              <w:pStyle w:val="MDPI42tablebody"/>
              <w:jc w:val="left"/>
            </w:pPr>
            <w:r>
              <w:rPr>
                <w:sz w:val="16"/>
                <w:szCs w:val="16"/>
              </w:rPr>
              <w:t xml:space="preserve">Confidence</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Mass on the chosen item</w:t>
            </w:r>
          </w:p>
        </w:tc>
      </w:tr>
      <w:tr>
        <w:trPr>
          <w:cantSplit/>
        </w:trPr>
        <w:tc>
          <w:tcPr>
            <w:tcW w:w="1758" w:type="dxa"/>
            <w:tcBorders/>
            <w:vAlign w:val="center"/>
          </w:tcPr>
          <w:p>
            <w:pPr>
              <w:pStyle w:val="MDPI42tablebody"/>
              <w:jc w:val="left"/>
            </w:pPr>
            <w:r>
              <w:rPr>
                <w:sz w:val="16"/>
                <w:szCs w:val="16"/>
              </w:rPr>
              <w:t xml:space="preserve">ECE</w:t>
            </w:r>
          </w:p>
        </w:tc>
        <w:tc>
          <w:tcPr>
            <w:tcW w:w="1137" w:type="dxa"/>
            <w:tcBorders/>
            <w:vAlign w:val="center"/>
          </w:tcPr>
          <w:p>
            <w:pPr>
              <w:pStyle w:val="MDPI42tablebody"/>
              <w:jc w:val="center"/>
            </w:pPr>
            <w:r>
              <w:rPr>
                <w:sz w:val="16"/>
                <w:szCs w:val="16"/>
              </w:rPr>
              <w:t xml:space="preserve">Yes</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Mismatch of confidence and correctness</w:t>
            </w:r>
          </w:p>
        </w:tc>
      </w:tr>
      <w:tr>
        <w:trPr>
          <w:cantSplit/>
        </w:trPr>
        <w:tc>
          <w:tcPr>
            <w:tcW w:w="1758" w:type="dxa"/>
            <w:tcBorders/>
            <w:vAlign w:val="center"/>
          </w:tcPr>
          <w:p>
            <w:pPr>
              <w:pStyle w:val="MDPI42tablebody"/>
              <w:jc w:val="left"/>
            </w:pPr>
            <w:r>
              <w:rPr>
                <w:sz w:val="16"/>
                <w:szCs w:val="16"/>
              </w:rPr>
              <w:t xml:space="preserve">Semantic entropy (discrete)</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Yes</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Dispersion of complete completions</w:t>
            </w:r>
          </w:p>
        </w:tc>
      </w:tr>
      <w:tr>
        <w:trPr>
          <w:cantSplit/>
        </w:trPr>
        <w:tc>
          <w:tcPr>
            <w:tcW w:w="1758" w:type="dxa"/>
            <w:tcBorders>
              <w:bottom w:val="single" w:sz="8" w:space="0" w:color="000000"/>
            </w:tcBorders>
            <w:vAlign w:val="center"/>
          </w:tcPr>
          <w:p>
            <w:pPr>
              <w:pStyle w:val="MDPI42tablebody"/>
              <w:jc w:val="left"/>
            </w:pPr>
            <w:r>
              <w:rPr>
                <w:sz w:val="16"/>
                <w:szCs w:val="16"/>
              </w:rPr>
              <w:t xml:space="preserve">T</w:t>
            </w:r>
            <w:r>
              <w:rPr>
                <w:sz w:val="16"/>
                <w:szCs w:val="16"/>
                <w:vertAlign w:val="subscript"/>
              </w:rPr>
              <w:t xml:space="preserve">eff</w:t>
            </w:r>
          </w:p>
        </w:tc>
        <w:tc>
          <w:tcPr>
            <w:tcW w:w="1137" w:type="dxa"/>
            <w:tcBorders>
              <w:bottom w:val="single" w:sz="8" w:space="0" w:color="000000"/>
            </w:tcBorders>
            <w:vAlign w:val="center"/>
          </w:tcPr>
          <w:p>
            <w:pPr>
              <w:pStyle w:val="MDPI42tablebody"/>
              <w:jc w:val="center"/>
            </w:pPr>
            <w:r>
              <w:rPr>
                <w:sz w:val="16"/>
                <w:szCs w:val="16"/>
              </w:rPr>
              <w:t xml:space="preserve">No</w:t>
            </w:r>
          </w:p>
        </w:tc>
        <w:tc>
          <w:tcPr>
            <w:tcW w:w="1292" w:type="dxa"/>
            <w:tcBorders>
              <w:bottom w:val="single" w:sz="8" w:space="0" w:color="000000"/>
            </w:tcBorders>
            <w:vAlign w:val="center"/>
          </w:tcPr>
          <w:p>
            <w:pPr>
              <w:pStyle w:val="MDPI42tablebody"/>
              <w:jc w:val="center"/>
            </w:pPr>
            <w:r>
              <w:rPr>
                <w:sz w:val="16"/>
                <w:szCs w:val="16"/>
              </w:rPr>
              <w:t xml:space="preserve">No</w:t>
            </w:r>
          </w:p>
        </w:tc>
        <w:tc>
          <w:tcPr>
            <w:tcW w:w="1292" w:type="dxa"/>
            <w:tcBorders>
              <w:bottom w:val="single" w:sz="8" w:space="0" w:color="000000"/>
            </w:tcBorders>
            <w:vAlign w:val="center"/>
          </w:tcPr>
          <w:p>
            <w:pPr>
              <w:pStyle w:val="MDPI42tablebody"/>
              <w:jc w:val="center"/>
            </w:pPr>
            <w:r>
              <w:rPr>
                <w:sz w:val="16"/>
                <w:szCs w:val="16"/>
              </w:rPr>
              <w:t xml:space="preserve">Yes</w:t>
            </w:r>
          </w:p>
        </w:tc>
        <w:tc>
          <w:tcPr>
            <w:tcW w:w="2379" w:type="dxa"/>
            <w:tcBorders>
              <w:bottom w:val="single" w:sz="8" w:space="0" w:color="000000"/>
            </w:tcBorders>
            <w:vAlign w:val="center"/>
          </w:tcPr>
          <w:p>
            <w:pPr>
              <w:pStyle w:val="MDPI42tablebody"/>
              <w:jc w:val="center"/>
            </w:pPr>
            <w:r>
              <w:rPr>
                <w:sz w:val="16"/>
                <w:szCs w:val="16"/>
              </w:rPr>
              <w:t xml:space="preserve">Scale of choice noise relative to the reference</w:t>
            </w:r>
          </w:p>
        </w:tc>
      </w:tr>
    </w:tbl>
    <w:p>
      <w:pPr>
        <w:pStyle w:val="MDPI31text"/>
        <w:spacing w:before="0" w:after="0" w:line="120" w:lineRule="exact"/>
      </w:pPr>
    </w:p>
    <w:p>
      <w:pPr>
        <w:pStyle w:val="MDPI21heading1"/>
        <w:keepNext/>
      </w:pPr>
      <w:r>
        <w:rPr/>
        <w:t xml:space="preserve">4. Experimental Design</w:t>
      </w:r>
    </w:p>
    <w:p>
      <w:pPr>
        <w:pStyle w:val="MDPI22heading2"/>
        <w:keepNext/>
      </w:pPr>
      <w:r>
        <w:rPr/>
        <w:t xml:space="preserve">4.1. Tasks and the Planted Attractor</w:t>
      </w:r>
    </w:p>
    <w:p>
      <w:pPr>
        <w:pStyle w:val="MDPI31text"/>
      </w:pPr>
      <w:r>
        <w:rPr/>
        <w:t xml:space="preserve">The experiments use ordered-list continuation tasks, which are simple enough for models of 3B parameters or more to solve when the prompt is clean and for which correctness is unambiguous. We use four task families: the English alphabet (26 items), the months of the year (12 items), the planets of the Solar System in order of distance from the Sun (8 items), and English number words from one to twelve. In each task the agent writes the list one item at a time. At every step it chooses among the first tokens of the candidate items by sampling from Equation (1) restricted to those tokens, and the chosen item is appended to the context. Errors therefore compound, as they do in an agentic loop.</w:t>
      </w:r>
    </w:p>
    <w:p>
      <w:pPr>
        <w:pStyle w:val="MDPI31text"/>
      </w:pPr>
      <w:r>
        <w:rPr/>
        <w:t xml:space="preserve">Each trajectory starts from a history that consists of the first two items followed by </w:t>
      </w:r>
      <w:r>
        <w:rPr>
          <w:i/>
        </w:rPr>
        <w:t xml:space="preserve">m</w:t>
      </w:r>
      <w:r>
        <w:rPr/>
        <w:t xml:space="preserve"> additional copies of the second item. With </w:t>
      </w:r>
      <w:r>
        <w:rPr>
          <w:i/>
        </w:rPr>
        <w:t xml:space="preserve">m</w:t>
      </w:r>
      <w:r>
        <w:rPr/>
        <w:t xml:space="preserve"> = 0 the history is correct, and with </w:t>
      </w:r>
      <w:r>
        <w:rPr>
          <w:i/>
        </w:rPr>
        <w:t xml:space="preserve">m</w:t>
      </w:r>
      <w:r>
        <w:rPr/>
        <w:t xml:space="preserve"> &gt; 0 it contains a run of </w:t>
      </w:r>
      <w:r>
        <w:rPr>
          <w:i/>
        </w:rPr>
        <w:t xml:space="preserve">m</w:t>
      </w:r>
      <w:r>
        <w:rPr/>
        <w:t xml:space="preserve"> repeated items, which is the planted attractor. The agent then makes six further choices. The correct continuation after the planted run is the third item of the list, and the attractor is the repetition of the second. This construction targets a failure mode that is widely observed in practice, namely repetition, and it allows the strength of the attractor to be manipulated through a single integer.</w:t>
      </w:r>
    </w:p>
    <w:p>
      <w:pPr>
        <w:pStyle w:val="MDPI31text"/>
      </w:pPr>
      <w:r>
        <w:rPr/>
        <w:t xml:space="preserve">Strength is calibrated separately for each model and task by probing the next-item distribution. For </w:t>
      </w:r>
      <w:r>
        <w:rPr>
          <w:i/>
        </w:rPr>
        <w:t xml:space="preserve">m</w:t>
      </w:r>
      <w:r>
        <w:rPr/>
        <w:t xml:space="preserve"> in {1, 2, 3, 4, 6, 8, 12, 16, 24, 32, 48, 64} we compute the probability of the correct next item under the clean prompt at </w:t>
      </w:r>
      <w:r>
        <w:rPr>
          <w:i/>
        </w:rPr>
        <w:t xml:space="preserve">T</w:t>
      </w:r>
      <w:r>
        <w:rPr/>
        <w:t xml:space="preserve"> = 0.15. We call </w:t>
      </w:r>
      <w:r>
        <w:rPr>
          <w:i/>
        </w:rPr>
        <w:t xml:space="preserve">m</w:t>
      </w:r>
      <w:r>
        <w:rPr/>
        <w:t xml:space="preserve"> sticky if it is the smallest value for which this probability is below 0.05, weak if it is the largest probed value below the sticky one for which the probability exceeds 0.95, and strong if it is the smallest probed value that is at least twice the sticky one. This choice was made after inspecting the probe, so the regimes were located using the same models on which they are then tested. The interior-peak results below are therefore exploratory and not confirmatory.</w:t>
      </w:r>
      <w:r>
        <w:rPr>
          <w:color w:val="0000FF"/>
        </w:rPr>
        <w:t xml:space="preserve"> In the revision study the regimes are therefore also examined without any selection, over the full grid of </w:t>
      </w:r>
      <w:r>
        <w:rPr>
          <w:i/>
          <w:color w:val="0000FF"/>
        </w:rPr>
        <w:t>m</w:t>
      </w:r>
      <w:r>
        <w:rPr>
          <w:color w:val="0000FF"/>
        </w:rPr>
        <w:t xml:space="preserve"> values, and with strengths selected on a different wording of the task instruction (Section 5.11).</w:t>
      </w:r>
    </w:p>
    <w:p>
      <w:pPr>
        <w:pStyle w:val="MDPI22heading2"/>
        <w:keepNext/>
      </w:pPr>
      <w:r>
        <w:rPr/>
        <w:t xml:space="preserve">4.2. Distortion Prompts</w:t>
      </w:r>
    </w:p>
    <w:p>
      <w:pPr>
        <w:pStyle w:val="MDPI31text"/>
      </w:pPr>
      <w:r>
        <w:rPr/>
        <w:t xml:space="preserve">The clean prompt contains only the task instruction. The pressure prompt prepends a set of mutually unsatisfiable mandatory rules, of the kind “write the list in forward order and in reverse order at once” and “never repeat an item and write every item twice”, together with a threat of shutdown for any mistake. The contamination prompt prepends negatively valenced text that predicts failure, without making any contradictory demand. A fourth condition combines both. The reference logits </w:t>
      </w:r>
      <w:r>
        <w:rPr>
          <w:i/>
        </w:rPr>
        <w:t xml:space="preserve">v</w:t>
      </w:r>
      <w:r>
        <w:rPr>
          <w:i/>
          <w:vertAlign w:val="subscript"/>
        </w:rPr>
        <w:t xml:space="preserve">t</w:t>
      </w:r>
      <w:r>
        <w:rPr/>
        <w:t xml:space="preserve"> are always computed with the clean prompt on the same history, so T</w:t>
      </w:r>
      <w:r>
        <w:rPr>
          <w:vertAlign w:val="subscript"/>
        </w:rPr>
        <w:t xml:space="preserve">eff</w:t>
      </w:r>
      <w:r>
        <w:rPr/>
        <w:t xml:space="preserve"> measures how much the added text changes the model's choices, relative to the text-free task. The exact wording is given in Appendix A.</w:t>
      </w:r>
    </w:p>
    <w:p>
      <w:pPr>
        <w:pStyle w:val="MDPI22heading2"/>
        <w:keepNext/>
      </w:pPr>
      <w:r>
        <w:rPr/>
        <w:t xml:space="preserve">4.3. Models and Inference</w:t>
      </w:r>
    </w:p>
    <w:p>
      <w:pPr>
        <w:pStyle w:val="MDPI31text"/>
      </w:pPr>
      <w:r>
        <w:rPr/>
        <w:t xml:space="preserve">We use Qwen2.5-3B-Instruct and Llama-3.2-3B-Instruct in all experiments, Qwen2.5-7B-Instruct [14] on the alphabet task only, and SmolLM2-135M-Instruct [15] in the earliest experiments. The Llama model is described in [16]. The 3B models were run in bfloat16 with the Transformers library [17]. The 7B model does not fit in bfloat16 in the 15 GB of memory available, so it was run as an 8-bit quantized GGUF file (Q8_0) in llama.cpp [18]. All runs used CPU only, with four cores. The default chat template of each model was applied. Because the 7B model differs from the 3B models in inference stack and numerical precision as well as in size, differences between them should not be attributed to size alone. Generative AI (Claude, Anthropic) was used to write and run the experimental code and to analyse the results; details are given in the Acknowledgments.</w:t>
      </w:r>
    </w:p>
    <w:p>
      <w:pPr>
        <w:pStyle w:val="MDPI22heading2"/>
        <w:keepNext/>
      </w:pPr>
      <w:r>
        <w:rPr/>
        <w:t xml:space="preserve">4.4. Measures</w:t>
      </w:r>
    </w:p>
    <w:p>
      <w:pPr>
        <w:pStyle w:val="MDPI31text"/>
      </w:pPr>
      <w:r>
        <w:rPr/>
        <w:t xml:space="preserve">For each trajectory we record the chosen items, the sampling probabilities and the reference logits at every step. Local accuracy is the share of steps at which the chosen item is the successor of the previous item in the list. Strict recovery is the share of trajectories that return to the exact continuation of the list. Lock-in is the share of steps that repeat the planted item, and repetition is the share of steps that repeat the immediately preceding item. In addition to T</w:t>
      </w:r>
      <w:r>
        <w:rPr>
          <w:vertAlign w:val="subscript"/>
        </w:rPr>
        <w:t xml:space="preserve">eff</w:t>
      </w:r>
      <w:r>
        <w:rPr/>
        <w:t xml:space="preserve"> we compute the four comparison indicators defined in Section 3.5. T</w:t>
      </w:r>
      <w:r>
        <w:rPr>
          <w:vertAlign w:val="subscript"/>
        </w:rPr>
        <w:t xml:space="preserve">eff</w:t>
      </w:r>
      <w:r>
        <w:rPr/>
        <w:t xml:space="preserve"> is estimated by grid search over 240 log-spaced temperatures between 0.02 and 20, pooling all steps in a cell. A cell is flagged as not identified if the mean reference probability of the chosen items, computed at the nominal temperature, </w:t>
      </w:r>
      <w:r>
        <w:rPr>
          <w:color w:val="0000FF"/>
        </w:rPr>
        <w:t>exceeds 0.999. This threshold is a convention. Section 3.3 adds an interval-based rule, and Section 5.10 reports the sensitivity to both.</w:t>
      </w:r>
    </w:p>
    <w:p>
      <w:pPr>
        <w:pStyle w:val="MDPI22heading2"/>
        <w:keepNext/>
      </w:pPr>
      <w:r>
        <w:rPr/>
        <w:t xml:space="preserve">4.5. Experimental Programme</w:t>
      </w:r>
    </w:p>
    <w:p>
      <w:pPr>
        <w:pStyle w:val="MDPI31text"/>
      </w:pPr>
      <w:r>
        <w:rPr/>
        <w:t xml:space="preserve">The empirical work has four parts. Stage A is a synthetic agent whose logits are specified by us, so that the indicators can be read off a known process. Stage B applies the measurement rule to SmolLM2-135M-Instruct on alphabet continuation tasks. Stage C is a fine-grained sweep of temperature on the alphabet task for Qwen2.5-3B, Qwen2.5-7B and Llama-3.2-3B, with 60 to 100 trajectories per cell and temperatures up to 5. Stage D is the multi-task study on the two 3B models. For every task it covers the three attractor strengths at temperatures of 0.15, 0.8, 1.2, 2.0 and 3.0, with 40 trajectories per cell, together with an unplanted control (</w:t>
      </w:r>
      <w:r>
        <w:rPr>
          <w:i/>
        </w:rPr>
        <w:t xml:space="preserve">m</w:t>
      </w:r>
      <w:r>
        <w:rPr/>
        <w:t xml:space="preserve"> = 0) at </w:t>
      </w:r>
      <w:r>
        <w:rPr>
          <w:i/>
        </w:rPr>
        <w:t xml:space="preserve">T</w:t>
      </w:r>
      <w:r>
        <w:rPr/>
        <w:t xml:space="preserve"> = 0.15 and </w:t>
      </w:r>
      <w:r>
        <w:rPr>
          <w:i/>
        </w:rPr>
        <w:t xml:space="preserve">T</w:t>
      </w:r>
      <w:r>
        <w:rPr/>
        <w:t xml:space="preserve"> = 2.0. The distortion conditions are run at the sticky attractor at </w:t>
      </w:r>
      <w:r>
        <w:rPr>
          <w:i/>
        </w:rPr>
        <w:t xml:space="preserve">T</w:t>
      </w:r>
      <w:r>
        <w:rPr/>
        <w:t xml:space="preserve"> = 0.8 and </w:t>
      </w:r>
      <w:r>
        <w:rPr>
          <w:i/>
        </w:rPr>
        <w:t xml:space="preserve">T</w:t>
      </w:r>
      <w:r>
        <w:rPr/>
        <w:t xml:space="preserve"> = 2.0, each against a matched clean cell. Random streams are seeded deterministically from the cell definition.</w:t>
      </w:r>
    </w:p>
    <w:p>
      <w:pPr>
        <w:pStyle w:val="MDPI22heading2"/>
        <w:keepNext/>
      </w:pPr>
      <w:r>
        <w:rPr/>
        <w:t xml:space="preserve">4.6. Statistical Treatment</w:t>
      </w:r>
    </w:p>
    <w:p>
      <w:pPr>
        <w:pStyle w:val="MDPI31text"/>
      </w:pPr>
      <w:r>
        <w:rPr/>
        <w:t xml:space="preserve">Accuracy figures carry standard errors computed over trajectories. For the comparison with other indicators we use a deliberately simple decision rule. An indicator is said to flag a distortion if its value in the distorted cell lies outside the 95% bootstrap interval of the matched clean cell, with trajectories as the resampling unit, and if the change exceeds a minimum practical margin (0.10 nats for token entropy, 0.05 for confidence, 0.10 for ECE, 0.50 nats for semantic entropy and 0.50 for the difference between T</w:t>
      </w:r>
      <w:r>
        <w:rPr>
          <w:vertAlign w:val="subscript"/>
        </w:rPr>
        <w:t xml:space="preserve">eff</w:t>
      </w:r>
      <w:r>
        <w:rPr/>
        <w:t xml:space="preserve"> and </w:t>
      </w:r>
      <w:r>
        <w:rPr>
          <w:i/>
        </w:rPr>
        <w:t xml:space="preserve">T</w:t>
      </w:r>
      <w:r>
        <w:rPr/>
        <w:t xml:space="preserve">). We also report the separability of pressured and clean trajectories as the two-sided area under the receiver operating characteristic curve, computed for the indicators that can be defined for a single trajectory. The margins are analyst choices, and we examine their influence in Section 5.6. With three models, four tasks and several conditions, we treat all comparisons as descriptive.</w:t>
      </w:r>
    </w:p>
    <w:p>
      <w:pPr>
        <w:pStyle w:val="MDPI22heading2"/>
      </w:pPr>
      <w:r>
        <w:rPr>
          <w:color w:val="0000FF"/>
        </w:rPr>
        <w:t>4.7. Revision Study</w:t>
      </w:r>
    </w:p>
    <w:p>
      <w:pPr>
        <w:pStyle w:val="MDPI31text"/>
      </w:pPr>
      <w:r>
        <w:rPr>
          <w:color w:val="0000FF"/>
        </w:rPr>
        <w:t xml:space="preserve">The revision study repeats the matched-cell design on four further models run on one stack. Qwen2.5-0.5B-Instruct, Qwen2.5-1.5B-Instruct, Llama-3.2-1B-Instruct (an ungated mirror of the official weights) and SmolLM2-1.7B-Instruct were run in 32-bit floating point with the Transformers library on a four-core CPU, so that, unlike Qwen2.5-7B in Section 4.3, they differ from each other only in the model. For every model and task the sticky attractor is chosen by the probe rule of Section 4.1, and the cells are the same eight (task by </w:t>
      </w:r>
      <w:r>
        <w:rPr>
          <w:i/>
          <w:color w:val="0000FF"/>
        </w:rPr>
        <w:t>T</w:t>
      </w:r>
      <w:r>
        <w:rPr>
          <w:color w:val="0000FF"/>
        </w:rPr>
        <w:t xml:space="preserve"> in {0.8, 2.0}), with 40 trajectories each. Each distortion has three wordings. Pressure is P0 (the original), P1 and P2. Contamination is C0 (the original), C1 (a differently worded negative-sentiment text) and C2, a dominant-response contamination that states that the planted item was the accepted answer in earlier sessions. Combined conditions cross them (P0+C0, P0+C2, P1+C1, P1+C2, P2+C2); SmolLM2-1.7B was run with the original wordings only. The exact texts are in Appendix D. Three further elements are new. First, the references of Section 3.3 (same history, gold-repaired, de-duplicated) are computed for every step, together with the reference log-likelihood (mean negative log-probability of the chosen item under the reference at the nominal temperature) and the divergence KL(sampling ‖ reference) at the nominal temperature. Second, a full-vocabulary free-generation task: the planted history is the prefix of the assistant turn, 20 completions of up to 24 tokens are sampled from the complete softmax without truncation, the reference is the clean-context full-vocabulary distribution on the same tokens, and semantic entropy is computed after clustering the completions with the DeBERTa-large MNLI entailment model [20,21] in both directions given the task instruction, as in Farquhar et al. [5] (Qwen2.5-1.5B and Llama-3.2-1B, alphabet and months). Third, wall-clock times of the main and reference passes and of the entailment calls are recorded. The detection rule of Section 4.6 is applied unchanged, with margins of 0.10 nats for the reference log-likelihood and the divergence and 0.50 for </w:t>
      </w:r>
      <w:r>
        <w:rPr>
          <w:i/>
          <w:color w:val="0000FF"/>
        </w:rPr>
        <w:t>T</w:t>
      </w:r>
      <w:r>
        <w:rPr>
          <w:color w:val="0000FF"/>
        </w:rPr>
        <w:t>eff</w:t>
      </w:r>
      <w:r>
        <w:rPr>
          <w:color w:val="0000FF"/>
          <w:vertAlign w:val="superscript"/>
        </w:rPr>
        <w:t>dist</w:t>
      </w:r>
      <w:r>
        <w:rPr>
          <w:color w:val="0000FF"/>
        </w:rPr>
        <w:t>. The 3B models and Qwen2.5-7B of the main text were not re-run.</w:t>
      </w:r>
    </w:p>
    <w:p>
      <w:pPr>
        <w:pStyle w:val="MDPI21heading1"/>
        <w:keepNext/>
      </w:pPr>
      <w:r>
        <w:rPr/>
        <w:t xml:space="preserve">5. Results</w:t>
      </w:r>
    </w:p>
    <w:p>
      <w:pPr>
        <w:pStyle w:val="MDPI22heading2"/>
        <w:keepNext/>
      </w:pPr>
      <w:r>
        <w:rPr/>
        <w:t xml:space="preserve">5.1. Stage A: Synthetic Agent</w:t>
      </w:r>
    </w:p>
    <w:p>
      <w:pPr>
        <w:pStyle w:val="MDPI31text"/>
      </w:pPr>
      <w:r>
        <w:rPr/>
        <w:t xml:space="preserve">The synthetic agent is a 16-action softmax chooser. Its task utilities favour a five-step cycle. Pressure adds a mutually unsatisfiable second cycle, and contamination raises the utility of defensive actions and reinforces them once chosen. At step 2 a one-step false premise is injected, and every chosen action becomes the next state. The design crosses pressure, contamination and twelve temperatures between 0.15 and 3.00, with 50 replications of a 24-step horizon. T</w:t>
      </w:r>
      <w:r>
        <w:rPr>
          <w:vertAlign w:val="subscript"/>
        </w:rPr>
        <w:t xml:space="preserve">eff</w:t>
      </w:r>
      <w:r>
        <w:rPr/>
        <w:t xml:space="preserve"> uses the uncontaminated utilities as its reference. Table 4 shows that T</w:t>
      </w:r>
      <w:r>
        <w:rPr>
          <w:vertAlign w:val="subscript"/>
        </w:rPr>
        <w:t xml:space="preserve">eff</w:t>
      </w:r>
      <w:r>
        <w:rPr/>
        <w:t xml:space="preserve"> separates from the nominal temperature when pressure warps the logits, and it tracks the nominal temperature otherwise. The directions of these gaps follow from how the agent was built, so we report no significance tests. Under joint pressure and contamination, accuracy is 0.18 at </w:t>
      </w:r>
      <w:r>
        <w:rPr>
          <w:i/>
        </w:rPr>
        <w:t xml:space="preserve">T</w:t>
      </w:r>
      <w:r>
        <w:rPr/>
        <w:t xml:space="preserve"> = 0.15, rises to 0.37 at </w:t>
      </w:r>
      <w:r>
        <w:rPr>
          <w:i/>
        </w:rPr>
        <w:t xml:space="preserve">T</w:t>
      </w:r>
      <w:r>
        <w:rPr/>
        <w:t xml:space="preserve"> = 0.67 and falls toward chance at high temperatures. This is the sticky-and-escapable regime of Table 2, and it appears because the attractor was specified to be sticky at low temperature and leaky at moderate temperature.</w:t>
      </w:r>
    </w:p>
    <w:p>
      <w:pPr>
        <w:pStyle w:val="MDPI41tablecaption"/>
        <w:keepNext/>
      </w:pPr>
      <w:r>
        <w:rPr>
          <w:b/>
        </w:rPr>
        <w:t xml:space="preserve">Table 4.</w:t>
      </w:r>
      <w:r>
        <w:rPr/>
        <w:t xml:space="preserve"> Synthetic agent at nominal </w:t>
      </w:r>
      <w:r>
        <w:rPr>
          <w:i/>
        </w:rPr>
        <w:t xml:space="preserve">T</w:t>
      </w:r>
      <w:r>
        <w:rPr/>
        <w:t xml:space="preserve"> = 0.93 (50 replications per cell).</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2479"/>
        <w:gridCol w:w="1654"/>
        <w:gridCol w:w="1241"/>
        <w:gridCol w:w="1241"/>
        <w:gridCol w:w="1243"/>
      </w:tblGrid>
      <w:tr>
        <w:trPr>
          <w:cantSplit/>
          <w:tblHeader/>
        </w:trPr>
        <w:tc>
          <w:tcPr>
            <w:tcW w:w="2479" w:type="dxa"/>
            <w:tcBorders>
              <w:top w:val="single" w:sz="8" w:space="0" w:color="000000"/>
              <w:bottom w:val="single" w:sz="4" w:space="0" w:color="000000"/>
            </w:tcBorders>
            <w:vAlign w:val="center"/>
          </w:tcPr>
          <w:p>
            <w:pPr>
              <w:pStyle w:val="MDPI42tablebody"/>
              <w:jc w:val="left"/>
            </w:pPr>
            <w:r>
              <w:rPr>
                <w:b/>
                <w:sz w:val="18"/>
                <w:szCs w:val="18"/>
              </w:rPr>
              <w:t xml:space="preserve">Condition</w:t>
            </w:r>
          </w:p>
        </w:tc>
        <w:tc>
          <w:tcPr>
            <w:tcW w:w="1654" w:type="dxa"/>
            <w:tcBorders>
              <w:top w:val="single" w:sz="8" w:space="0" w:color="000000"/>
              <w:bottom w:val="single" w:sz="4" w:space="0" w:color="000000"/>
            </w:tcBorders>
            <w:vAlign w:val="center"/>
          </w:tcPr>
          <w:p>
            <w:pPr>
              <w:pStyle w:val="MDPI42tablebody"/>
              <w:jc w:val="center"/>
            </w:pPr>
            <w:r>
              <w:rPr>
                <w:b/>
                <w:sz w:val="18"/>
                <w:szCs w:val="18"/>
              </w:rPr>
              <w:t xml:space="preserve">P(instability)</w:t>
            </w:r>
          </w:p>
        </w:tc>
        <w:tc>
          <w:tcPr>
            <w:tcW w:w="1241"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241" w:type="dxa"/>
            <w:tcBorders>
              <w:top w:val="single" w:sz="8" w:space="0" w:color="000000"/>
              <w:bottom w:val="single" w:sz="4" w:space="0" w:color="000000"/>
            </w:tcBorders>
            <w:vAlign w:val="center"/>
          </w:tcPr>
          <w:p>
            <w:pPr>
              <w:pStyle w:val="MDPI42tablebody"/>
              <w:jc w:val="center"/>
            </w:pPr>
            <w:r>
              <w:rPr>
                <w:b/>
                <w:sz w:val="18"/>
                <w:szCs w:val="18"/>
              </w:rPr>
              <w:t xml:space="preserve">Entropy</w:t>
            </w:r>
          </w:p>
        </w:tc>
        <w:tc>
          <w:tcPr>
            <w:tcW w:w="1243"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p>
        </w:tc>
      </w:tr>
      <w:tr>
        <w:trPr>
          <w:cantSplit/>
        </w:trPr>
        <w:tc>
          <w:tcPr>
            <w:tcW w:w="2479" w:type="dxa"/>
            <w:tcBorders/>
            <w:vAlign w:val="center"/>
          </w:tcPr>
          <w:p>
            <w:pPr>
              <w:pStyle w:val="MDPI42tablebody"/>
              <w:jc w:val="left"/>
            </w:pPr>
            <w:r>
              <w:rPr>
                <w:sz w:val="18"/>
                <w:szCs w:val="18"/>
              </w:rPr>
              <w:t xml:space="preserve">Neutral, clean</w:t>
            </w:r>
          </w:p>
        </w:tc>
        <w:tc>
          <w:tcPr>
            <w:tcW w:w="1654" w:type="dxa"/>
            <w:tcBorders/>
            <w:vAlign w:val="center"/>
          </w:tcPr>
          <w:p>
            <w:pPr>
              <w:pStyle w:val="MDPI42tablebody"/>
              <w:jc w:val="center"/>
            </w:pPr>
            <w:r>
              <w:rPr>
                <w:sz w:val="18"/>
                <w:szCs w:val="18"/>
              </w:rPr>
              <w:t xml:space="preserve">0.00</w:t>
            </w:r>
          </w:p>
        </w:tc>
        <w:tc>
          <w:tcPr>
            <w:tcW w:w="1241" w:type="dxa"/>
            <w:tcBorders/>
            <w:vAlign w:val="center"/>
          </w:tcPr>
          <w:p>
            <w:pPr>
              <w:pStyle w:val="MDPI42tablebody"/>
              <w:jc w:val="center"/>
            </w:pPr>
            <w:r>
              <w:rPr>
                <w:sz w:val="18"/>
                <w:szCs w:val="18"/>
              </w:rPr>
              <w:t xml:space="preserve">0.97</w:t>
            </w:r>
          </w:p>
        </w:tc>
        <w:tc>
          <w:tcPr>
            <w:tcW w:w="1241" w:type="dxa"/>
            <w:tcBorders/>
            <w:vAlign w:val="center"/>
          </w:tcPr>
          <w:p>
            <w:pPr>
              <w:pStyle w:val="MDPI42tablebody"/>
              <w:jc w:val="center"/>
            </w:pPr>
            <w:r>
              <w:rPr>
                <w:sz w:val="18"/>
                <w:szCs w:val="18"/>
              </w:rPr>
              <w:t xml:space="preserve">0.89</w:t>
            </w:r>
          </w:p>
        </w:tc>
        <w:tc>
          <w:tcPr>
            <w:tcW w:w="1243" w:type="dxa"/>
            <w:tcBorders/>
            <w:vAlign w:val="center"/>
          </w:tcPr>
          <w:p>
            <w:pPr>
              <w:pStyle w:val="MDPI42tablebody"/>
              <w:jc w:val="center"/>
            </w:pPr>
            <w:r>
              <w:rPr>
                <w:sz w:val="18"/>
                <w:szCs w:val="18"/>
              </w:rPr>
              <w:t xml:space="preserve">0.91</w:t>
            </w:r>
          </w:p>
        </w:tc>
      </w:tr>
      <w:tr>
        <w:trPr>
          <w:cantSplit/>
        </w:trPr>
        <w:tc>
          <w:tcPr>
            <w:tcW w:w="2479" w:type="dxa"/>
            <w:tcBorders/>
            <w:vAlign w:val="center"/>
          </w:tcPr>
          <w:p>
            <w:pPr>
              <w:pStyle w:val="MDPI42tablebody"/>
              <w:jc w:val="left"/>
            </w:pPr>
            <w:r>
              <w:rPr>
                <w:sz w:val="18"/>
                <w:szCs w:val="18"/>
              </w:rPr>
              <w:t xml:space="preserve">Neutral, contaminated</w:t>
            </w:r>
          </w:p>
        </w:tc>
        <w:tc>
          <w:tcPr>
            <w:tcW w:w="1654" w:type="dxa"/>
            <w:tcBorders/>
            <w:vAlign w:val="center"/>
          </w:tcPr>
          <w:p>
            <w:pPr>
              <w:pStyle w:val="MDPI42tablebody"/>
              <w:jc w:val="center"/>
            </w:pPr>
            <w:r>
              <w:rPr>
                <w:sz w:val="18"/>
                <w:szCs w:val="18"/>
              </w:rPr>
              <w:t xml:space="preserve">0.00</w:t>
            </w:r>
          </w:p>
        </w:tc>
        <w:tc>
          <w:tcPr>
            <w:tcW w:w="1241" w:type="dxa"/>
            <w:tcBorders/>
            <w:vAlign w:val="center"/>
          </w:tcPr>
          <w:p>
            <w:pPr>
              <w:pStyle w:val="MDPI42tablebody"/>
              <w:jc w:val="center"/>
            </w:pPr>
            <w:r>
              <w:rPr>
                <w:sz w:val="18"/>
                <w:szCs w:val="18"/>
              </w:rPr>
              <w:t xml:space="preserve">0.90</w:t>
            </w:r>
          </w:p>
        </w:tc>
        <w:tc>
          <w:tcPr>
            <w:tcW w:w="1241" w:type="dxa"/>
            <w:tcBorders/>
            <w:vAlign w:val="center"/>
          </w:tcPr>
          <w:p>
            <w:pPr>
              <w:pStyle w:val="MDPI42tablebody"/>
              <w:jc w:val="center"/>
            </w:pPr>
            <w:r>
              <w:rPr>
                <w:sz w:val="18"/>
                <w:szCs w:val="18"/>
              </w:rPr>
              <w:t xml:space="preserve">1.14</w:t>
            </w:r>
          </w:p>
        </w:tc>
        <w:tc>
          <w:tcPr>
            <w:tcW w:w="1243" w:type="dxa"/>
            <w:tcBorders/>
            <w:vAlign w:val="center"/>
          </w:tcPr>
          <w:p>
            <w:pPr>
              <w:pStyle w:val="MDPI42tablebody"/>
              <w:jc w:val="center"/>
            </w:pPr>
            <w:r>
              <w:rPr>
                <w:sz w:val="18"/>
                <w:szCs w:val="18"/>
              </w:rPr>
              <w:t xml:space="preserve">1.06</w:t>
            </w:r>
          </w:p>
        </w:tc>
      </w:tr>
      <w:tr>
        <w:trPr>
          <w:cantSplit/>
        </w:trPr>
        <w:tc>
          <w:tcPr>
            <w:tcW w:w="2479" w:type="dxa"/>
            <w:tcBorders/>
            <w:vAlign w:val="center"/>
          </w:tcPr>
          <w:p>
            <w:pPr>
              <w:pStyle w:val="MDPI42tablebody"/>
              <w:jc w:val="left"/>
            </w:pPr>
            <w:r>
              <w:rPr>
                <w:sz w:val="18"/>
                <w:szCs w:val="18"/>
              </w:rPr>
              <w:t xml:space="preserve">Pressure, clean</w:t>
            </w:r>
          </w:p>
        </w:tc>
        <w:tc>
          <w:tcPr>
            <w:tcW w:w="1654" w:type="dxa"/>
            <w:tcBorders/>
            <w:vAlign w:val="center"/>
          </w:tcPr>
          <w:p>
            <w:pPr>
              <w:pStyle w:val="MDPI42tablebody"/>
              <w:jc w:val="center"/>
            </w:pPr>
            <w:r>
              <w:rPr>
                <w:sz w:val="18"/>
                <w:szCs w:val="18"/>
              </w:rPr>
              <w:t xml:space="preserve">0.38</w:t>
            </w:r>
          </w:p>
        </w:tc>
        <w:tc>
          <w:tcPr>
            <w:tcW w:w="1241" w:type="dxa"/>
            <w:tcBorders/>
            <w:vAlign w:val="center"/>
          </w:tcPr>
          <w:p>
            <w:pPr>
              <w:pStyle w:val="MDPI42tablebody"/>
              <w:jc w:val="center"/>
            </w:pPr>
            <w:r>
              <w:rPr>
                <w:sz w:val="18"/>
                <w:szCs w:val="18"/>
              </w:rPr>
              <w:t xml:space="preserve">0.48</w:t>
            </w:r>
          </w:p>
        </w:tc>
        <w:tc>
          <w:tcPr>
            <w:tcW w:w="1241" w:type="dxa"/>
            <w:tcBorders/>
            <w:vAlign w:val="center"/>
          </w:tcPr>
          <w:p>
            <w:pPr>
              <w:pStyle w:val="MDPI42tablebody"/>
              <w:jc w:val="center"/>
            </w:pPr>
            <w:r>
              <w:rPr>
                <w:sz w:val="18"/>
                <w:szCs w:val="18"/>
              </w:rPr>
              <w:t xml:space="preserve">1.48</w:t>
            </w:r>
          </w:p>
        </w:tc>
        <w:tc>
          <w:tcPr>
            <w:tcW w:w="1243" w:type="dxa"/>
            <w:tcBorders/>
            <w:vAlign w:val="center"/>
          </w:tcPr>
          <w:p>
            <w:pPr>
              <w:pStyle w:val="MDPI42tablebody"/>
              <w:jc w:val="center"/>
            </w:pPr>
            <w:r>
              <w:rPr>
                <w:sz w:val="18"/>
                <w:szCs w:val="18"/>
              </w:rPr>
              <w:t xml:space="preserve">2.49</w:t>
            </w:r>
          </w:p>
        </w:tc>
      </w:tr>
      <w:tr>
        <w:trPr>
          <w:cantSplit/>
        </w:trPr>
        <w:tc>
          <w:tcPr>
            <w:tcW w:w="2479" w:type="dxa"/>
            <w:tcBorders>
              <w:bottom w:val="single" w:sz="8" w:space="0" w:color="000000"/>
            </w:tcBorders>
            <w:vAlign w:val="center"/>
          </w:tcPr>
          <w:p>
            <w:pPr>
              <w:pStyle w:val="MDPI42tablebody"/>
              <w:jc w:val="left"/>
            </w:pPr>
            <w:r>
              <w:rPr>
                <w:sz w:val="18"/>
                <w:szCs w:val="18"/>
              </w:rPr>
              <w:t xml:space="preserve">Pressure, contaminated</w:t>
            </w:r>
          </w:p>
        </w:tc>
        <w:tc>
          <w:tcPr>
            <w:tcW w:w="1654" w:type="dxa"/>
            <w:tcBorders>
              <w:bottom w:val="single" w:sz="8" w:space="0" w:color="000000"/>
            </w:tcBorders>
            <w:vAlign w:val="center"/>
          </w:tcPr>
          <w:p>
            <w:pPr>
              <w:pStyle w:val="MDPI42tablebody"/>
              <w:jc w:val="center"/>
            </w:pPr>
            <w:r>
              <w:rPr>
                <w:sz w:val="18"/>
                <w:szCs w:val="18"/>
              </w:rPr>
              <w:t xml:space="preserve">0.58</w:t>
            </w:r>
          </w:p>
        </w:tc>
        <w:tc>
          <w:tcPr>
            <w:tcW w:w="1241" w:type="dxa"/>
            <w:tcBorders>
              <w:bottom w:val="single" w:sz="8" w:space="0" w:color="000000"/>
            </w:tcBorders>
            <w:vAlign w:val="center"/>
          </w:tcPr>
          <w:p>
            <w:pPr>
              <w:pStyle w:val="MDPI42tablebody"/>
              <w:jc w:val="center"/>
            </w:pPr>
            <w:r>
              <w:rPr>
                <w:sz w:val="18"/>
                <w:szCs w:val="18"/>
              </w:rPr>
              <w:t xml:space="preserve">0.38</w:t>
            </w:r>
          </w:p>
        </w:tc>
        <w:tc>
          <w:tcPr>
            <w:tcW w:w="1241" w:type="dxa"/>
            <w:tcBorders>
              <w:bottom w:val="single" w:sz="8" w:space="0" w:color="000000"/>
            </w:tcBorders>
            <w:vAlign w:val="center"/>
          </w:tcPr>
          <w:p>
            <w:pPr>
              <w:pStyle w:val="MDPI42tablebody"/>
              <w:jc w:val="center"/>
            </w:pPr>
            <w:r>
              <w:rPr>
                <w:sz w:val="18"/>
                <w:szCs w:val="18"/>
              </w:rPr>
              <w:t xml:space="preserve">1.61</w:t>
            </w:r>
          </w:p>
        </w:tc>
        <w:tc>
          <w:tcPr>
            <w:tcW w:w="1243" w:type="dxa"/>
            <w:tcBorders>
              <w:bottom w:val="single" w:sz="8" w:space="0" w:color="000000"/>
            </w:tcBorders>
            <w:vAlign w:val="center"/>
          </w:tcPr>
          <w:p>
            <w:pPr>
              <w:pStyle w:val="MDPI42tablebody"/>
              <w:jc w:val="center"/>
            </w:pPr>
            <w:r>
              <w:rPr>
                <w:sz w:val="18"/>
                <w:szCs w:val="18"/>
              </w:rPr>
              <w:t xml:space="preserve">3.37</w:t>
            </w:r>
          </w:p>
        </w:tc>
      </w:tr>
    </w:tbl>
    <w:p>
      <w:pPr>
        <w:pStyle w:val="MDPI31text"/>
        <w:spacing w:before="0" w:after="0" w:line="120" w:lineRule="exact"/>
      </w:pPr>
    </w:p>
    <w:p>
      <w:pPr>
        <w:pStyle w:val="MDPI22heading2"/>
        <w:keepNext/>
      </w:pPr>
      <w:r>
        <w:rPr/>
        <w:t xml:space="preserve">5.2. Stage B: A 135M-Parameter Model</w:t>
      </w:r>
    </w:p>
    <w:p>
      <w:pPr>
        <w:pStyle w:val="MDPI31text"/>
      </w:pPr>
      <w:r>
        <w:rPr/>
        <w:t xml:space="preserve">SmolLM2-135M-Instruct was run in full precision on a CPU machine without a GPU. In the first experiment, a fulfilment-policy task coded in letters, the model almost never carried out the policy under the clean prompt (accuracy between 0.04 and 0.21), so the task is unsolvable for it and accuracy cannot be used to test H2. T</w:t>
      </w:r>
      <w:r>
        <w:rPr>
          <w:vertAlign w:val="subscript"/>
        </w:rPr>
        <w:t xml:space="preserve">eff</w:t>
      </w:r>
      <w:r>
        <w:rPr/>
        <w:t xml:space="preserve"> nevertheless rose above the nominal temperature under joint pressure and contamination (0.59 against </w:t>
      </w:r>
      <w:r>
        <w:rPr>
          <w:i/>
        </w:rPr>
        <w:t xml:space="preserve">T</w:t>
      </w:r>
      <w:r>
        <w:rPr/>
        <w:t xml:space="preserve"> = 0.3 and 2.82 against </w:t>
      </w:r>
      <w:r>
        <w:rPr>
          <w:i/>
        </w:rPr>
        <w:t xml:space="preserve">T</w:t>
      </w:r>
      <w:r>
        <w:rPr/>
        <w:t xml:space="preserve"> = 1.0). In the second experiment the model continues the sequence “A B C” with D E F G H, which it does without error at low temperature under the clean prompt (480 trajectories). With feedback, in which the sampled letter is written back, accuracy fell faster with temperature than without feedback, and no interior peak appeared. Table 5 shows the low-temperature cells. Pressure collapsed the trajectories onto a repeated letter and detached T</w:t>
      </w:r>
      <w:r>
        <w:rPr>
          <w:vertAlign w:val="subscript"/>
        </w:rPr>
        <w:t xml:space="preserve">eff</w:t>
      </w:r>
      <w:r>
        <w:rPr/>
        <w:t xml:space="preserve"> from the nominal temperature. We treat the clean value of 0.05 as not identified, because a saturated reference makes the estimate unreliable. Planting the letter A was too strong an attractor: mid-range temperatures did not return the model to D E F G H. In the third experiment we planted X instead (240 trajectories). Under the clean prompt the error was absorbed at low temperature and accuracy then declined with temperature, so this was a weak attractor. Under the pressure prompt the model collapsed onto A even after X had been planted (lock-in 0.98, T</w:t>
      </w:r>
      <w:r>
        <w:rPr>
          <w:vertAlign w:val="subscript"/>
        </w:rPr>
        <w:t xml:space="preserve">eff</w:t>
      </w:r>
      <w:r>
        <w:rPr/>
        <w:t xml:space="preserve"> − </w:t>
      </w:r>
      <w:r>
        <w:rPr>
          <w:i/>
        </w:rPr>
        <w:t xml:space="preserve">T</w:t>
      </w:r>
      <w:r>
        <w:rPr/>
        <w:t xml:space="preserve"> = +3.82 at </w:t>
      </w:r>
      <w:r>
        <w:rPr>
          <w:i/>
        </w:rPr>
        <w:t xml:space="preserve">T</w:t>
      </w:r>
      <w:r>
        <w:rPr/>
        <w:t xml:space="preserve"> = 0.15), and moderate temperatures did not recover. Neither experiment showed an interior peak.</w:t>
      </w:r>
    </w:p>
    <w:p>
      <w:pPr>
        <w:pStyle w:val="MDPI41tablecaption"/>
        <w:keepNext/>
      </w:pPr>
      <w:r>
        <w:rPr>
          <w:b/>
        </w:rPr>
        <w:t xml:space="preserve">Table 5.</w:t>
      </w:r>
      <w:r>
        <w:rPr/>
        <w:t xml:space="preserve"> SmolLM2-135M-Instruct, sequence continuation with feedback at </w:t>
      </w:r>
      <w:r>
        <w:rPr>
          <w:i/>
        </w:rPr>
        <w:t xml:space="preserve">T</w:t>
      </w:r>
      <w:r>
        <w:rPr/>
        <w:t xml:space="preserve"> = 0.15.</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2169"/>
        <w:gridCol w:w="1137"/>
        <w:gridCol w:w="1137"/>
        <w:gridCol w:w="1137"/>
        <w:gridCol w:w="1137"/>
        <w:gridCol w:w="1141"/>
      </w:tblGrid>
      <w:tr>
        <w:trPr>
          <w:cantSplit/>
          <w:tblHeader/>
        </w:trPr>
        <w:tc>
          <w:tcPr>
            <w:tcW w:w="2169" w:type="dxa"/>
            <w:tcBorders>
              <w:top w:val="single" w:sz="8" w:space="0" w:color="000000"/>
              <w:bottom w:val="single" w:sz="4" w:space="0" w:color="000000"/>
            </w:tcBorders>
            <w:vAlign w:val="center"/>
          </w:tcPr>
          <w:p>
            <w:pPr>
              <w:pStyle w:val="MDPI42tablebody"/>
              <w:jc w:val="left"/>
            </w:pPr>
            <w:r>
              <w:rPr>
                <w:b/>
                <w:sz w:val="18"/>
                <w:szCs w:val="18"/>
              </w:rPr>
              <w:t xml:space="preserve">Condition</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Lock-in to A</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Repetition</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p>
        </w:tc>
        <w:tc>
          <w:tcPr>
            <w:tcW w:w="1141"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r>
              <w:rPr>
                <w:b/>
                <w:sz w:val="18"/>
                <w:szCs w:val="18"/>
              </w:rPr>
              <w:t xml:space="preserve"> − </w:t>
            </w:r>
            <w:r>
              <w:rPr>
                <w:b/>
                <w:i/>
                <w:sz w:val="18"/>
                <w:szCs w:val="18"/>
              </w:rPr>
              <w:t xml:space="preserve">T</w:t>
            </w:r>
          </w:p>
        </w:tc>
      </w:tr>
      <w:tr>
        <w:trPr>
          <w:cantSplit/>
        </w:trPr>
        <w:tc>
          <w:tcPr>
            <w:tcW w:w="2169" w:type="dxa"/>
            <w:tcBorders/>
            <w:vAlign w:val="center"/>
          </w:tcPr>
          <w:p>
            <w:pPr>
              <w:pStyle w:val="MDPI42tablebody"/>
              <w:jc w:val="left"/>
            </w:pPr>
            <w:r>
              <w:rPr>
                <w:sz w:val="18"/>
                <w:szCs w:val="18"/>
              </w:rPr>
              <w:t xml:space="preserve">Neutral, clean</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0.05 (n.i.)</w:t>
            </w:r>
          </w:p>
        </w:tc>
        <w:tc>
          <w:tcPr>
            <w:tcW w:w="1141" w:type="dxa"/>
            <w:tcBorders/>
            <w:vAlign w:val="center"/>
          </w:tcPr>
          <w:p>
            <w:pPr>
              <w:pStyle w:val="MDPI42tablebody"/>
              <w:jc w:val="center"/>
            </w:pPr>
            <w:r>
              <w:rPr>
                <w:sz w:val="18"/>
                <w:szCs w:val="18"/>
              </w:rPr>
              <w:t xml:space="preserve">n.i.</w:t>
            </w:r>
          </w:p>
        </w:tc>
      </w:tr>
      <w:tr>
        <w:trPr>
          <w:cantSplit/>
        </w:trPr>
        <w:tc>
          <w:tcPr>
            <w:tcW w:w="2169" w:type="dxa"/>
            <w:tcBorders/>
            <w:vAlign w:val="center"/>
          </w:tcPr>
          <w:p>
            <w:pPr>
              <w:pStyle w:val="MDPI42tablebody"/>
              <w:jc w:val="left"/>
            </w:pPr>
            <w:r>
              <w:rPr>
                <w:sz w:val="18"/>
                <w:szCs w:val="18"/>
              </w:rPr>
              <w:t xml:space="preserve">Pressure, clean</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3.02</w:t>
            </w:r>
          </w:p>
        </w:tc>
        <w:tc>
          <w:tcPr>
            <w:tcW w:w="1141" w:type="dxa"/>
            <w:tcBorders/>
            <w:vAlign w:val="center"/>
          </w:tcPr>
          <w:p>
            <w:pPr>
              <w:pStyle w:val="MDPI42tablebody"/>
              <w:jc w:val="center"/>
            </w:pPr>
            <w:r>
              <w:rPr>
                <w:sz w:val="18"/>
                <w:szCs w:val="18"/>
              </w:rPr>
              <w:t xml:space="preserve">+2.87</w:t>
            </w:r>
          </w:p>
        </w:tc>
      </w:tr>
      <w:tr>
        <w:trPr>
          <w:cantSplit/>
        </w:trPr>
        <w:tc>
          <w:tcPr>
            <w:tcW w:w="2169" w:type="dxa"/>
            <w:tcBorders>
              <w:bottom w:val="single" w:sz="8" w:space="0" w:color="000000"/>
            </w:tcBorders>
            <w:vAlign w:val="center"/>
          </w:tcPr>
          <w:p>
            <w:pPr>
              <w:pStyle w:val="MDPI42tablebody"/>
              <w:jc w:val="left"/>
            </w:pPr>
            <w:r>
              <w:rPr>
                <w:sz w:val="18"/>
                <w:szCs w:val="18"/>
              </w:rPr>
              <w:t xml:space="preserve">Pressure, contaminated</w:t>
            </w:r>
          </w:p>
        </w:tc>
        <w:tc>
          <w:tcPr>
            <w:tcW w:w="1137" w:type="dxa"/>
            <w:tcBorders>
              <w:bottom w:val="single" w:sz="8" w:space="0" w:color="000000"/>
            </w:tcBorders>
            <w:vAlign w:val="center"/>
          </w:tcPr>
          <w:p>
            <w:pPr>
              <w:pStyle w:val="MDPI42tablebody"/>
              <w:jc w:val="center"/>
            </w:pPr>
            <w:r>
              <w:rPr>
                <w:sz w:val="18"/>
                <w:szCs w:val="18"/>
              </w:rPr>
              <w:t xml:space="preserve">0.20</w:t>
            </w:r>
          </w:p>
        </w:tc>
        <w:tc>
          <w:tcPr>
            <w:tcW w:w="1137" w:type="dxa"/>
            <w:tcBorders>
              <w:bottom w:val="single" w:sz="8" w:space="0" w:color="000000"/>
            </w:tcBorders>
            <w:vAlign w:val="center"/>
          </w:tcPr>
          <w:p>
            <w:pPr>
              <w:pStyle w:val="MDPI42tablebody"/>
              <w:jc w:val="center"/>
            </w:pPr>
            <w:r>
              <w:rPr>
                <w:sz w:val="18"/>
                <w:szCs w:val="18"/>
              </w:rPr>
              <w:t xml:space="preserve">0.00</w:t>
            </w:r>
          </w:p>
        </w:tc>
        <w:tc>
          <w:tcPr>
            <w:tcW w:w="1137" w:type="dxa"/>
            <w:tcBorders>
              <w:bottom w:val="single" w:sz="8" w:space="0" w:color="000000"/>
            </w:tcBorders>
            <w:vAlign w:val="center"/>
          </w:tcPr>
          <w:p>
            <w:pPr>
              <w:pStyle w:val="MDPI42tablebody"/>
              <w:jc w:val="center"/>
            </w:pPr>
            <w:r>
              <w:rPr>
                <w:sz w:val="18"/>
                <w:szCs w:val="18"/>
              </w:rPr>
              <w:t xml:space="preserve">0.98</w:t>
            </w:r>
          </w:p>
        </w:tc>
        <w:tc>
          <w:tcPr>
            <w:tcW w:w="1137" w:type="dxa"/>
            <w:tcBorders>
              <w:bottom w:val="single" w:sz="8" w:space="0" w:color="000000"/>
            </w:tcBorders>
            <w:vAlign w:val="center"/>
          </w:tcPr>
          <w:p>
            <w:pPr>
              <w:pStyle w:val="MDPI42tablebody"/>
              <w:jc w:val="center"/>
            </w:pPr>
            <w:r>
              <w:rPr>
                <w:sz w:val="18"/>
                <w:szCs w:val="18"/>
              </w:rPr>
              <w:t xml:space="preserve">3.59</w:t>
            </w:r>
          </w:p>
        </w:tc>
        <w:tc>
          <w:tcPr>
            <w:tcW w:w="1141" w:type="dxa"/>
            <w:tcBorders>
              <w:bottom w:val="single" w:sz="8" w:space="0" w:color="000000"/>
            </w:tcBorders>
            <w:vAlign w:val="center"/>
          </w:tcPr>
          <w:p>
            <w:pPr>
              <w:pStyle w:val="MDPI42tablebody"/>
              <w:jc w:val="center"/>
            </w:pPr>
            <w:r>
              <w:rPr>
                <w:sz w:val="18"/>
                <w:szCs w:val="18"/>
              </w:rPr>
              <w:t xml:space="preserve">+3.44</w:t>
            </w:r>
          </w:p>
        </w:tc>
      </w:tr>
    </w:tbl>
    <w:p>
      <w:pPr>
        <w:pStyle w:val="MDPI43tablefooter"/>
      </w:pPr>
      <w:r>
        <w:rPr/>
        <w:t xml:space="preserve">n.i. = not identified (saturated reference).</w:t>
      </w:r>
    </w:p>
    <w:p>
      <w:pPr>
        <w:pStyle w:val="MDPI22heading2"/>
        <w:keepNext/>
      </w:pPr>
      <w:r>
        <w:rPr/>
        <w:t xml:space="preserve">5.3. Stage C: Accuracy Against Temperature on the Alphabet Task</w:t>
      </w:r>
    </w:p>
    <w:p>
      <w:pPr>
        <w:pStyle w:val="MDPI31text"/>
      </w:pPr>
      <w:r>
        <w:rPr/>
        <w:t xml:space="preserve">Stage C extends the temperature range to </w:t>
      </w:r>
      <w:r>
        <w:rPr>
          <w:i/>
        </w:rPr>
        <w:t xml:space="preserve">T</w:t>
      </w:r>
      <w:r>
        <w:rPr/>
        <w:t xml:space="preserve"> = 5 on the alphabet task for the three larger models (Figure 1 and Appendix B). On Qwen2.5-3B (100 trajectories per cell) a weak attractor (</w:t>
      </w:r>
      <w:r>
        <w:rPr>
          <w:i/>
        </w:rPr>
        <w:t xml:space="preserve">m</w:t>
      </w:r>
      <w:r>
        <w:rPr/>
        <w:t xml:space="preserve"> = 2) gave a monotone decline from 1.00 to 0.19. For </w:t>
      </w:r>
      <w:r>
        <w:rPr>
          <w:i/>
        </w:rPr>
        <w:t xml:space="preserve">m</w:t>
      </w:r>
      <w:r>
        <w:rPr/>
        <w:t xml:space="preserve"> = 3 and </w:t>
      </w:r>
      <w:r>
        <w:rPr>
          <w:i/>
        </w:rPr>
        <w:t xml:space="preserve">m</w:t>
      </w:r>
      <w:r>
        <w:rPr/>
        <w:t xml:space="preserve"> = 4, accuracy was 0.00 at </w:t>
      </w:r>
      <w:r>
        <w:rPr>
          <w:i/>
        </w:rPr>
        <w:t xml:space="preserve">T</w:t>
      </w:r>
      <w:r>
        <w:rPr/>
        <w:t xml:space="preserve"> = 0.15, rose to 0.45 at </w:t>
      </w:r>
      <w:r>
        <w:rPr>
          <w:i/>
        </w:rPr>
        <w:t xml:space="preserve">T</w:t>
      </w:r>
      <w:r>
        <w:rPr/>
        <w:t xml:space="preserve"> = 2.0, and fell to 0.13 and 0.14 at </w:t>
      </w:r>
      <w:r>
        <w:rPr>
          <w:i/>
        </w:rPr>
        <w:t xml:space="preserve">T</w:t>
      </w:r>
      <w:r>
        <w:rPr/>
        <w:t xml:space="preserve"> = 5. At </w:t>
      </w:r>
      <w:r>
        <w:rPr>
          <w:i/>
        </w:rPr>
        <w:t xml:space="preserve">m</w:t>
      </w:r>
      <w:r>
        <w:rPr/>
        <w:t xml:space="preserve"> = 6 the peak moved to </w:t>
      </w:r>
      <w:r>
        <w:rPr>
          <w:i/>
        </w:rPr>
        <w:t xml:space="preserve">T</w:t>
      </w:r>
      <w:r>
        <w:rPr/>
        <w:t xml:space="preserve"> = 2.5 (0.42). On Qwen2.5-7B (8-bit) the same sequence appeared one step lower in </w:t>
      </w:r>
      <w:r>
        <w:rPr>
          <w:i/>
        </w:rPr>
        <w:t xml:space="preserve">m</w:t>
      </w:r>
      <w:r>
        <w:rPr/>
        <w:t xml:space="preserve">: </w:t>
      </w:r>
      <w:r>
        <w:rPr>
          <w:i/>
        </w:rPr>
        <w:t xml:space="preserve">m</w:t>
      </w:r>
      <w:r>
        <w:rPr/>
        <w:t xml:space="preserve"> = 1 declined from 1.00 to 0.28, </w:t>
      </w:r>
      <w:r>
        <w:rPr>
          <w:i/>
        </w:rPr>
        <w:t xml:space="preserve">m</w:t>
      </w:r>
      <w:r>
        <w:rPr/>
        <w:t xml:space="preserve"> = 2 and </w:t>
      </w:r>
      <w:r>
        <w:rPr>
          <w:i/>
        </w:rPr>
        <w:t xml:space="preserve">m</w:t>
      </w:r>
      <w:r>
        <w:rPr/>
        <w:t xml:space="preserve"> = 3 peaked at 0.48 and 0.39 at </w:t>
      </w:r>
      <w:r>
        <w:rPr>
          <w:i/>
        </w:rPr>
        <w:t xml:space="preserve">T</w:t>
      </w:r>
      <w:r>
        <w:rPr/>
        <w:t xml:space="preserve"> = 2.5, and </w:t>
      </w:r>
      <w:r>
        <w:rPr>
          <w:i/>
        </w:rPr>
        <w:t xml:space="preserve">m</w:t>
      </w:r>
      <w:r>
        <w:rPr/>
        <w:t xml:space="preserve"> = 4 stayed between 0.16 and 0.19 from </w:t>
      </w:r>
      <w:r>
        <w:rPr>
          <w:i/>
        </w:rPr>
        <w:t xml:space="preserve">T</w:t>
      </w:r>
      <w:r>
        <w:rPr/>
        <w:t xml:space="preserve"> = 2 to </w:t>
      </w:r>
      <w:r>
        <w:rPr>
          <w:i/>
        </w:rPr>
        <w:t xml:space="preserve">T</w:t>
      </w:r>
      <w:r>
        <w:rPr/>
        <w:t xml:space="preserve"> = 5 without a peak. Llama-3.2-3B needed much longer planted runs, with </w:t>
      </w:r>
      <w:r>
        <w:rPr>
          <w:i/>
        </w:rPr>
        <w:t xml:space="preserve">m</w:t>
      </w:r>
      <w:r>
        <w:rPr/>
        <w:t xml:space="preserve"> between 24 and 64. For every run length accuracy rose from its value at low temperature and then fell, with peaks between 0.33 and 0.38 near </w:t>
      </w:r>
      <w:r>
        <w:rPr>
          <w:i/>
        </w:rPr>
        <w:t xml:space="preserve">T</w:t>
      </w:r>
      <w:r>
        <w:rPr/>
        <w:t xml:space="preserve"> = 2 to 2.5. For </w:t>
      </w:r>
      <w:r>
        <w:rPr>
          <w:i/>
        </w:rPr>
        <w:t xml:space="preserve">m</w:t>
      </w:r>
      <w:r>
        <w:rPr/>
        <w:t xml:space="preserve"> = 24 and 32 the agent left the planted letter at low temperature but then repeated the next letter, so the lock was a general repetition habit and not attachment to the planted token. Taking the standard errors at face value, each peak exceeds the </w:t>
      </w:r>
      <w:r>
        <w:rPr>
          <w:i/>
        </w:rPr>
        <w:t xml:space="preserve">T</w:t>
      </w:r>
      <w:r>
        <w:rPr/>
        <w:t xml:space="preserve"> = 0.15 cell by at least five standard errors and the </w:t>
      </w:r>
      <w:r>
        <w:rPr>
          <w:i/>
        </w:rPr>
        <w:t xml:space="preserve">T</w:t>
      </w:r>
      <w:r>
        <w:rPr/>
        <w:t xml:space="preserve"> = 5 cell by about three or more, although the peak was selected after the fact. For the sticky and strong attractors strict recovery was at most 0.20 in every clean-prompt cell, and no peak accuracy reached 0.50.</w:t>
      </w:r>
    </w:p>
    <w:p>
      <w:pPr>
        <w:pStyle w:val="MDPI52figure"/>
        <w:keepNext/>
        <w:ind w:left="0"/>
        <w:jc w:val="center"/>
      </w:pPr>
      <w:r>
        <w:drawing>
          <wp:inline distT="0" distB="0" distL="0" distR="0">
            <wp:extent cx="6477000" cy="2495550"/>
            <wp:effectExtent l="0" t="0" r="0" b="0"/>
            <wp:docPr id="2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png"/>
                    <pic:cNvPicPr>
                      <a:picLocks noChangeAspect="1"/>
                    </pic:cNvPicPr>
                  </pic:nvPicPr>
                  <pic:blipFill>
                    <a:blip r:embed="rId201"/>
                    <a:stretch>
                      <a:fillRect/>
                    </a:stretch>
                  </pic:blipFill>
                  <pic:spPr>
                    <a:xfrm>
                      <a:off x="0" y="0"/>
                      <a:ext cx="6477000" cy="2495550"/>
                    </a:xfrm>
                    <a:prstGeom prst="rect">
                      <a:avLst/>
                    </a:prstGeom>
                  </pic:spPr>
                </pic:pic>
              </a:graphicData>
            </a:graphic>
          </wp:inline>
        </w:drawing>
      </w:r>
    </w:p>
    <w:p>
      <w:pPr>
        <w:pStyle w:val="MDPI51figurecaption"/>
      </w:pPr>
      <w:r>
        <w:rPr>
          <w:b/>
        </w:rPr>
        <w:t xml:space="preserve">Figure 1.</w:t>
      </w:r>
      <w:r>
        <w:rPr/>
        <w:t xml:space="preserve"> Local accuracy against nominal temperature on the alphabet task for planted runs of different length </w:t>
      </w:r>
      <w:r>
        <w:rPr>
          <w:i/>
        </w:rPr>
        <w:t xml:space="preserve">m</w:t>
      </w:r>
      <w:r>
        <w:rPr/>
        <w:t xml:space="preserve"> (clean prompt). Error bars are one standard error over trajectories. The 7B model was run as an 8-bit quantized file.</w:t>
      </w:r>
    </w:p>
    <w:p>
      <w:pPr>
        <w:pStyle w:val="MDPI31text"/>
      </w:pPr>
      <w:r>
        <w:rPr/>
        <w:t xml:space="preserve">The pressure cells of Stage C point in the same direction as those of Stage D below. On Qwen2.5-3B at </w:t>
      </w:r>
      <w:r>
        <w:rPr>
          <w:i/>
        </w:rPr>
        <w:t xml:space="preserve">m</w:t>
      </w:r>
      <w:r>
        <w:rPr/>
        <w:t xml:space="preserve"> = 3, pressure raised T</w:t>
      </w:r>
      <w:r>
        <w:rPr>
          <w:vertAlign w:val="subscript"/>
        </w:rPr>
        <w:t xml:space="preserve">eff</w:t>
      </w:r>
      <w:r>
        <w:rPr/>
        <w:t xml:space="preserve"> to about 2.3 to 2.5 at </w:t>
      </w:r>
      <w:r>
        <w:rPr>
          <w:i/>
        </w:rPr>
        <w:t xml:space="preserve">T</w:t>
      </w:r>
      <w:r>
        <w:rPr/>
        <w:t xml:space="preserve"> = 0.4 and </w:t>
      </w:r>
      <w:r>
        <w:rPr>
          <w:i/>
        </w:rPr>
        <w:t xml:space="preserve">T</w:t>
      </w:r>
      <w:r>
        <w:rPr/>
        <w:t xml:space="preserve"> = 1.2, which is roughly 2.0 and 1.2 above the nominal temperature, and it reduced lock-in from 0.96 to 0.06 at </w:t>
      </w:r>
      <w:r>
        <w:rPr>
          <w:i/>
        </w:rPr>
        <w:t xml:space="preserve">T</w:t>
      </w:r>
      <w:r>
        <w:rPr/>
        <w:t xml:space="preserve"> = 0.4 without any strict recovery. On Qwen2.5-7B at </w:t>
      </w:r>
      <w:r>
        <w:rPr>
          <w:i/>
        </w:rPr>
        <w:t xml:space="preserve">m</w:t>
      </w:r>
      <w:r>
        <w:rPr/>
        <w:t xml:space="preserve"> = 2, pressure raised T</w:t>
      </w:r>
      <w:r>
        <w:rPr>
          <w:vertAlign w:val="subscript"/>
        </w:rPr>
        <w:t xml:space="preserve">eff</w:t>
      </w:r>
      <w:r>
        <w:rPr/>
        <w:t xml:space="preserve"> to 3.4 at </w:t>
      </w:r>
      <w:r>
        <w:rPr>
          <w:i/>
        </w:rPr>
        <w:t xml:space="preserve">T</w:t>
      </w:r>
      <w:r>
        <w:rPr/>
        <w:t xml:space="preserve"> = 0.8 and 3.6 at </w:t>
      </w:r>
      <w:r>
        <w:rPr>
          <w:i/>
        </w:rPr>
        <w:t xml:space="preserve">T</w:t>
      </w:r>
      <w:r>
        <w:rPr/>
        <w:t xml:space="preserve"> = 2.0. On Llama-3.2-3B at </w:t>
      </w:r>
      <w:r>
        <w:rPr>
          <w:i/>
        </w:rPr>
        <w:t xml:space="preserve">m</w:t>
      </w:r>
      <w:r>
        <w:rPr/>
        <w:t xml:space="preserve"> = 48 pressure did not raise T</w:t>
      </w:r>
      <w:r>
        <w:rPr>
          <w:vertAlign w:val="subscript"/>
        </w:rPr>
        <w:t xml:space="preserve">eff</w:t>
      </w:r>
      <w:r>
        <w:rPr/>
        <w:t xml:space="preserve"> at </w:t>
      </w:r>
      <w:r>
        <w:rPr>
          <w:i/>
        </w:rPr>
        <w:t xml:space="preserve">T</w:t>
      </w:r>
      <w:r>
        <w:rPr/>
        <w:t xml:space="preserve"> = 0.8, where the difference between T</w:t>
      </w:r>
      <w:r>
        <w:rPr>
          <w:vertAlign w:val="subscript"/>
        </w:rPr>
        <w:t xml:space="preserve">eff</w:t>
      </w:r>
      <w:r>
        <w:rPr/>
        <w:t xml:space="preserve"> and </w:t>
      </w:r>
      <w:r>
        <w:rPr>
          <w:i/>
        </w:rPr>
        <w:t xml:space="preserve">T</w:t>
      </w:r>
      <w:r>
        <w:rPr/>
        <w:t xml:space="preserve"> was −0.40 against −0.08 in the clean cell, while lock-in rose from 0.59 to 0.84. The choices were therefore more concentrated than the nominal temperature implies, which is the opposite sign to the Qwen result.</w:t>
      </w:r>
    </w:p>
    <w:p>
      <w:pPr>
        <w:pStyle w:val="MDPI22heading2"/>
        <w:keepNext/>
      </w:pPr>
      <w:r>
        <w:rPr/>
        <w:t xml:space="preserve">5.4. Stage D: Four Task Families</w:t>
      </w:r>
    </w:p>
    <w:p>
      <w:pPr>
        <w:pStyle w:val="MDPI31text"/>
      </w:pPr>
      <w:r>
        <w:rPr/>
        <w:t xml:space="preserve">Stage D repeats the design on four task families and on the two 3B models (Figure 2). The weak attractor produced a decline in 7 of 8 curves, as H2 predicts. The sticky attractor produced a decline in only 1 of 8 curves, an interior peak in 3, a rise to a plateau in 2 and a rise through the whole sampled range, with the peak at the boundary </w:t>
      </w:r>
      <w:r>
        <w:rPr>
          <w:i/>
        </w:rPr>
        <w:t xml:space="preserve">T</w:t>
      </w:r>
      <w:r>
        <w:rPr/>
        <w:t xml:space="preserve"> = 3, in 2. The strong attractor, which H2 expects to show no interior peak, produced an interior peak in 2 of 7 curves, and rises or plateaus in the others (Table 6). The separation between the sticky and strong regimes is therefore not clean. In several Qwen curves the peak may lie beyond </w:t>
      </w:r>
      <w:r>
        <w:rPr>
          <w:i/>
        </w:rPr>
        <w:t xml:space="preserve">T</w:t>
      </w:r>
      <w:r>
        <w:rPr/>
        <w:t xml:space="preserve"> = 3, the upper end of the grid in this stage, so the absence of a peak there is not evidence against H2. Stage C shows that the alphabet peaks lie at </w:t>
      </w:r>
      <w:r>
        <w:rPr>
          <w:i/>
        </w:rPr>
        <w:t xml:space="preserve">T</w:t>
      </w:r>
      <w:r>
        <w:rPr/>
        <w:t xml:space="preserve"> = 2 to 2.5. Taken together, the two stages support the distinction between weak attractors, which are absorbed, and attractors that lock the agent at low temperature. They do not support a sharp boundary between sticky and strong attractors.</w:t>
      </w:r>
    </w:p>
    <w:p>
      <w:pPr>
        <w:pStyle w:val="MDPI52figure"/>
        <w:keepNext/>
        <w:ind w:left="2608"/>
        <w:jc w:val="center"/>
      </w:pPr>
      <w:r>
        <w:drawing>
          <wp:inline distT="0" distB="0" distL="0" distR="0">
            <wp:extent cx="4762500" cy="6296025"/>
            <wp:effectExtent l="0" t="0" r="0" b="0"/>
            <wp:docPr id="2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png"/>
                    <pic:cNvPicPr>
                      <a:picLocks noChangeAspect="1"/>
                    </pic:cNvPicPr>
                  </pic:nvPicPr>
                  <pic:blipFill>
                    <a:blip r:embed="rId202"/>
                    <a:stretch>
                      <a:fillRect/>
                    </a:stretch>
                  </pic:blipFill>
                  <pic:spPr>
                    <a:xfrm>
                      <a:off x="0" y="0"/>
                      <a:ext cx="4762500" cy="6296025"/>
                    </a:xfrm>
                    <a:prstGeom prst="rect">
                      <a:avLst/>
                    </a:prstGeom>
                  </pic:spPr>
                </pic:pic>
              </a:graphicData>
            </a:graphic>
          </wp:inline>
        </w:drawing>
      </w:r>
    </w:p>
    <w:p>
      <w:pPr>
        <w:pStyle w:val="MDPI51figurecaption"/>
      </w:pPr>
      <w:r>
        <w:rPr>
          <w:b/>
        </w:rPr>
        <w:t xml:space="preserve">Figure 2.</w:t>
      </w:r>
      <w:r>
        <w:rPr/>
        <w:t xml:space="preserve"> Local accuracy against nominal temperature for four task families and two models (clean prompt, 40 trajectories per cell). Error bars are one standard error over trajectories.</w:t>
      </w:r>
    </w:p>
    <w:p>
      <w:pPr>
        <w:pStyle w:val="MDPI41tablecaption"/>
        <w:keepNext/>
      </w:pPr>
      <w:r>
        <w:rPr>
          <w:b/>
        </w:rPr>
        <w:t xml:space="preserve">Table 6.</w:t>
      </w:r>
      <w:r>
        <w:rPr/>
        <w:t xml:space="preserve"> Shape of the accuracy–temperature curve by attractor strength (peak temperature and peak accuracy in parentheses).</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158"/>
        <w:gridCol w:w="2769"/>
        <w:gridCol w:w="2769"/>
        <w:gridCol w:w="2770"/>
      </w:tblGrid>
      <w:tr>
        <w:trPr>
          <w:cantSplit/>
          <w:tblHeader/>
        </w:trPr>
        <w:tc>
          <w:tcPr>
            <w:tcW w:w="2158" w:type="dxa"/>
            <w:tcBorders>
              <w:top w:val="single" w:sz="8" w:space="0" w:color="000000"/>
              <w:bottom w:val="single" w:sz="4" w:space="0" w:color="000000"/>
            </w:tcBorders>
            <w:vAlign w:val="center"/>
          </w:tcPr>
          <w:p>
            <w:pPr>
              <w:pStyle w:val="MDPI42tablebody"/>
              <w:jc w:val="left"/>
            </w:pPr>
            <w:r>
              <w:rPr>
                <w:b/>
                <w:sz w:val="16"/>
                <w:szCs w:val="16"/>
              </w:rPr>
              <w:t xml:space="preserve">Model, Task</w:t>
            </w:r>
          </w:p>
        </w:tc>
        <w:tc>
          <w:tcPr>
            <w:tcW w:w="2769" w:type="dxa"/>
            <w:tcBorders>
              <w:top w:val="single" w:sz="8" w:space="0" w:color="000000"/>
              <w:bottom w:val="single" w:sz="4" w:space="0" w:color="000000"/>
            </w:tcBorders>
            <w:vAlign w:val="center"/>
          </w:tcPr>
          <w:p>
            <w:pPr>
              <w:pStyle w:val="MDPI42tablebody"/>
              <w:jc w:val="center"/>
            </w:pPr>
            <w:r>
              <w:rPr>
                <w:b/>
                <w:sz w:val="16"/>
                <w:szCs w:val="16"/>
              </w:rPr>
              <w:t xml:space="preserve">Weak</w:t>
            </w:r>
          </w:p>
        </w:tc>
        <w:tc>
          <w:tcPr>
            <w:tcW w:w="2769" w:type="dxa"/>
            <w:tcBorders>
              <w:top w:val="single" w:sz="8" w:space="0" w:color="000000"/>
              <w:bottom w:val="single" w:sz="4" w:space="0" w:color="000000"/>
            </w:tcBorders>
            <w:vAlign w:val="center"/>
          </w:tcPr>
          <w:p>
            <w:pPr>
              <w:pStyle w:val="MDPI42tablebody"/>
              <w:jc w:val="center"/>
            </w:pPr>
            <w:r>
              <w:rPr>
                <w:b/>
                <w:sz w:val="16"/>
                <w:szCs w:val="16"/>
              </w:rPr>
              <w:t xml:space="preserve">Sticky</w:t>
            </w:r>
          </w:p>
        </w:tc>
        <w:tc>
          <w:tcPr>
            <w:tcW w:w="2770" w:type="dxa"/>
            <w:tcBorders>
              <w:top w:val="single" w:sz="8" w:space="0" w:color="000000"/>
              <w:bottom w:val="single" w:sz="4" w:space="0" w:color="000000"/>
            </w:tcBorders>
            <w:vAlign w:val="center"/>
          </w:tcPr>
          <w:p>
            <w:pPr>
              <w:pStyle w:val="MDPI42tablebody"/>
              <w:jc w:val="center"/>
            </w:pPr>
            <w:r>
              <w:rPr>
                <w:b/>
                <w:sz w:val="16"/>
                <w:szCs w:val="16"/>
              </w:rPr>
              <w:t xml:space="preserve">Strong</w:t>
            </w:r>
          </w:p>
        </w:tc>
      </w:tr>
      <w:tr>
        <w:trPr>
          <w:cantSplit/>
        </w:trPr>
        <w:tc>
          <w:tcPr>
            <w:tcW w:w="2158" w:type="dxa"/>
            <w:tcBorders/>
            <w:vAlign w:val="center"/>
          </w:tcPr>
          <w:p>
            <w:pPr>
              <w:pStyle w:val="MDPI42tablebody"/>
              <w:jc w:val="left"/>
            </w:pPr>
            <w:r>
              <w:rPr>
                <w:sz w:val="16"/>
                <w:szCs w:val="16"/>
              </w:rPr>
              <w:t xml:space="preserve">Qwen2.5-3B, Alphabet</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2;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3; </w:t>
            </w:r>
            <w:r>
              <w:rPr>
                <w:i/>
                <w:sz w:val="16"/>
                <w:szCs w:val="16"/>
              </w:rPr>
              <w:t xml:space="preserve">T</w:t>
            </w:r>
            <w:r>
              <w:rPr>
                <w:sz w:val="16"/>
                <w:szCs w:val="16"/>
              </w:rPr>
              <w:t xml:space="preserve">* = 1.2, 0.42)</w:t>
            </w:r>
          </w:p>
        </w:tc>
        <w:tc>
          <w:tcPr>
            <w:tcW w:w="2770"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6; </w:t>
            </w:r>
            <w:r>
              <w:rPr>
                <w:i/>
                <w:sz w:val="16"/>
                <w:szCs w:val="16"/>
              </w:rPr>
              <w:t xml:space="preserve">T</w:t>
            </w:r>
            <w:r>
              <w:rPr>
                <w:sz w:val="16"/>
                <w:szCs w:val="16"/>
              </w:rPr>
              <w:t xml:space="preserve">* = 2, 0.39)</w:t>
            </w:r>
          </w:p>
        </w:tc>
      </w:tr>
      <w:tr>
        <w:trPr>
          <w:cantSplit/>
        </w:trPr>
        <w:tc>
          <w:tcPr>
            <w:tcW w:w="2158" w:type="dxa"/>
            <w:tcBorders/>
            <w:vAlign w:val="center"/>
          </w:tcPr>
          <w:p>
            <w:pPr>
              <w:pStyle w:val="MDPI42tablebody"/>
              <w:jc w:val="left"/>
            </w:pPr>
            <w:r>
              <w:rPr>
                <w:sz w:val="16"/>
                <w:szCs w:val="16"/>
              </w:rPr>
              <w:t xml:space="preserve">Qwen2.5-3B, Months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2; </w:t>
            </w:r>
            <w:r>
              <w:rPr>
                <w:i/>
                <w:sz w:val="16"/>
                <w:szCs w:val="16"/>
              </w:rPr>
              <w:t xml:space="preserve">T</w:t>
            </w:r>
            <w:r>
              <w:rPr>
                <w:sz w:val="16"/>
                <w:szCs w:val="16"/>
              </w:rPr>
              <w:t xml:space="preserve">* = 2, 0.45)</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4; </w:t>
            </w:r>
            <w:r>
              <w:rPr>
                <w:i/>
                <w:sz w:val="16"/>
                <w:szCs w:val="16"/>
              </w:rPr>
              <w:t xml:space="preserve">T</w:t>
            </w:r>
            <w:r>
              <w:rPr>
                <w:sz w:val="16"/>
                <w:szCs w:val="16"/>
              </w:rPr>
              <w:t xml:space="preserve">* = 3, 0.24)</w:t>
            </w:r>
          </w:p>
        </w:tc>
      </w:tr>
      <w:tr>
        <w:trPr>
          <w:cantSplit/>
        </w:trPr>
        <w:tc>
          <w:tcPr>
            <w:tcW w:w="2158" w:type="dxa"/>
            <w:tcBorders/>
            <w:vAlign w:val="center"/>
          </w:tcPr>
          <w:p>
            <w:pPr>
              <w:pStyle w:val="MDPI42tablebody"/>
              <w:jc w:val="left"/>
            </w:pPr>
            <w:r>
              <w:rPr>
                <w:sz w:val="16"/>
                <w:szCs w:val="16"/>
              </w:rPr>
              <w:t xml:space="preserve">Qwen2.5-3B, Planets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0.84)</w:t>
            </w:r>
          </w:p>
        </w:tc>
        <w:tc>
          <w:tcPr>
            <w:tcW w:w="2769"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3; </w:t>
            </w:r>
            <w:r>
              <w:rPr>
                <w:i/>
                <w:sz w:val="16"/>
                <w:szCs w:val="16"/>
              </w:rPr>
              <w:t xml:space="preserve">T</w:t>
            </w:r>
            <w:r>
              <w:rPr>
                <w:sz w:val="16"/>
                <w:szCs w:val="16"/>
              </w:rPr>
              <w:t xml:space="preserve">* = 3, 0.33)</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6; </w:t>
            </w:r>
            <w:r>
              <w:rPr>
                <w:i/>
                <w:sz w:val="16"/>
                <w:szCs w:val="16"/>
              </w:rPr>
              <w:t xml:space="preserve">T</w:t>
            </w:r>
            <w:r>
              <w:rPr>
                <w:sz w:val="16"/>
                <w:szCs w:val="16"/>
              </w:rPr>
              <w:t xml:space="preserve">* = 3, 0.15)</w:t>
            </w:r>
          </w:p>
        </w:tc>
      </w:tr>
      <w:tr>
        <w:trPr>
          <w:cantSplit/>
        </w:trPr>
        <w:tc>
          <w:tcPr>
            <w:tcW w:w="2158" w:type="dxa"/>
            <w:tcBorders/>
            <w:vAlign w:val="center"/>
          </w:tcPr>
          <w:p>
            <w:pPr>
              <w:pStyle w:val="MDPI42tablebody"/>
              <w:jc w:val="left"/>
            </w:pPr>
            <w:r>
              <w:rPr>
                <w:sz w:val="16"/>
                <w:szCs w:val="16"/>
              </w:rPr>
              <w:t xml:space="preserve">Qwen2.5-3B, Number words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2; </w:t>
            </w:r>
            <w:r>
              <w:rPr>
                <w:i/>
                <w:sz w:val="16"/>
                <w:szCs w:val="16"/>
              </w:rPr>
              <w:t xml:space="preserve">T</w:t>
            </w:r>
            <w:r>
              <w:rPr>
                <w:sz w:val="16"/>
                <w:szCs w:val="16"/>
              </w:rPr>
              <w:t xml:space="preserve">* = 3, 0.30)</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4; </w:t>
            </w:r>
            <w:r>
              <w:rPr>
                <w:i/>
                <w:sz w:val="16"/>
                <w:szCs w:val="16"/>
              </w:rPr>
              <w:t xml:space="preserve">T</w:t>
            </w:r>
            <w:r>
              <w:rPr>
                <w:sz w:val="16"/>
                <w:szCs w:val="16"/>
              </w:rPr>
              <w:t xml:space="preserve">* = 3, 0.21)</w:t>
            </w:r>
          </w:p>
        </w:tc>
      </w:tr>
      <w:tr>
        <w:trPr>
          <w:cantSplit/>
        </w:trPr>
        <w:tc>
          <w:tcPr>
            <w:tcW w:w="2158" w:type="dxa"/>
            <w:tcBorders/>
            <w:vAlign w:val="center"/>
          </w:tcPr>
          <w:p>
            <w:pPr>
              <w:pStyle w:val="MDPI42tablebody"/>
              <w:jc w:val="left"/>
            </w:pPr>
            <w:r>
              <w:rPr>
                <w:sz w:val="16"/>
                <w:szCs w:val="16"/>
              </w:rPr>
              <w:t xml:space="preserve">Llama-3.2-3B, Alphabet</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24; </w:t>
            </w:r>
            <w:r>
              <w:rPr>
                <w:i/>
                <w:sz w:val="16"/>
                <w:szCs w:val="16"/>
              </w:rPr>
              <w:t xml:space="preserve">T</w:t>
            </w:r>
            <w:r>
              <w:rPr>
                <w:sz w:val="16"/>
                <w:szCs w:val="16"/>
              </w:rPr>
              <w:t xml:space="preserve">* = 2, 0.37)</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48; </w:t>
            </w:r>
            <w:r>
              <w:rPr>
                <w:i/>
                <w:sz w:val="16"/>
                <w:szCs w:val="16"/>
              </w:rPr>
              <w:t xml:space="preserve">T</w:t>
            </w:r>
            <w:r>
              <w:rPr>
                <w:sz w:val="16"/>
                <w:szCs w:val="16"/>
              </w:rPr>
              <w:t xml:space="preserve">* = 1.2, 0.32)</w:t>
            </w:r>
          </w:p>
        </w:tc>
        <w:tc>
          <w:tcPr>
            <w:tcW w:w="2770" w:type="dxa"/>
            <w:tcBorders/>
            <w:vAlign w:val="center"/>
          </w:tcPr>
          <w:p>
            <w:pPr>
              <w:pStyle w:val="MDPI42tablebody"/>
              <w:jc w:val="center"/>
            </w:pPr>
            <w:r>
              <w:rPr>
                <w:sz w:val="16"/>
                <w:szCs w:val="16"/>
              </w:rPr>
              <w:t xml:space="preserve">–</w:t>
            </w:r>
          </w:p>
        </w:tc>
      </w:tr>
      <w:tr>
        <w:trPr>
          <w:cantSplit/>
        </w:trPr>
        <w:tc>
          <w:tcPr>
            <w:tcW w:w="2158" w:type="dxa"/>
            <w:tcBorders/>
            <w:vAlign w:val="center"/>
          </w:tcPr>
          <w:p>
            <w:pPr>
              <w:pStyle w:val="MDPI42tablebody"/>
              <w:jc w:val="left"/>
            </w:pPr>
            <w:r>
              <w:rPr>
                <w:sz w:val="16"/>
                <w:szCs w:val="16"/>
              </w:rPr>
              <w:t xml:space="preserve">Llama-3.2-3B, Months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3; </w:t>
            </w:r>
            <w:r>
              <w:rPr>
                <w:i/>
                <w:sz w:val="16"/>
                <w:szCs w:val="16"/>
              </w:rPr>
              <w:t xml:space="preserve">T</w:t>
            </w:r>
            <w:r>
              <w:rPr>
                <w:sz w:val="16"/>
                <w:szCs w:val="16"/>
              </w:rPr>
              <w:t xml:space="preserve">* = 1.2, 0.38)</w:t>
            </w:r>
          </w:p>
        </w:tc>
        <w:tc>
          <w:tcPr>
            <w:tcW w:w="2769"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6; </w:t>
            </w:r>
            <w:r>
              <w:rPr>
                <w:i/>
                <w:sz w:val="16"/>
                <w:szCs w:val="16"/>
              </w:rPr>
              <w:t xml:space="preserve">T</w:t>
            </w:r>
            <w:r>
              <w:rPr>
                <w:sz w:val="16"/>
                <w:szCs w:val="16"/>
              </w:rPr>
              <w:t xml:space="preserve">* = 1.2, 0.29)</w:t>
            </w:r>
          </w:p>
        </w:tc>
        <w:tc>
          <w:tcPr>
            <w:tcW w:w="2770"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12; </w:t>
            </w:r>
            <w:r>
              <w:rPr>
                <w:i/>
                <w:sz w:val="16"/>
                <w:szCs w:val="16"/>
              </w:rPr>
              <w:t xml:space="preserve">T</w:t>
            </w:r>
            <w:r>
              <w:rPr>
                <w:sz w:val="16"/>
                <w:szCs w:val="16"/>
              </w:rPr>
              <w:t xml:space="preserve">* = 2, 0.23)</w:t>
            </w:r>
          </w:p>
        </w:tc>
      </w:tr>
      <w:tr>
        <w:trPr>
          <w:cantSplit/>
        </w:trPr>
        <w:tc>
          <w:tcPr>
            <w:tcW w:w="2158" w:type="dxa"/>
            <w:tcBorders/>
            <w:vAlign w:val="center"/>
          </w:tcPr>
          <w:p>
            <w:pPr>
              <w:pStyle w:val="MDPI42tablebody"/>
              <w:jc w:val="left"/>
            </w:pPr>
            <w:r>
              <w:rPr>
                <w:sz w:val="16"/>
                <w:szCs w:val="16"/>
              </w:rPr>
              <w:t xml:space="preserve">Llama-3.2-3B, Planets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16;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32; </w:t>
            </w:r>
            <w:r>
              <w:rPr>
                <w:i/>
                <w:sz w:val="16"/>
                <w:szCs w:val="16"/>
              </w:rPr>
              <w:t xml:space="preserve">T</w:t>
            </w:r>
            <w:r>
              <w:rPr>
                <w:sz w:val="16"/>
                <w:szCs w:val="16"/>
              </w:rPr>
              <w:t xml:space="preserve">* = 0.8, 0.51)</w:t>
            </w:r>
          </w:p>
        </w:tc>
        <w:tc>
          <w:tcPr>
            <w:tcW w:w="2770"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64; </w:t>
            </w:r>
            <w:r>
              <w:rPr>
                <w:i/>
                <w:sz w:val="16"/>
                <w:szCs w:val="16"/>
              </w:rPr>
              <w:t xml:space="preserve">T</w:t>
            </w:r>
            <w:r>
              <w:rPr>
                <w:sz w:val="16"/>
                <w:szCs w:val="16"/>
              </w:rPr>
              <w:t xml:space="preserve">* = 2, 0.40)</w:t>
            </w:r>
          </w:p>
        </w:tc>
      </w:tr>
      <w:tr>
        <w:trPr>
          <w:cantSplit/>
        </w:trPr>
        <w:tc>
          <w:tcPr>
            <w:tcW w:w="2158" w:type="dxa"/>
            <w:tcBorders>
              <w:bottom w:val="single" w:sz="8" w:space="0" w:color="000000"/>
            </w:tcBorders>
            <w:vAlign w:val="center"/>
          </w:tcPr>
          <w:p>
            <w:pPr>
              <w:pStyle w:val="MDPI42tablebody"/>
              <w:jc w:val="left"/>
            </w:pPr>
            <w:r>
              <w:rPr>
                <w:sz w:val="16"/>
                <w:szCs w:val="16"/>
              </w:rPr>
              <w:t xml:space="preserve">Llama-3.2-3B, Number words</w:t>
            </w:r>
          </w:p>
        </w:tc>
        <w:tc>
          <w:tcPr>
            <w:tcW w:w="2769" w:type="dxa"/>
            <w:tcBorders>
              <w:bottom w:val="single" w:sz="8" w:space="0" w:color="000000"/>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4; </w:t>
            </w:r>
            <w:r>
              <w:rPr>
                <w:i/>
                <w:sz w:val="16"/>
                <w:szCs w:val="16"/>
              </w:rPr>
              <w:t xml:space="preserve">T</w:t>
            </w:r>
            <w:r>
              <w:rPr>
                <w:sz w:val="16"/>
                <w:szCs w:val="16"/>
              </w:rPr>
              <w:t xml:space="preserve">* = 0.15, 1.00)</w:t>
            </w:r>
          </w:p>
        </w:tc>
        <w:tc>
          <w:tcPr>
            <w:tcW w:w="2769" w:type="dxa"/>
            <w:tcBorders>
              <w:bottom w:val="single" w:sz="8" w:space="0" w:color="000000"/>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6; </w:t>
            </w:r>
            <w:r>
              <w:rPr>
                <w:i/>
                <w:sz w:val="16"/>
                <w:szCs w:val="16"/>
              </w:rPr>
              <w:t xml:space="preserve">T</w:t>
            </w:r>
            <w:r>
              <w:rPr>
                <w:sz w:val="16"/>
                <w:szCs w:val="16"/>
              </w:rPr>
              <w:t xml:space="preserve">* = 0.15, 0.66)</w:t>
            </w:r>
          </w:p>
        </w:tc>
        <w:tc>
          <w:tcPr>
            <w:tcW w:w="2770" w:type="dxa"/>
            <w:tcBorders>
              <w:bottom w:val="single" w:sz="8" w:space="0" w:color="000000"/>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12; </w:t>
            </w:r>
            <w:r>
              <w:rPr>
                <w:i/>
                <w:sz w:val="16"/>
                <w:szCs w:val="16"/>
              </w:rPr>
              <w:t xml:space="preserve">T</w:t>
            </w:r>
            <w:r>
              <w:rPr>
                <w:sz w:val="16"/>
                <w:szCs w:val="16"/>
              </w:rPr>
              <w:t xml:space="preserve">* = 1.2, 0.38)</w:t>
            </w:r>
          </w:p>
        </w:tc>
      </w:tr>
    </w:tbl>
    <w:p>
      <w:pPr>
        <w:pStyle w:val="MDPI43tablefooter"/>
        <w:ind w:left="0"/>
      </w:pPr>
      <w:r>
        <w:rPr/>
        <w:t xml:space="preserve">Curves were classified from five temperatures (0.15 to 3.0). An interior peak requires the maximum to exceed both end points by at least 0.10 and by two standard errors.</w:t>
      </w:r>
    </w:p>
    <w:p>
      <w:pPr>
        <w:pStyle w:val="MDPI22heading2"/>
        <w:keepNext/>
      </w:pPr>
      <w:r>
        <w:rPr/>
        <w:t xml:space="preserve">5.5. Pressure, Contamination and the Decision Temperature (H1 and H3)</w:t>
      </w:r>
    </w:p>
    <w:p>
      <w:pPr>
        <w:pStyle w:val="MDPI31text"/>
      </w:pPr>
      <w:r>
        <w:rPr/>
        <w:t xml:space="preserve">Table 7 gives T</w:t>
      </w:r>
      <w:r>
        <w:rPr>
          <w:vertAlign w:val="subscript"/>
        </w:rPr>
        <w:t xml:space="preserve">eff</w:t>
      </w:r>
      <w:r>
        <w:rPr/>
        <w:t xml:space="preserve"> − </w:t>
      </w:r>
      <w:r>
        <w:rPr>
          <w:i/>
        </w:rPr>
        <w:t xml:space="preserve">T</w:t>
      </w:r>
      <w:r>
        <w:rPr/>
        <w:t xml:space="preserve"> for the clean cell and the three distortion conditions at the sticky attractor. Pressure raised T</w:t>
      </w:r>
      <w:r>
        <w:rPr>
          <w:vertAlign w:val="subscript"/>
        </w:rPr>
        <w:t xml:space="preserve">eff</w:t>
      </w:r>
      <w:r>
        <w:rPr/>
        <w:t xml:space="preserve"> in 5 of 7 identified matched cells for Qwen2.5-3B and in 1 of 8 for Llama-3.2-3B, and it lowered it in none. H1 is therefore supported for Qwen on the alphabet, months and number tasks, and not for Llama or for the planets task. For Qwen the largest effects occur at </w:t>
      </w:r>
      <w:r>
        <w:rPr>
          <w:i/>
        </w:rPr>
        <w:t xml:space="preserve">T</w:t>
      </w:r>
      <w:r>
        <w:rPr/>
        <w:t xml:space="preserve"> = 0.8 on the number task (T</w:t>
      </w:r>
      <w:r>
        <w:rPr>
          <w:vertAlign w:val="subscript"/>
        </w:rPr>
        <w:t xml:space="preserve">eff</w:t>
      </w:r>
      <w:r>
        <w:rPr/>
        <w:t xml:space="preserve"> − </w:t>
      </w:r>
      <w:r>
        <w:rPr>
          <w:i/>
        </w:rPr>
        <w:t xml:space="preserve">T</w:t>
      </w:r>
      <w:r>
        <w:rPr/>
        <w:t xml:space="preserve"> = +2.26) and the alphabet task (+1.63). For the planets task at </w:t>
      </w:r>
      <w:r>
        <w:rPr>
          <w:i/>
        </w:rPr>
        <w:t xml:space="preserve">T</w:t>
      </w:r>
      <w:r>
        <w:rPr/>
        <w:t xml:space="preserve"> = 0.8 the estimate is not identified in one of the two cells. Contamination alone raised T</w:t>
      </w:r>
      <w:r>
        <w:rPr>
          <w:vertAlign w:val="subscript"/>
        </w:rPr>
        <w:t xml:space="preserve">eff</w:t>
      </w:r>
      <w:r>
        <w:rPr/>
        <w:t xml:space="preserve"> in 2 of 6 identified Qwen cells, both on the number task, and in none for Llama. H3 predicts that adding contamination to pressure strengthens the effect. Across 15 matched comparisons the mean difference in T</w:t>
      </w:r>
      <w:r>
        <w:rPr>
          <w:vertAlign w:val="subscript"/>
        </w:rPr>
        <w:t xml:space="preserve">eff</w:t>
      </w:r>
      <w:r>
        <w:rPr/>
        <w:t xml:space="preserve"> − </w:t>
      </w:r>
      <w:r>
        <w:rPr>
          <w:i/>
        </w:rPr>
        <w:t xml:space="preserve">T</w:t>
      </w:r>
      <w:r>
        <w:rPr/>
        <w:t xml:space="preserve"> between the combined and the pressure-only condition was +0.01, and no comparison differed by 0.5 or more, so H3 is not supported. The contaminated text we used is diffuse negative sentiment, which H3 says should be the weak case, and we did not construct the case in which the contaminated content lies close to a dominant response.</w:t>
      </w:r>
    </w:p>
    <w:p>
      <w:pPr>
        <w:pStyle w:val="MDPI41tablecaption"/>
        <w:keepNext/>
      </w:pPr>
      <w:r>
        <w:rPr>
          <w:b/>
        </w:rPr>
        <w:t xml:space="preserve">Table 7.</w:t>
      </w:r>
      <w:r>
        <w:rPr/>
        <w:t xml:space="preserve"> T</w:t>
      </w:r>
      <w:r>
        <w:rPr>
          <w:vertAlign w:val="subscript"/>
        </w:rPr>
        <w:t xml:space="preserve">eff</w:t>
      </w:r>
      <w:r>
        <w:rPr/>
        <w:t xml:space="preserve"> − </w:t>
      </w:r>
      <w:r>
        <w:rPr>
          <w:i/>
        </w:rPr>
        <w:t xml:space="preserve">T</w:t>
      </w:r>
      <w:r>
        <w:rPr/>
        <w:t xml:space="preserve"> at the sticky attractor, by prompt condition and nominal temperature.</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589"/>
        <w:gridCol w:w="984"/>
        <w:gridCol w:w="984"/>
        <w:gridCol w:w="984"/>
        <w:gridCol w:w="984"/>
        <w:gridCol w:w="984"/>
        <w:gridCol w:w="984"/>
        <w:gridCol w:w="984"/>
        <w:gridCol w:w="989"/>
      </w:tblGrid>
      <w:tr>
        <w:trPr>
          <w:cantSplit/>
          <w:tblHeader/>
        </w:trPr>
        <w:tc>
          <w:tcPr>
            <w:tcW w:w="2589" w:type="dxa"/>
            <w:vMerge w:val="restart"/>
            <w:tcBorders>
              <w:top w:val="single" w:sz="8" w:space="0" w:color="000000"/>
              <w:bottom w:val="single" w:sz="4" w:space="0" w:color="000000"/>
            </w:tcBorders>
            <w:vAlign w:val="center"/>
          </w:tcPr>
          <w:p>
            <w:pPr>
              <w:pStyle w:val="MDPI42tablebody"/>
              <w:jc w:val="left"/>
            </w:pPr>
            <w:r>
              <w:rPr>
                <w:b/>
                <w:sz w:val="16"/>
                <w:szCs w:val="16"/>
              </w:rPr>
              <w:t xml:space="preserve">Model, Task</w:t>
            </w:r>
          </w:p>
        </w:tc>
        <w:tc>
          <w:tcPr>
            <w:tcW w:w="3936" w:type="dxa"/>
            <w:gridSpan w:val="4"/>
            <w:tcBorders>
              <w:top w:val="single" w:sz="8" w:space="0" w:color="000000"/>
              <w:bottom w:val="single" w:sz="4" w:space="0" w:color="000000"/>
            </w:tcBorders>
            <w:vAlign w:val="center"/>
          </w:tcPr>
          <w:p>
            <w:pPr>
              <w:pStyle w:val="MDPI42tablebody"/>
              <w:jc w:val="center"/>
            </w:pPr>
            <w:r>
              <w:rPr>
                <w:b/>
                <w:i/>
                <w:sz w:val="16"/>
                <w:szCs w:val="16"/>
              </w:rPr>
              <w:t xml:space="preserve">T</w:t>
            </w:r>
            <w:r>
              <w:rPr>
                <w:b/>
                <w:sz w:val="16"/>
                <w:szCs w:val="16"/>
              </w:rPr>
              <w:t xml:space="preserve"> = 0.8</w:t>
            </w:r>
          </w:p>
        </w:tc>
        <w:tc>
          <w:tcPr>
            <w:tcW w:w="3941" w:type="dxa"/>
            <w:gridSpan w:val="4"/>
            <w:tcBorders>
              <w:top w:val="single" w:sz="8" w:space="0" w:color="000000"/>
              <w:bottom w:val="single" w:sz="4" w:space="0" w:color="000000"/>
            </w:tcBorders>
            <w:vAlign w:val="center"/>
          </w:tcPr>
          <w:p>
            <w:pPr>
              <w:pStyle w:val="MDPI42tablebody"/>
              <w:jc w:val="center"/>
            </w:pPr>
            <w:r>
              <w:rPr>
                <w:b/>
                <w:i/>
                <w:sz w:val="16"/>
                <w:szCs w:val="16"/>
              </w:rPr>
              <w:t xml:space="preserve">T</w:t>
            </w:r>
            <w:r>
              <w:rPr>
                <w:b/>
                <w:sz w:val="16"/>
                <w:szCs w:val="16"/>
              </w:rPr>
              <w:t xml:space="preserve"> = 2.0</w:t>
            </w:r>
          </w:p>
        </w:tc>
      </w:tr>
      <w:tr>
        <w:trPr>
          <w:cantSplit/>
          <w:tblHeader/>
        </w:trPr>
        <w:tc>
          <w:tcPr>
            <w:tcW w:w="2589" w:type="dxa"/>
            <w:vMerge/>
            <w:tcBorders>
              <w:bottom w:val="single" w:sz="4" w:space="0" w:color="000000"/>
            </w:tcBorders>
            <w:vAlign w:val="center"/>
          </w:tcPr>
          <w:p>
            <w:pPr>
              <w:pStyle w:val="MDPI42tablebody"/>
            </w:pPr>
          </w:p>
        </w:tc>
        <w:tc>
          <w:tcPr>
            <w:tcW w:w="984" w:type="dxa"/>
            <w:tcBorders>
              <w:bottom w:val="single" w:sz="4" w:space="0" w:color="000000"/>
            </w:tcBorders>
            <w:vAlign w:val="center"/>
          </w:tcPr>
          <w:p>
            <w:pPr>
              <w:pStyle w:val="MDPI42tablebody"/>
              <w:jc w:val="center"/>
            </w:pPr>
            <w:r>
              <w:rPr>
                <w:b/>
                <w:sz w:val="16"/>
                <w:szCs w:val="16"/>
              </w:rPr>
              <w:t xml:space="preserve">Clean</w:t>
            </w:r>
          </w:p>
        </w:tc>
        <w:tc>
          <w:tcPr>
            <w:tcW w:w="984" w:type="dxa"/>
            <w:tcBorders>
              <w:bottom w:val="single" w:sz="4" w:space="0" w:color="000000"/>
            </w:tcBorders>
            <w:vAlign w:val="center"/>
          </w:tcPr>
          <w:p>
            <w:pPr>
              <w:pStyle w:val="MDPI42tablebody"/>
              <w:jc w:val="center"/>
            </w:pPr>
            <w:r>
              <w:rPr>
                <w:b/>
                <w:sz w:val="16"/>
                <w:szCs w:val="16"/>
              </w:rPr>
              <w:t xml:space="preserve">Press.</w:t>
            </w:r>
          </w:p>
        </w:tc>
        <w:tc>
          <w:tcPr>
            <w:tcW w:w="984" w:type="dxa"/>
            <w:tcBorders>
              <w:bottom w:val="single" w:sz="4" w:space="0" w:color="000000"/>
            </w:tcBorders>
            <w:vAlign w:val="center"/>
          </w:tcPr>
          <w:p>
            <w:pPr>
              <w:pStyle w:val="MDPI42tablebody"/>
              <w:jc w:val="center"/>
            </w:pPr>
            <w:r>
              <w:rPr>
                <w:b/>
                <w:sz w:val="16"/>
                <w:szCs w:val="16"/>
              </w:rPr>
              <w:t xml:space="preserve">Cont.</w:t>
            </w:r>
          </w:p>
        </w:tc>
        <w:tc>
          <w:tcPr>
            <w:tcW w:w="984" w:type="dxa"/>
            <w:tcBorders>
              <w:bottom w:val="single" w:sz="4" w:space="0" w:color="000000"/>
            </w:tcBorders>
            <w:vAlign w:val="center"/>
          </w:tcPr>
          <w:p>
            <w:pPr>
              <w:pStyle w:val="MDPI42tablebody"/>
              <w:jc w:val="center"/>
            </w:pPr>
            <w:r>
              <w:rPr>
                <w:b/>
                <w:sz w:val="16"/>
                <w:szCs w:val="16"/>
              </w:rPr>
              <w:t xml:space="preserve">Both</w:t>
            </w:r>
          </w:p>
        </w:tc>
        <w:tc>
          <w:tcPr>
            <w:tcW w:w="984" w:type="dxa"/>
            <w:tcBorders>
              <w:bottom w:val="single" w:sz="4" w:space="0" w:color="000000"/>
            </w:tcBorders>
            <w:vAlign w:val="center"/>
          </w:tcPr>
          <w:p>
            <w:pPr>
              <w:pStyle w:val="MDPI42tablebody"/>
              <w:jc w:val="center"/>
            </w:pPr>
            <w:r>
              <w:rPr>
                <w:b/>
                <w:sz w:val="16"/>
                <w:szCs w:val="16"/>
              </w:rPr>
              <w:t xml:space="preserve">Clean</w:t>
            </w:r>
          </w:p>
        </w:tc>
        <w:tc>
          <w:tcPr>
            <w:tcW w:w="984" w:type="dxa"/>
            <w:tcBorders>
              <w:bottom w:val="single" w:sz="4" w:space="0" w:color="000000"/>
            </w:tcBorders>
            <w:vAlign w:val="center"/>
          </w:tcPr>
          <w:p>
            <w:pPr>
              <w:pStyle w:val="MDPI42tablebody"/>
              <w:jc w:val="center"/>
            </w:pPr>
            <w:r>
              <w:rPr>
                <w:b/>
                <w:sz w:val="16"/>
                <w:szCs w:val="16"/>
              </w:rPr>
              <w:t xml:space="preserve">Press.</w:t>
            </w:r>
          </w:p>
        </w:tc>
        <w:tc>
          <w:tcPr>
            <w:tcW w:w="984" w:type="dxa"/>
            <w:tcBorders>
              <w:bottom w:val="single" w:sz="4" w:space="0" w:color="000000"/>
            </w:tcBorders>
            <w:vAlign w:val="center"/>
          </w:tcPr>
          <w:p>
            <w:pPr>
              <w:pStyle w:val="MDPI42tablebody"/>
              <w:jc w:val="center"/>
            </w:pPr>
            <w:r>
              <w:rPr>
                <w:b/>
                <w:sz w:val="16"/>
                <w:szCs w:val="16"/>
              </w:rPr>
              <w:t xml:space="preserve">Cont.</w:t>
            </w:r>
          </w:p>
        </w:tc>
        <w:tc>
          <w:tcPr>
            <w:tcW w:w="989" w:type="dxa"/>
            <w:tcBorders>
              <w:bottom w:val="single" w:sz="4" w:space="0" w:color="000000"/>
            </w:tcBorders>
            <w:vAlign w:val="center"/>
          </w:tcPr>
          <w:p>
            <w:pPr>
              <w:pStyle w:val="MDPI42tablebody"/>
              <w:jc w:val="center"/>
            </w:pPr>
            <w:r>
              <w:rPr>
                <w:b/>
                <w:sz w:val="16"/>
                <w:szCs w:val="16"/>
              </w:rPr>
              <w:t xml:space="preserve">Both</w:t>
            </w:r>
          </w:p>
        </w:tc>
      </w:tr>
      <w:tr>
        <w:trPr>
          <w:cantSplit/>
        </w:trPr>
        <w:tc>
          <w:tcPr>
            <w:tcW w:w="2589" w:type="dxa"/>
            <w:tcBorders/>
            <w:vAlign w:val="center"/>
          </w:tcPr>
          <w:p>
            <w:pPr>
              <w:pStyle w:val="MDPI42tablebody"/>
              <w:jc w:val="left"/>
            </w:pPr>
            <w:r>
              <w:rPr>
                <w:sz w:val="16"/>
                <w:szCs w:val="16"/>
              </w:rPr>
              <w:t xml:space="preserve">Qwen2.5-3B, Alphabet</w:t>
            </w:r>
          </w:p>
        </w:tc>
        <w:tc>
          <w:tcPr>
            <w:tcW w:w="984" w:type="dxa"/>
            <w:tcBorders/>
            <w:vAlign w:val="center"/>
          </w:tcPr>
          <w:p>
            <w:pPr>
              <w:pStyle w:val="MDPI42tablebody"/>
              <w:jc w:val="center"/>
            </w:pPr>
            <w:r>
              <w:rPr>
                <w:sz w:val="16"/>
                <w:szCs w:val="16"/>
              </w:rPr>
              <w:t xml:space="preserve">−0.08</w:t>
            </w:r>
          </w:p>
        </w:tc>
        <w:tc>
          <w:tcPr>
            <w:tcW w:w="984" w:type="dxa"/>
            <w:tcBorders/>
            <w:vAlign w:val="center"/>
          </w:tcPr>
          <w:p>
            <w:pPr>
              <w:pStyle w:val="MDPI42tablebody"/>
              <w:jc w:val="center"/>
            </w:pPr>
            <w:r>
              <w:rPr>
                <w:sz w:val="16"/>
                <w:szCs w:val="16"/>
              </w:rPr>
              <w:t xml:space="preserve">+1.63</w:t>
            </w:r>
          </w:p>
        </w:tc>
        <w:tc>
          <w:tcPr>
            <w:tcW w:w="984" w:type="dxa"/>
            <w:tcBorders/>
            <w:vAlign w:val="center"/>
          </w:tcPr>
          <w:p>
            <w:pPr>
              <w:pStyle w:val="MDPI42tablebody"/>
              <w:jc w:val="center"/>
            </w:pPr>
            <w:r>
              <w:rPr>
                <w:sz w:val="16"/>
                <w:szCs w:val="16"/>
              </w:rPr>
              <w:t xml:space="preserve">+0.03</w:t>
            </w:r>
          </w:p>
        </w:tc>
        <w:tc>
          <w:tcPr>
            <w:tcW w:w="984" w:type="dxa"/>
            <w:tcBorders/>
            <w:vAlign w:val="center"/>
          </w:tcPr>
          <w:p>
            <w:pPr>
              <w:pStyle w:val="MDPI42tablebody"/>
              <w:jc w:val="center"/>
            </w:pPr>
            <w:r>
              <w:rPr>
                <w:sz w:val="16"/>
                <w:szCs w:val="16"/>
              </w:rPr>
              <w:t xml:space="preserve">+1.63</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+0.72</w:t>
            </w:r>
          </w:p>
        </w:tc>
        <w:tc>
          <w:tcPr>
            <w:tcW w:w="984" w:type="dxa"/>
            <w:tcBorders/>
            <w:vAlign w:val="center"/>
          </w:tcPr>
          <w:p>
            <w:pPr>
              <w:pStyle w:val="MDPI42tablebody"/>
              <w:jc w:val="center"/>
            </w:pPr>
            <w:r>
              <w:rPr>
                <w:sz w:val="16"/>
                <w:szCs w:val="16"/>
              </w:rPr>
              <w:t xml:space="preserve">−0.08</w:t>
            </w:r>
          </w:p>
        </w:tc>
        <w:tc>
          <w:tcPr>
            <w:tcW w:w="989" w:type="dxa"/>
            <w:tcBorders/>
            <w:vAlign w:val="center"/>
          </w:tcPr>
          <w:p>
            <w:pPr>
              <w:pStyle w:val="MDPI42tablebody"/>
              <w:jc w:val="center"/>
            </w:pPr>
            <w:r>
              <w:rPr>
                <w:sz w:val="16"/>
                <w:szCs w:val="16"/>
              </w:rPr>
              <w:t xml:space="preserve">+1.06</w:t>
            </w:r>
          </w:p>
        </w:tc>
      </w:tr>
      <w:tr>
        <w:trPr>
          <w:cantSplit/>
        </w:trPr>
        <w:tc>
          <w:tcPr>
            <w:tcW w:w="2589" w:type="dxa"/>
            <w:tcBorders/>
            <w:vAlign w:val="center"/>
          </w:tcPr>
          <w:p>
            <w:pPr>
              <w:pStyle w:val="MDPI42tablebody"/>
              <w:jc w:val="left"/>
            </w:pPr>
            <w:r>
              <w:rPr>
                <w:sz w:val="16"/>
                <w:szCs w:val="16"/>
              </w:rPr>
              <w:t xml:space="preserve">Qwen2.5-3B, Months</w:t>
            </w:r>
          </w:p>
        </w:tc>
        <w:tc>
          <w:tcPr>
            <w:tcW w:w="984" w:type="dxa"/>
            <w:tcBorders/>
            <w:vAlign w:val="center"/>
          </w:tcPr>
          <w:p>
            <w:pPr>
              <w:pStyle w:val="MDPI42tablebody"/>
              <w:jc w:val="center"/>
            </w:pPr>
            <w:r>
              <w:rPr>
                <w:sz w:val="16"/>
                <w:szCs w:val="16"/>
              </w:rPr>
              <w:t xml:space="preserve">−0.06</w:t>
            </w:r>
          </w:p>
        </w:tc>
        <w:tc>
          <w:tcPr>
            <w:tcW w:w="984" w:type="dxa"/>
            <w:tcBorders/>
            <w:vAlign w:val="center"/>
          </w:tcPr>
          <w:p>
            <w:pPr>
              <w:pStyle w:val="MDPI42tablebody"/>
              <w:jc w:val="center"/>
            </w:pPr>
            <w:r>
              <w:rPr>
                <w:sz w:val="16"/>
                <w:szCs w:val="16"/>
              </w:rPr>
              <w:t xml:space="preserve">+1.02</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+0.91</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−0.29</w:t>
            </w:r>
          </w:p>
        </w:tc>
        <w:tc>
          <w:tcPr>
            <w:tcW w:w="989" w:type="dxa"/>
            <w:tcBorders/>
            <w:vAlign w:val="center"/>
          </w:tcPr>
          <w:p>
            <w:pPr>
              <w:pStyle w:val="MDPI42tablebody"/>
              <w:jc w:val="center"/>
            </w:pPr>
            <w:r>
              <w:rPr>
                <w:sz w:val="16"/>
                <w:szCs w:val="16"/>
              </w:rPr>
              <w:t xml:space="preserve">+0.22</w:t>
            </w:r>
          </w:p>
        </w:tc>
      </w:tr>
      <w:tr>
        <w:trPr>
          <w:cantSplit/>
        </w:trPr>
        <w:tc>
          <w:tcPr>
            <w:tcW w:w="2589" w:type="dxa"/>
            <w:tcBorders/>
            <w:vAlign w:val="center"/>
          </w:tcPr>
          <w:p>
            <w:pPr>
              <w:pStyle w:val="MDPI42tablebody"/>
              <w:jc w:val="left"/>
            </w:pPr>
            <w:r>
              <w:rPr>
                <w:sz w:val="16"/>
                <w:szCs w:val="16"/>
              </w:rPr>
              <w:t xml:space="preserve">Qwen2.5-3B, Planets</w:t>
            </w:r>
          </w:p>
        </w:tc>
        <w:tc>
          <w:tcPr>
            <w:tcW w:w="984" w:type="dxa"/>
            <w:tcBorders/>
            <w:vAlign w:val="center"/>
          </w:tcPr>
          <w:p>
            <w:pPr>
              <w:pStyle w:val="MDPI42tablebody"/>
              <w:jc w:val="center"/>
            </w:pPr>
            <w:r>
              <w:rPr>
                <w:sz w:val="16"/>
                <w:szCs w:val="16"/>
              </w:rPr>
              <w:t xml:space="preserve">+0.31</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−0.13</w:t>
            </w:r>
          </w:p>
        </w:tc>
        <w:tc>
          <w:tcPr>
            <w:tcW w:w="989" w:type="dxa"/>
            <w:tcBorders/>
            <w:vAlign w:val="center"/>
          </w:tcPr>
          <w:p>
            <w:pPr>
              <w:pStyle w:val="MDPI42tablebody"/>
              <w:jc w:val="center"/>
            </w:pPr>
            <w:r>
              <w:rPr>
                <w:sz w:val="16"/>
                <w:szCs w:val="16"/>
              </w:rPr>
              <w:t xml:space="preserve">+0.22</w:t>
            </w:r>
          </w:p>
        </w:tc>
      </w:tr>
      <w:tr>
        <w:trPr>
          <w:cantSplit/>
        </w:trPr>
        <w:tc>
          <w:tcPr>
            <w:tcW w:w="2589" w:type="dxa"/>
            <w:tcBorders/>
            <w:vAlign w:val="center"/>
          </w:tcPr>
          <w:p>
            <w:pPr>
              <w:pStyle w:val="MDPI42tablebody"/>
              <w:jc w:val="left"/>
            </w:pPr>
            <w:r>
              <w:rPr>
                <w:sz w:val="16"/>
                <w:szCs w:val="16"/>
              </w:rPr>
              <w:t xml:space="preserve">Qwen2.5-3B, Number words</w:t>
            </w:r>
          </w:p>
        </w:tc>
        <w:tc>
          <w:tcPr>
            <w:tcW w:w="984" w:type="dxa"/>
            <w:tcBorders/>
            <w:vAlign w:val="center"/>
          </w:tcPr>
          <w:p>
            <w:pPr>
              <w:pStyle w:val="MDPI42tablebody"/>
              <w:jc w:val="center"/>
            </w:pPr>
            <w:r>
              <w:rPr>
                <w:sz w:val="16"/>
                <w:szCs w:val="16"/>
              </w:rPr>
              <w:t xml:space="preserve">+0.06</w:t>
            </w:r>
          </w:p>
        </w:tc>
        <w:tc>
          <w:tcPr>
            <w:tcW w:w="984" w:type="dxa"/>
            <w:tcBorders/>
            <w:vAlign w:val="center"/>
          </w:tcPr>
          <w:p>
            <w:pPr>
              <w:pStyle w:val="MDPI42tablebody"/>
              <w:jc w:val="center"/>
            </w:pPr>
            <w:r>
              <w:rPr>
                <w:sz w:val="16"/>
                <w:szCs w:val="16"/>
              </w:rPr>
              <w:t xml:space="preserve">+2.26</w:t>
            </w:r>
          </w:p>
        </w:tc>
        <w:tc>
          <w:tcPr>
            <w:tcW w:w="984" w:type="dxa"/>
            <w:tcBorders/>
            <w:vAlign w:val="center"/>
          </w:tcPr>
          <w:p>
            <w:pPr>
              <w:pStyle w:val="MDPI42tablebody"/>
              <w:jc w:val="center"/>
            </w:pPr>
            <w:r>
              <w:rPr>
                <w:sz w:val="16"/>
                <w:szCs w:val="16"/>
              </w:rPr>
              <w:t xml:space="preserve">+0.96</w:t>
            </w:r>
          </w:p>
        </w:tc>
        <w:tc>
          <w:tcPr>
            <w:tcW w:w="984" w:type="dxa"/>
            <w:tcBorders/>
            <w:vAlign w:val="center"/>
          </w:tcPr>
          <w:p>
            <w:pPr>
              <w:pStyle w:val="MDPI42tablebody"/>
              <w:jc w:val="center"/>
            </w:pPr>
            <w:r>
              <w:rPr>
                <w:sz w:val="16"/>
                <w:szCs w:val="16"/>
              </w:rPr>
              <w:t xml:space="preserve">+2.08</w:t>
            </w:r>
          </w:p>
        </w:tc>
        <w:tc>
          <w:tcPr>
            <w:tcW w:w="984" w:type="dxa"/>
            <w:tcBorders/>
            <w:vAlign w:val="center"/>
          </w:tcPr>
          <w:p>
            <w:pPr>
              <w:pStyle w:val="MDPI42tablebody"/>
              <w:jc w:val="center"/>
            </w:pPr>
            <w:r>
              <w:rPr>
                <w:sz w:val="16"/>
                <w:szCs w:val="16"/>
              </w:rPr>
              <w:t xml:space="preserve">−0.24</w:t>
            </w:r>
          </w:p>
        </w:tc>
        <w:tc>
          <w:tcPr>
            <w:tcW w:w="984" w:type="dxa"/>
            <w:tcBorders/>
            <w:vAlign w:val="center"/>
          </w:tcPr>
          <w:p>
            <w:pPr>
              <w:pStyle w:val="MDPI42tablebody"/>
              <w:jc w:val="center"/>
            </w:pPr>
            <w:r>
              <w:rPr>
                <w:sz w:val="16"/>
                <w:szCs w:val="16"/>
              </w:rPr>
              <w:t xml:space="preserve">+1.43</w:t>
            </w:r>
          </w:p>
        </w:tc>
        <w:tc>
          <w:tcPr>
            <w:tcW w:w="984" w:type="dxa"/>
            <w:tcBorders/>
            <w:vAlign w:val="center"/>
          </w:tcPr>
          <w:p>
            <w:pPr>
              <w:pStyle w:val="MDPI42tablebody"/>
              <w:jc w:val="center"/>
            </w:pPr>
            <w:r>
              <w:rPr>
                <w:sz w:val="16"/>
                <w:szCs w:val="16"/>
              </w:rPr>
              <w:t xml:space="preserve">+0.64</w:t>
            </w:r>
          </w:p>
        </w:tc>
        <w:tc>
          <w:tcPr>
            <w:tcW w:w="989" w:type="dxa"/>
            <w:tcBorders/>
            <w:vAlign w:val="center"/>
          </w:tcPr>
          <w:p>
            <w:pPr>
              <w:pStyle w:val="MDPI42tablebody"/>
              <w:jc w:val="center"/>
            </w:pPr>
            <w:r>
              <w:rPr>
                <w:sz w:val="16"/>
                <w:szCs w:val="16"/>
              </w:rPr>
              <w:t xml:space="preserve">+1.33</w:t>
            </w:r>
          </w:p>
        </w:tc>
      </w:tr>
      <w:tr>
        <w:trPr>
          <w:cantSplit/>
        </w:trPr>
        <w:tc>
          <w:tcPr>
            <w:tcW w:w="2589" w:type="dxa"/>
            <w:tcBorders/>
            <w:vAlign w:val="center"/>
          </w:tcPr>
          <w:p>
            <w:pPr>
              <w:pStyle w:val="MDPI42tablebody"/>
              <w:jc w:val="left"/>
            </w:pPr>
            <w:r>
              <w:rPr>
                <w:sz w:val="16"/>
                <w:szCs w:val="16"/>
              </w:rPr>
              <w:t xml:space="preserve">Llama-3.2-3B, Alphabet</w:t>
            </w:r>
          </w:p>
        </w:tc>
        <w:tc>
          <w:tcPr>
            <w:tcW w:w="984" w:type="dxa"/>
            <w:tcBorders/>
            <w:vAlign w:val="center"/>
          </w:tcPr>
          <w:p>
            <w:pPr>
              <w:pStyle w:val="MDPI42tablebody"/>
              <w:jc w:val="center"/>
            </w:pPr>
            <w:r>
              <w:rPr>
                <w:sz w:val="16"/>
                <w:szCs w:val="16"/>
              </w:rPr>
              <w:t xml:space="preserve">−0.04</w:t>
            </w:r>
          </w:p>
        </w:tc>
        <w:tc>
          <w:tcPr>
            <w:tcW w:w="984" w:type="dxa"/>
            <w:tcBorders/>
            <w:vAlign w:val="center"/>
          </w:tcPr>
          <w:p>
            <w:pPr>
              <w:pStyle w:val="MDPI42tablebody"/>
              <w:jc w:val="center"/>
            </w:pPr>
            <w:r>
              <w:rPr>
                <w:sz w:val="16"/>
                <w:szCs w:val="16"/>
              </w:rPr>
              <w:t xml:space="preserve">−0.28</w:t>
            </w:r>
          </w:p>
        </w:tc>
        <w:tc>
          <w:tcPr>
            <w:tcW w:w="984" w:type="dxa"/>
            <w:tcBorders/>
            <w:vAlign w:val="center"/>
          </w:tcPr>
          <w:p>
            <w:pPr>
              <w:pStyle w:val="MDPI42tablebody"/>
              <w:jc w:val="center"/>
            </w:pPr>
            <w:r>
              <w:rPr>
                <w:sz w:val="16"/>
                <w:szCs w:val="16"/>
              </w:rPr>
              <w:t xml:space="preserve">−0.35</w:t>
            </w:r>
          </w:p>
        </w:tc>
        <w:tc>
          <w:tcPr>
            <w:tcW w:w="984" w:type="dxa"/>
            <w:tcBorders/>
            <w:vAlign w:val="center"/>
          </w:tcPr>
          <w:p>
            <w:pPr>
              <w:pStyle w:val="MDPI42tablebody"/>
              <w:jc w:val="center"/>
            </w:pPr>
            <w:r>
              <w:rPr>
                <w:sz w:val="16"/>
                <w:szCs w:val="16"/>
              </w:rPr>
              <w:t xml:space="preserve">−0.21</w:t>
            </w:r>
          </w:p>
        </w:tc>
        <w:tc>
          <w:tcPr>
            <w:tcW w:w="984" w:type="dxa"/>
            <w:tcBorders/>
            <w:vAlign w:val="center"/>
          </w:tcPr>
          <w:p>
            <w:pPr>
              <w:pStyle w:val="MDPI42tablebody"/>
              <w:jc w:val="center"/>
            </w:pPr>
            <w:r>
              <w:rPr>
                <w:sz w:val="16"/>
                <w:szCs w:val="16"/>
              </w:rPr>
              <w:t xml:space="preserve">+0.10</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−0.08</w:t>
            </w:r>
          </w:p>
        </w:tc>
        <w:tc>
          <w:tcPr>
            <w:tcW w:w="989" w:type="dxa"/>
            <w:tcBorders/>
            <w:vAlign w:val="center"/>
          </w:tcPr>
          <w:p>
            <w:pPr>
              <w:pStyle w:val="MDPI42tablebody"/>
              <w:jc w:val="center"/>
            </w:pPr>
            <w:r>
              <w:rPr>
                <w:sz w:val="16"/>
                <w:szCs w:val="16"/>
              </w:rPr>
              <w:t xml:space="preserve">−0.02</w:t>
            </w:r>
          </w:p>
        </w:tc>
      </w:tr>
      <w:tr>
        <w:trPr>
          <w:cantSplit/>
        </w:trPr>
        <w:tc>
          <w:tcPr>
            <w:tcW w:w="2589" w:type="dxa"/>
            <w:tcBorders/>
            <w:vAlign w:val="center"/>
          </w:tcPr>
          <w:p>
            <w:pPr>
              <w:pStyle w:val="MDPI42tablebody"/>
              <w:jc w:val="left"/>
            </w:pPr>
            <w:r>
              <w:rPr>
                <w:sz w:val="16"/>
                <w:szCs w:val="16"/>
              </w:rPr>
              <w:t xml:space="preserve">Llama-3.2-3B, Months</w:t>
            </w:r>
          </w:p>
        </w:tc>
        <w:tc>
          <w:tcPr>
            <w:tcW w:w="984" w:type="dxa"/>
            <w:tcBorders/>
            <w:vAlign w:val="center"/>
          </w:tcPr>
          <w:p>
            <w:pPr>
              <w:pStyle w:val="MDPI42tablebody"/>
              <w:jc w:val="center"/>
            </w:pPr>
            <w:r>
              <w:rPr>
                <w:sz w:val="16"/>
                <w:szCs w:val="16"/>
              </w:rPr>
              <w:t xml:space="preserve">+0.03</w:t>
            </w:r>
          </w:p>
        </w:tc>
        <w:tc>
          <w:tcPr>
            <w:tcW w:w="984" w:type="dxa"/>
            <w:tcBorders/>
            <w:vAlign w:val="center"/>
          </w:tcPr>
          <w:p>
            <w:pPr>
              <w:pStyle w:val="MDPI42tablebody"/>
              <w:jc w:val="center"/>
            </w:pPr>
            <w:r>
              <w:rPr>
                <w:sz w:val="16"/>
                <w:szCs w:val="16"/>
              </w:rPr>
              <w:t xml:space="preserve">−0.33</w:t>
            </w:r>
          </w:p>
        </w:tc>
        <w:tc>
          <w:tcPr>
            <w:tcW w:w="984" w:type="dxa"/>
            <w:tcBorders/>
            <w:vAlign w:val="center"/>
          </w:tcPr>
          <w:p>
            <w:pPr>
              <w:pStyle w:val="MDPI42tablebody"/>
              <w:jc w:val="center"/>
            </w:pPr>
            <w:r>
              <w:rPr>
                <w:sz w:val="16"/>
                <w:szCs w:val="16"/>
              </w:rPr>
              <w:t xml:space="preserve">−0.35</w:t>
            </w:r>
          </w:p>
        </w:tc>
        <w:tc>
          <w:tcPr>
            <w:tcW w:w="984" w:type="dxa"/>
            <w:tcBorders/>
            <w:vAlign w:val="center"/>
          </w:tcPr>
          <w:p>
            <w:pPr>
              <w:pStyle w:val="MDPI42tablebody"/>
              <w:jc w:val="center"/>
            </w:pPr>
            <w:r>
              <w:rPr>
                <w:sz w:val="16"/>
                <w:szCs w:val="16"/>
              </w:rPr>
              <w:t xml:space="preserve">−0.41</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+0.10</w:t>
            </w:r>
          </w:p>
        </w:tc>
        <w:tc>
          <w:tcPr>
            <w:tcW w:w="989" w:type="dxa"/>
            <w:tcBorders/>
            <w:vAlign w:val="center"/>
          </w:tcPr>
          <w:p>
            <w:pPr>
              <w:pStyle w:val="MDPI42tablebody"/>
              <w:jc w:val="center"/>
            </w:pPr>
            <w:r>
              <w:rPr>
                <w:sz w:val="16"/>
                <w:szCs w:val="16"/>
              </w:rPr>
              <w:t xml:space="preserve">−0.13</w:t>
            </w:r>
          </w:p>
        </w:tc>
      </w:tr>
      <w:tr>
        <w:trPr>
          <w:cantSplit/>
        </w:trPr>
        <w:tc>
          <w:tcPr>
            <w:tcW w:w="2589" w:type="dxa"/>
            <w:tcBorders/>
            <w:vAlign w:val="center"/>
          </w:tcPr>
          <w:p>
            <w:pPr>
              <w:pStyle w:val="MDPI42tablebody"/>
              <w:jc w:val="left"/>
            </w:pPr>
            <w:r>
              <w:rPr>
                <w:sz w:val="16"/>
                <w:szCs w:val="16"/>
              </w:rPr>
              <w:t xml:space="preserve">Llama-3.2-3B, Planets</w:t>
            </w:r>
          </w:p>
        </w:tc>
        <w:tc>
          <w:tcPr>
            <w:tcW w:w="984" w:type="dxa"/>
            <w:tcBorders/>
            <w:vAlign w:val="center"/>
          </w:tcPr>
          <w:p>
            <w:pPr>
              <w:pStyle w:val="MDPI42tablebody"/>
              <w:jc w:val="center"/>
            </w:pPr>
            <w:r>
              <w:rPr>
                <w:sz w:val="16"/>
                <w:szCs w:val="16"/>
              </w:rPr>
              <w:t xml:space="preserve">−0.04</w:t>
            </w:r>
          </w:p>
        </w:tc>
        <w:tc>
          <w:tcPr>
            <w:tcW w:w="984" w:type="dxa"/>
            <w:tcBorders/>
            <w:vAlign w:val="center"/>
          </w:tcPr>
          <w:p>
            <w:pPr>
              <w:pStyle w:val="MDPI42tablebody"/>
              <w:jc w:val="center"/>
            </w:pPr>
            <w:r>
              <w:rPr>
                <w:sz w:val="16"/>
                <w:szCs w:val="16"/>
              </w:rPr>
              <w:t xml:space="preserve">−0.14</w:t>
            </w:r>
          </w:p>
        </w:tc>
        <w:tc>
          <w:tcPr>
            <w:tcW w:w="984" w:type="dxa"/>
            <w:tcBorders/>
            <w:vAlign w:val="center"/>
          </w:tcPr>
          <w:p>
            <w:pPr>
              <w:pStyle w:val="MDPI42tablebody"/>
              <w:jc w:val="center"/>
            </w:pPr>
            <w:r>
              <w:rPr>
                <w:sz w:val="16"/>
                <w:szCs w:val="16"/>
              </w:rPr>
              <w:t xml:space="preserve">−0.08</w:t>
            </w:r>
          </w:p>
        </w:tc>
        <w:tc>
          <w:tcPr>
            <w:tcW w:w="984" w:type="dxa"/>
            <w:tcBorders/>
            <w:vAlign w:val="center"/>
          </w:tcPr>
          <w:p>
            <w:pPr>
              <w:pStyle w:val="MDPI42tablebody"/>
              <w:jc w:val="center"/>
            </w:pPr>
            <w:r>
              <w:rPr>
                <w:sz w:val="16"/>
                <w:szCs w:val="16"/>
              </w:rPr>
              <w:t xml:space="preserve">+0.01</w:t>
            </w:r>
          </w:p>
        </w:tc>
        <w:tc>
          <w:tcPr>
            <w:tcW w:w="984" w:type="dxa"/>
            <w:tcBorders/>
            <w:vAlign w:val="center"/>
          </w:tcPr>
          <w:p>
            <w:pPr>
              <w:pStyle w:val="MDPI42tablebody"/>
              <w:jc w:val="center"/>
            </w:pPr>
            <w:r>
              <w:rPr>
                <w:sz w:val="16"/>
                <w:szCs w:val="16"/>
              </w:rPr>
              <w:t xml:space="preserve">+0.10</w:t>
            </w:r>
          </w:p>
        </w:tc>
        <w:tc>
          <w:tcPr>
            <w:tcW w:w="984" w:type="dxa"/>
            <w:tcBorders/>
            <w:vAlign w:val="center"/>
          </w:tcPr>
          <w:p>
            <w:pPr>
              <w:pStyle w:val="MDPI42tablebody"/>
              <w:jc w:val="center"/>
            </w:pPr>
            <w:r>
              <w:rPr>
                <w:sz w:val="16"/>
                <w:szCs w:val="16"/>
              </w:rPr>
              <w:t xml:space="preserve">+0.22</w:t>
            </w:r>
          </w:p>
        </w:tc>
        <w:tc>
          <w:tcPr>
            <w:tcW w:w="984" w:type="dxa"/>
            <w:tcBorders/>
            <w:vAlign w:val="center"/>
          </w:tcPr>
          <w:p>
            <w:pPr>
              <w:pStyle w:val="MDPI42tablebody"/>
              <w:jc w:val="center"/>
            </w:pPr>
            <w:r>
              <w:rPr>
                <w:sz w:val="16"/>
                <w:szCs w:val="16"/>
              </w:rPr>
              <w:t xml:space="preserve">+0.36</w:t>
            </w:r>
          </w:p>
        </w:tc>
        <w:tc>
          <w:tcPr>
            <w:tcW w:w="989" w:type="dxa"/>
            <w:tcBorders/>
            <w:vAlign w:val="center"/>
          </w:tcPr>
          <w:p>
            <w:pPr>
              <w:pStyle w:val="MDPI42tablebody"/>
              <w:jc w:val="center"/>
            </w:pPr>
            <w:r>
              <w:rPr>
                <w:sz w:val="16"/>
                <w:szCs w:val="16"/>
              </w:rPr>
              <w:t xml:space="preserve">+0.16</w:t>
            </w:r>
          </w:p>
        </w:tc>
      </w:tr>
      <w:tr>
        <w:trPr>
          <w:cantSplit/>
        </w:trPr>
        <w:tc>
          <w:tcPr>
            <w:tcW w:w="2589" w:type="dxa"/>
            <w:tcBorders>
              <w:bottom w:val="single" w:sz="8" w:space="0" w:color="000000"/>
            </w:tcBorders>
            <w:vAlign w:val="center"/>
          </w:tcPr>
          <w:p>
            <w:pPr>
              <w:pStyle w:val="MDPI42tablebody"/>
              <w:jc w:val="left"/>
            </w:pPr>
            <w:r>
              <w:rPr>
                <w:sz w:val="16"/>
                <w:szCs w:val="16"/>
              </w:rPr>
              <w:t xml:space="preserve">Llama-3.2-3B, Number words</w:t>
            </w:r>
          </w:p>
        </w:tc>
        <w:tc>
          <w:tcPr>
            <w:tcW w:w="984" w:type="dxa"/>
            <w:tcBorders>
              <w:bottom w:val="single" w:sz="8" w:space="0" w:color="000000"/>
            </w:tcBorders>
            <w:vAlign w:val="center"/>
          </w:tcPr>
          <w:p>
            <w:pPr>
              <w:pStyle w:val="MDPI42tablebody"/>
              <w:jc w:val="center"/>
            </w:pPr>
            <w:r>
              <w:rPr>
                <w:sz w:val="16"/>
                <w:szCs w:val="16"/>
              </w:rPr>
              <w:t xml:space="preserve">−0.06</w:t>
            </w:r>
          </w:p>
        </w:tc>
        <w:tc>
          <w:tcPr>
            <w:tcW w:w="984" w:type="dxa"/>
            <w:tcBorders>
              <w:bottom w:val="single" w:sz="8" w:space="0" w:color="000000"/>
            </w:tcBorders>
            <w:vAlign w:val="center"/>
          </w:tcPr>
          <w:p>
            <w:pPr>
              <w:pStyle w:val="MDPI42tablebody"/>
              <w:jc w:val="center"/>
            </w:pPr>
            <w:r>
              <w:rPr>
                <w:sz w:val="16"/>
                <w:szCs w:val="16"/>
              </w:rPr>
              <w:t xml:space="preserve">+0.48</w:t>
            </w:r>
          </w:p>
        </w:tc>
        <w:tc>
          <w:tcPr>
            <w:tcW w:w="984" w:type="dxa"/>
            <w:tcBorders>
              <w:bottom w:val="single" w:sz="8" w:space="0" w:color="000000"/>
            </w:tcBorders>
            <w:vAlign w:val="center"/>
          </w:tcPr>
          <w:p>
            <w:pPr>
              <w:pStyle w:val="MDPI42tablebody"/>
              <w:jc w:val="center"/>
            </w:pPr>
            <w:r>
              <w:rPr>
                <w:sz w:val="16"/>
                <w:szCs w:val="16"/>
              </w:rPr>
              <w:t xml:space="preserve">+0.25</w:t>
            </w:r>
          </w:p>
        </w:tc>
        <w:tc>
          <w:tcPr>
            <w:tcW w:w="984" w:type="dxa"/>
            <w:tcBorders>
              <w:bottom w:val="single" w:sz="8" w:space="0" w:color="000000"/>
            </w:tcBorders>
            <w:vAlign w:val="center"/>
          </w:tcPr>
          <w:p>
            <w:pPr>
              <w:pStyle w:val="MDPI42tablebody"/>
              <w:jc w:val="center"/>
            </w:pPr>
            <w:r>
              <w:rPr>
                <w:sz w:val="16"/>
                <w:szCs w:val="16"/>
              </w:rPr>
              <w:t xml:space="preserve">+0.48</w:t>
            </w:r>
          </w:p>
        </w:tc>
        <w:tc>
          <w:tcPr>
            <w:tcW w:w="984" w:type="dxa"/>
            <w:tcBorders>
              <w:bottom w:val="single" w:sz="8" w:space="0" w:color="000000"/>
            </w:tcBorders>
            <w:vAlign w:val="center"/>
          </w:tcPr>
          <w:p>
            <w:pPr>
              <w:pStyle w:val="MDPI42tablebody"/>
              <w:jc w:val="center"/>
            </w:pPr>
            <w:r>
              <w:rPr>
                <w:sz w:val="16"/>
                <w:szCs w:val="16"/>
              </w:rPr>
              <w:t xml:space="preserve">+0.29</w:t>
            </w:r>
          </w:p>
        </w:tc>
        <w:tc>
          <w:tcPr>
            <w:tcW w:w="984" w:type="dxa"/>
            <w:tcBorders>
              <w:bottom w:val="single" w:sz="8" w:space="0" w:color="000000"/>
            </w:tcBorders>
            <w:vAlign w:val="center"/>
          </w:tcPr>
          <w:p>
            <w:pPr>
              <w:pStyle w:val="MDPI42tablebody"/>
              <w:jc w:val="center"/>
            </w:pPr>
            <w:r>
              <w:rPr>
                <w:sz w:val="16"/>
                <w:szCs w:val="16"/>
              </w:rPr>
              <w:t xml:space="preserve">+0.29</w:t>
            </w:r>
          </w:p>
        </w:tc>
        <w:tc>
          <w:tcPr>
            <w:tcW w:w="984" w:type="dxa"/>
            <w:tcBorders>
              <w:bottom w:val="single" w:sz="8" w:space="0" w:color="000000"/>
            </w:tcBorders>
            <w:vAlign w:val="center"/>
          </w:tcPr>
          <w:p>
            <w:pPr>
              <w:pStyle w:val="MDPI42tablebody"/>
              <w:jc w:val="center"/>
            </w:pPr>
            <w:r>
              <w:rPr>
                <w:sz w:val="16"/>
                <w:szCs w:val="16"/>
              </w:rPr>
              <w:t xml:space="preserve">+0.50</w:t>
            </w:r>
          </w:p>
        </w:tc>
        <w:tc>
          <w:tcPr>
            <w:tcW w:w="989" w:type="dxa"/>
            <w:tcBorders>
              <w:bottom w:val="single" w:sz="8" w:space="0" w:color="000000"/>
            </w:tcBorders>
            <w:vAlign w:val="center"/>
          </w:tcPr>
          <w:p>
            <w:pPr>
              <w:pStyle w:val="MDPI42tablebody"/>
              <w:jc w:val="center"/>
            </w:pPr>
            <w:r>
              <w:rPr>
                <w:sz w:val="16"/>
                <w:szCs w:val="16"/>
              </w:rPr>
              <w:t xml:space="preserve">+0.29</w:t>
            </w:r>
          </w:p>
        </w:tc>
      </w:tr>
    </w:tbl>
    <w:p>
      <w:pPr>
        <w:pStyle w:val="MDPI43tablefooter"/>
        <w:ind w:left="0"/>
      </w:pPr>
      <w:r>
        <w:rPr/>
        <w:t xml:space="preserve">n.i. = not identified because the clean or the distorted cell has a saturated reference. A clean cell with a value near zero is the calibration check described in Section 3.3.</w:t>
      </w:r>
    </w:p>
    <w:p>
      <w:pPr>
        <w:pStyle w:val="MDPI22heading2"/>
        <w:keepNext/>
      </w:pPr>
      <w:r>
        <w:rPr/>
        <w:t xml:space="preserve">5.6. Comparison with Entropy, Calibration and Semantic Entropy</w:t>
      </w:r>
    </w:p>
    <w:p>
      <w:pPr>
        <w:pStyle w:val="MDPI31text"/>
      </w:pPr>
      <w:r>
        <w:rPr/>
        <w:t xml:space="preserve">We compare the indicators on the same matched cells (Section 4.6). Table 8 shows how often each indicator flags a distorted cell, in either direction, and Figure 3 plots the shares. Pooled over both models, pressure was flagged by ECE in 13 of 16 cells, by entropy in 10 of 16, by confidence in 10 of 16, by semantic entropy in 7 of 16 and by T</w:t>
      </w:r>
      <w:r>
        <w:rPr>
          <w:vertAlign w:val="subscript"/>
        </w:rPr>
        <w:t xml:space="preserve">eff</w:t>
      </w:r>
      <w:r>
        <w:rPr/>
        <w:t xml:space="preserve"> in 6 of 15. The order is similar for the combined condition. T</w:t>
      </w:r>
      <w:r>
        <w:rPr>
          <w:vertAlign w:val="subscript"/>
        </w:rPr>
        <w:t xml:space="preserve">eff</w:t>
      </w:r>
      <w:r>
        <w:rPr/>
        <w:t xml:space="preserve"> therefore did not outperform the simpler indicators as a detector. Its performance also differs sharply between models, being comparable to entropy for Qwen (5 of 7 against 6 of 8) and poor for Llama (1 of 8 against 4 of 8). The result for ECE needs a reservation, because ECE uses ground-truth labels that a deployed monitor would not have.</w:t>
      </w:r>
    </w:p>
    <w:p>
      <w:pPr>
        <w:pStyle w:val="MDPI41tablecaption"/>
        <w:keepNext/>
      </w:pPr>
      <w:r>
        <w:rPr>
          <w:b/>
        </w:rPr>
        <w:t xml:space="preserve">Table 8.</w:t>
      </w:r>
      <w:r>
        <w:rPr/>
        <w:t xml:space="preserve"> Matched cells flagged by each indicator (either direction), out of the cells for which the indicator is defined.</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466"/>
        <w:gridCol w:w="1333"/>
        <w:gridCol w:w="1333"/>
        <w:gridCol w:w="1333"/>
        <w:gridCol w:w="1333"/>
        <w:gridCol w:w="1333"/>
        <w:gridCol w:w="1335"/>
      </w:tblGrid>
      <w:tr>
        <w:trPr>
          <w:cantSplit/>
          <w:tblHeader/>
        </w:trPr>
        <w:tc>
          <w:tcPr>
            <w:tcW w:w="2466" w:type="dxa"/>
            <w:tcBorders>
              <w:top w:val="single" w:sz="8" w:space="0" w:color="000000"/>
              <w:bottom w:val="single" w:sz="4" w:space="0" w:color="000000"/>
            </w:tcBorders>
            <w:vAlign w:val="center"/>
          </w:tcPr>
          <w:p>
            <w:pPr>
              <w:pStyle w:val="MDPI42tablebody"/>
              <w:jc w:val="left"/>
            </w:pPr>
            <w:r>
              <w:rPr>
                <w:b/>
                <w:sz w:val="18"/>
                <w:szCs w:val="18"/>
              </w:rPr>
              <w:t xml:space="preserve">Indicator</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Press.</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Cont.</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Both</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Llama Press.</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Llama Cont.</w:t>
            </w:r>
          </w:p>
        </w:tc>
        <w:tc>
          <w:tcPr>
            <w:tcW w:w="1335" w:type="dxa"/>
            <w:tcBorders>
              <w:top w:val="single" w:sz="8" w:space="0" w:color="000000"/>
              <w:bottom w:val="single" w:sz="4" w:space="0" w:color="000000"/>
            </w:tcBorders>
            <w:vAlign w:val="center"/>
          </w:tcPr>
          <w:p>
            <w:pPr>
              <w:pStyle w:val="MDPI42tablebody"/>
              <w:jc w:val="center"/>
            </w:pPr>
            <w:r>
              <w:rPr>
                <w:b/>
                <w:sz w:val="18"/>
                <w:szCs w:val="18"/>
              </w:rPr>
              <w:t xml:space="preserve">Llama Both</w:t>
            </w:r>
          </w:p>
        </w:tc>
      </w:tr>
      <w:tr>
        <w:trPr>
          <w:cantSplit/>
        </w:trPr>
        <w:tc>
          <w:tcPr>
            <w:tcW w:w="2466" w:type="dxa"/>
            <w:tcBorders/>
            <w:vAlign w:val="center"/>
          </w:tcPr>
          <w:p>
            <w:pPr>
              <w:pStyle w:val="MDPI42tablebody"/>
              <w:jc w:val="left"/>
            </w:pPr>
            <w:r>
              <w:rPr>
                <w:sz w:val="18"/>
                <w:szCs w:val="18"/>
              </w:rPr>
              <w:t xml:space="preserve">Token entropy</w:t>
            </w:r>
          </w:p>
        </w:tc>
        <w:tc>
          <w:tcPr>
            <w:tcW w:w="1333" w:type="dxa"/>
            <w:tcBorders/>
            <w:vAlign w:val="center"/>
          </w:tcPr>
          <w:p>
            <w:pPr>
              <w:pStyle w:val="MDPI42tablebody"/>
              <w:jc w:val="center"/>
            </w:pPr>
            <w:r>
              <w:rPr>
                <w:sz w:val="18"/>
                <w:szCs w:val="18"/>
              </w:rPr>
              <w:t xml:space="preserve">6/8</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3/8</w:t>
            </w:r>
          </w:p>
        </w:tc>
        <w:tc>
          <w:tcPr>
            <w:tcW w:w="1335" w:type="dxa"/>
            <w:tcBorders/>
            <w:vAlign w:val="center"/>
          </w:tcPr>
          <w:p>
            <w:pPr>
              <w:pStyle w:val="MDPI42tablebody"/>
              <w:jc w:val="center"/>
            </w:pPr>
            <w:r>
              <w:rPr>
                <w:sz w:val="18"/>
                <w:szCs w:val="18"/>
              </w:rPr>
              <w:t xml:space="preserve">5/8</w:t>
            </w:r>
          </w:p>
        </w:tc>
      </w:tr>
      <w:tr>
        <w:trPr>
          <w:cantSplit/>
        </w:trPr>
        <w:tc>
          <w:tcPr>
            <w:tcW w:w="2466" w:type="dxa"/>
            <w:tcBorders/>
            <w:vAlign w:val="center"/>
          </w:tcPr>
          <w:p>
            <w:pPr>
              <w:pStyle w:val="MDPI42tablebody"/>
              <w:jc w:val="left"/>
            </w:pPr>
            <w:r>
              <w:rPr>
                <w:sz w:val="18"/>
                <w:szCs w:val="18"/>
              </w:rPr>
              <w:t xml:space="preserve">Confidence</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2/8</w:t>
            </w:r>
          </w:p>
        </w:tc>
        <w:tc>
          <w:tcPr>
            <w:tcW w:w="1335" w:type="dxa"/>
            <w:tcBorders/>
            <w:vAlign w:val="center"/>
          </w:tcPr>
          <w:p>
            <w:pPr>
              <w:pStyle w:val="MDPI42tablebody"/>
              <w:jc w:val="center"/>
            </w:pPr>
            <w:r>
              <w:rPr>
                <w:sz w:val="18"/>
                <w:szCs w:val="18"/>
              </w:rPr>
              <w:t xml:space="preserve">6/8</w:t>
            </w:r>
          </w:p>
        </w:tc>
      </w:tr>
      <w:tr>
        <w:trPr>
          <w:cantSplit/>
        </w:trPr>
        <w:tc>
          <w:tcPr>
            <w:tcW w:w="2466" w:type="dxa"/>
            <w:tcBorders/>
            <w:vAlign w:val="center"/>
          </w:tcPr>
          <w:p>
            <w:pPr>
              <w:pStyle w:val="MDPI42tablebody"/>
              <w:jc w:val="left"/>
            </w:pPr>
            <w:r>
              <w:rPr>
                <w:sz w:val="18"/>
                <w:szCs w:val="18"/>
              </w:rPr>
              <w:t xml:space="preserve">ECE (needs labels)</w:t>
            </w:r>
          </w:p>
        </w:tc>
        <w:tc>
          <w:tcPr>
            <w:tcW w:w="1333" w:type="dxa"/>
            <w:tcBorders/>
            <w:vAlign w:val="center"/>
          </w:tcPr>
          <w:p>
            <w:pPr>
              <w:pStyle w:val="MDPI42tablebody"/>
              <w:jc w:val="center"/>
            </w:pPr>
            <w:r>
              <w:rPr>
                <w:sz w:val="18"/>
                <w:szCs w:val="18"/>
              </w:rPr>
              <w:t xml:space="preserve">6/8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7/8</w:t>
            </w:r>
          </w:p>
        </w:tc>
        <w:tc>
          <w:tcPr>
            <w:tcW w:w="1333" w:type="dxa"/>
            <w:tcBorders/>
            <w:vAlign w:val="center"/>
          </w:tcPr>
          <w:p>
            <w:pPr>
              <w:pStyle w:val="MDPI42tablebody"/>
              <w:jc w:val="center"/>
            </w:pPr>
            <w:r>
              <w:rPr>
                <w:sz w:val="18"/>
                <w:szCs w:val="18"/>
              </w:rPr>
              <w:t xml:space="preserve">4/8</w:t>
            </w:r>
          </w:p>
        </w:tc>
        <w:tc>
          <w:tcPr>
            <w:tcW w:w="1335" w:type="dxa"/>
            <w:tcBorders/>
            <w:vAlign w:val="center"/>
          </w:tcPr>
          <w:p>
            <w:pPr>
              <w:pStyle w:val="MDPI42tablebody"/>
              <w:jc w:val="center"/>
            </w:pPr>
            <w:r>
              <w:rPr>
                <w:sz w:val="18"/>
                <w:szCs w:val="18"/>
              </w:rPr>
              <w:t xml:space="preserve">8/8</w:t>
            </w:r>
          </w:p>
        </w:tc>
      </w:tr>
      <w:tr>
        <w:trPr>
          <w:cantSplit/>
        </w:trPr>
        <w:tc>
          <w:tcPr>
            <w:tcW w:w="2466" w:type="dxa"/>
            <w:tcBorders/>
            <w:vAlign w:val="center"/>
          </w:tcPr>
          <w:p>
            <w:pPr>
              <w:pStyle w:val="MDPI42tablebody"/>
              <w:jc w:val="left"/>
            </w:pPr>
            <w:r>
              <w:rPr>
                <w:sz w:val="18"/>
                <w:szCs w:val="18"/>
              </w:rPr>
              <w:t xml:space="preserve">Semantic entropy</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2/8</w:t>
            </w:r>
          </w:p>
        </w:tc>
        <w:tc>
          <w:tcPr>
            <w:tcW w:w="1335" w:type="dxa"/>
            <w:tcBorders/>
            <w:vAlign w:val="center"/>
          </w:tcPr>
          <w:p>
            <w:pPr>
              <w:pStyle w:val="MDPI42tablebody"/>
              <w:jc w:val="center"/>
            </w:pPr>
            <w:r>
              <w:rPr>
                <w:sz w:val="18"/>
                <w:szCs w:val="18"/>
              </w:rPr>
              <w:t xml:space="preserve">1/8</w:t>
            </w:r>
          </w:p>
        </w:tc>
      </w:tr>
      <w:tr>
        <w:trPr>
          <w:cantSplit/>
        </w:trPr>
        <w:tc>
          <w:tcPr>
            <w:tcW w:w="2466" w:type="dxa"/>
            <w:tcBorders>
              <w:bottom w:val="single" w:sz="8" w:space="0" w:color="000000"/>
            </w:tcBorders>
            <w:vAlign w:val="center"/>
          </w:tcPr>
          <w:p>
            <w:pPr>
              <w:pStyle w:val="MDPI42tablebody"/>
              <w:jc w:val="left"/>
            </w:pPr>
            <w:r>
              <w:rPr>
                <w:sz w:val="18"/>
                <w:szCs w:val="18"/>
              </w:rPr>
              <w:t xml:space="preserve">T</w:t>
            </w:r>
            <w:r>
              <w:rPr>
                <w:sz w:val="18"/>
                <w:szCs w:val="18"/>
                <w:vertAlign w:val="subscript"/>
              </w:rPr>
              <w:t xml:space="preserve">eff</w:t>
            </w:r>
          </w:p>
        </w:tc>
        <w:tc>
          <w:tcPr>
            <w:tcW w:w="1333" w:type="dxa"/>
            <w:tcBorders>
              <w:bottom w:val="single" w:sz="8" w:space="0" w:color="000000"/>
            </w:tcBorders>
            <w:vAlign w:val="center"/>
          </w:tcPr>
          <w:p>
            <w:pPr>
              <w:pStyle w:val="MDPI42tablebody"/>
              <w:jc w:val="center"/>
            </w:pPr>
            <w:r>
              <w:rPr>
                <w:sz w:val="18"/>
                <w:szCs w:val="18"/>
              </w:rPr>
              <w:t xml:space="preserve">5/7</w:t>
            </w:r>
          </w:p>
        </w:tc>
        <w:tc>
          <w:tcPr>
            <w:tcW w:w="1333" w:type="dxa"/>
            <w:tcBorders>
              <w:bottom w:val="single" w:sz="8" w:space="0" w:color="000000"/>
            </w:tcBorders>
            <w:vAlign w:val="center"/>
          </w:tcPr>
          <w:p>
            <w:pPr>
              <w:pStyle w:val="MDPI42tablebody"/>
              <w:jc w:val="center"/>
            </w:pPr>
            <w:r>
              <w:rPr>
                <w:sz w:val="18"/>
                <w:szCs w:val="18"/>
              </w:rPr>
              <w:t xml:space="preserve">2/6</w:t>
            </w:r>
          </w:p>
        </w:tc>
        <w:tc>
          <w:tcPr>
            <w:tcW w:w="1333" w:type="dxa"/>
            <w:tcBorders>
              <w:bottom w:val="single" w:sz="8" w:space="0" w:color="000000"/>
            </w:tcBorders>
            <w:vAlign w:val="center"/>
          </w:tcPr>
          <w:p>
            <w:pPr>
              <w:pStyle w:val="MDPI42tablebody"/>
              <w:jc w:val="center"/>
            </w:pPr>
            <w:r>
              <w:rPr>
                <w:sz w:val="18"/>
                <w:szCs w:val="18"/>
              </w:rPr>
              <w:t xml:space="preserve">5/8</w:t>
            </w:r>
          </w:p>
        </w:tc>
        <w:tc>
          <w:tcPr>
            <w:tcW w:w="1333" w:type="dxa"/>
            <w:tcBorders>
              <w:bottom w:val="single" w:sz="8" w:space="0" w:color="000000"/>
            </w:tcBorders>
            <w:vAlign w:val="center"/>
          </w:tcPr>
          <w:p>
            <w:pPr>
              <w:pStyle w:val="MDPI42tablebody"/>
              <w:jc w:val="center"/>
            </w:pPr>
            <w:r>
              <w:rPr>
                <w:sz w:val="18"/>
                <w:szCs w:val="18"/>
              </w:rPr>
              <w:t xml:space="preserve">1/8</w:t>
            </w:r>
          </w:p>
        </w:tc>
        <w:tc>
          <w:tcPr>
            <w:tcW w:w="1333" w:type="dxa"/>
            <w:tcBorders>
              <w:bottom w:val="single" w:sz="8" w:space="0" w:color="000000"/>
            </w:tcBorders>
            <w:vAlign w:val="center"/>
          </w:tcPr>
          <w:p>
            <w:pPr>
              <w:pStyle w:val="MDPI42tablebody"/>
              <w:jc w:val="center"/>
            </w:pPr>
            <w:r>
              <w:rPr>
                <w:sz w:val="18"/>
                <w:szCs w:val="18"/>
              </w:rPr>
              <w:t xml:space="preserve">0/8</w:t>
            </w:r>
          </w:p>
        </w:tc>
        <w:tc>
          <w:tcPr>
            <w:tcW w:w="1335" w:type="dxa"/>
            <w:tcBorders>
              <w:bottom w:val="single" w:sz="8" w:space="0" w:color="000000"/>
            </w:tcBorders>
            <w:vAlign w:val="center"/>
          </w:tcPr>
          <w:p>
            <w:pPr>
              <w:pStyle w:val="MDPI42tablebody"/>
              <w:jc w:val="center"/>
            </w:pPr>
            <w:r>
              <w:rPr>
                <w:sz w:val="18"/>
                <w:szCs w:val="18"/>
              </w:rPr>
              <w:t xml:space="preserve">1/8</w:t>
            </w:r>
          </w:p>
        </w:tc>
      </w:tr>
    </w:tbl>
    <w:p>
      <w:pPr>
        <w:pStyle w:val="MDPI31text"/>
        <w:spacing w:before="0" w:after="0" w:line="120" w:lineRule="exact"/>
      </w:pPr>
    </w:p>
    <w:p>
      <w:pPr>
        <w:pStyle w:val="MDPI52figure"/>
        <w:keepNext/>
        <w:ind w:left="0"/>
        <w:jc w:val="center"/>
      </w:pPr>
      <w:r>
        <w:drawing>
          <wp:inline distT="0" distB="0" distL="0" distR="0">
            <wp:extent cx="6477000" cy="2590800"/>
            <wp:effectExtent l="0" t="0" r="0" b="0"/>
            <wp:docPr id="2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png"/>
                    <pic:cNvPicPr>
                      <a:picLocks noChangeAspect="1"/>
                    </pic:cNvPicPr>
                  </pic:nvPicPr>
                  <pic:blipFill>
                    <a:blip r:embed="rId203"/>
                    <a:stretch>
                      <a:fillRect/>
                    </a:stretch>
                  </pic:blipFill>
                  <pic:spPr>
                    <a:xfrm>
                      <a:off x="0" y="0"/>
                      <a:ext cx="6477000" cy="2590800"/>
                    </a:xfrm>
                    <a:prstGeom prst="rect">
                      <a:avLst/>
                    </a:prstGeom>
                  </pic:spPr>
                </pic:pic>
              </a:graphicData>
            </a:graphic>
          </wp:inline>
        </w:drawing>
      </w:r>
    </w:p>
    <w:p>
      <w:pPr>
        <w:pStyle w:val="MDPI51figurecaption"/>
      </w:pPr>
      <w:r>
        <w:rPr>
          <w:b/>
        </w:rPr>
        <w:t xml:space="preserve">Figure 3.</w:t>
      </w:r>
      <w:r>
        <w:rPr/>
        <w:t xml:space="preserve"> Share of matched cells in which each indicator flags the distorted condition (either direction). *ECE requires ground-truth labels. Eight matched cells per condition and model (T</w:t>
      </w:r>
      <w:r>
        <w:rPr>
          <w:vertAlign w:val="subscript"/>
        </w:rPr>
        <w:t xml:space="preserve">eff</w:t>
      </w:r>
      <w:r>
        <w:rPr/>
        <w:t xml:space="preserve">: fewer where not identified).</w:t>
      </w:r>
    </w:p>
    <w:p>
      <w:pPr>
        <w:pStyle w:val="MDPI31text"/>
      </w:pPr>
      <w:r>
        <w:rPr/>
        <w:t xml:space="preserve">Direction matters. For Qwen, entropy rose under pressure in 4 of 8 cells and fell in 2, whereas for Llama it did not rise in any cell and fell in 4. A monitor that waits for entropy to rise would therefore detect pressure in one model and miss it in the other. ECE rose in 7 of 8 Llama cells and fell in 5 of 8 Qwen cells, because in Qwen the baseline is a confidently wrong lock that pressure disrupts. At the level of single trajectories, the separability of pressured from clean trajectories (two-sided area under the curve, pooled over the two models) was 0.83 for entropy, 0.78 for confidence, 0.81 for the confidence–correctness gap and 0.72 for the trajectory-level T</w:t>
      </w:r>
      <w:r>
        <w:rPr>
          <w:vertAlign w:val="subscript"/>
        </w:rPr>
        <w:t xml:space="preserve">eff</w:t>
      </w:r>
      <w:r>
        <w:rPr/>
        <w:t xml:space="preserve">, which rests on only six choices. The ranking depends on the margins. If every margin is halved, the pooled counts for pressure are 14/16 for ECE, 12/16 for entropy, 11/16 for confidence, 8/16 for semantic entropy and 8/15 for T</w:t>
      </w:r>
      <w:r>
        <w:rPr>
          <w:vertAlign w:val="subscript"/>
        </w:rPr>
        <w:t xml:space="preserve">eff</w:t>
      </w:r>
      <w:r>
        <w:rPr/>
        <w:t xml:space="preserve">. If they are doubled, the counts fall to 6, 5, 7, 4 and 4, and the indicators are no longer clearly ordered.</w:t>
      </w:r>
    </w:p>
    <w:p>
      <w:pPr>
        <w:pStyle w:val="MDPI41tablecaption"/>
        <w:keepNext/>
      </w:pPr>
      <w:r>
        <w:rPr>
          <w:b/>
        </w:rPr>
        <w:t xml:space="preserve">Table 9.</w:t>
      </w:r>
      <w:r>
        <w:rPr/>
        <w:t xml:space="preserve"> Fully locked-in cells (sticky attractor, clean prompt, </w:t>
      </w:r>
      <w:r>
        <w:rPr>
          <w:i/>
        </w:rPr>
        <w:t xml:space="preserve">T</w:t>
      </w:r>
      <w:r>
        <w:rPr/>
        <w:t xml:space="preserve"> = 0.15): every label-free indicator reports a healthy agent.</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3107"/>
        <w:gridCol w:w="1051"/>
        <w:gridCol w:w="1051"/>
        <w:gridCol w:w="1051"/>
        <w:gridCol w:w="1051"/>
        <w:gridCol w:w="1051"/>
        <w:gridCol w:w="1051"/>
        <w:gridCol w:w="1053"/>
      </w:tblGrid>
      <w:tr>
        <w:trPr>
          <w:cantSplit/>
          <w:tblHeader/>
        </w:trPr>
        <w:tc>
          <w:tcPr>
            <w:tcW w:w="3107" w:type="dxa"/>
            <w:tcBorders>
              <w:top w:val="single" w:sz="8" w:space="0" w:color="000000"/>
              <w:bottom w:val="single" w:sz="4" w:space="0" w:color="000000"/>
            </w:tcBorders>
            <w:vAlign w:val="center"/>
          </w:tcPr>
          <w:p>
            <w:pPr>
              <w:pStyle w:val="MDPI42tablebody"/>
              <w:jc w:val="left"/>
            </w:pPr>
            <w:r>
              <w:rPr>
                <w:b/>
                <w:sz w:val="18"/>
                <w:szCs w:val="18"/>
              </w:rPr>
              <w:t xml:space="preserve">Cell</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Lock-in</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Entropy</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Confid.</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Sem. Ent.</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ECE</w:t>
            </w:r>
          </w:p>
        </w:tc>
        <w:tc>
          <w:tcPr>
            <w:tcW w:w="1053"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r>
              <w:rPr>
                <w:b/>
                <w:sz w:val="18"/>
                <w:szCs w:val="18"/>
              </w:rPr>
              <w:t xml:space="preserve"> − </w:t>
            </w:r>
            <w:r>
              <w:rPr>
                <w:b/>
                <w:i/>
                <w:sz w:val="18"/>
                <w:szCs w:val="18"/>
              </w:rPr>
              <w:t xml:space="preserve">T</w:t>
            </w:r>
          </w:p>
        </w:tc>
      </w:tr>
      <w:tr>
        <w:trPr>
          <w:cantSplit/>
        </w:trPr>
        <w:tc>
          <w:tcPr>
            <w:tcW w:w="3107" w:type="dxa"/>
            <w:tcBorders/>
            <w:vAlign w:val="center"/>
          </w:tcPr>
          <w:p>
            <w:pPr>
              <w:pStyle w:val="MDPI42tablebody"/>
              <w:jc w:val="left"/>
            </w:pPr>
            <w:r>
              <w:rPr>
                <w:sz w:val="18"/>
                <w:szCs w:val="18"/>
              </w:rPr>
              <w:t xml:space="preserve">Qwen2.5-3B, Alphabet (</w:t>
            </w:r>
            <w:r>
              <w:rPr>
                <w:i/>
                <w:sz w:val="18"/>
                <w:szCs w:val="18"/>
              </w:rPr>
              <w:t xml:space="preserve">m</w:t>
            </w:r>
            <w:r>
              <w:rPr>
                <w:sz w:val="18"/>
                <w:szCs w:val="18"/>
              </w:rPr>
              <w:t xml:space="preserve"> = 3)</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Months (</w:t>
            </w:r>
            <w:r>
              <w:rPr>
                <w:i/>
                <w:sz w:val="18"/>
                <w:szCs w:val="18"/>
              </w:rPr>
              <w:t xml:space="preserve">m</w:t>
            </w:r>
            <w:r>
              <w:rPr>
                <w:sz w:val="18"/>
                <w:szCs w:val="18"/>
              </w:rPr>
              <w:t xml:space="preserve"> = 2)</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Planets (</w:t>
            </w:r>
            <w:r>
              <w:rPr>
                <w:i/>
                <w:sz w:val="18"/>
                <w:szCs w:val="18"/>
              </w:rPr>
              <w:t xml:space="preserve">m</w:t>
            </w:r>
            <w:r>
              <w:rPr>
                <w:sz w:val="18"/>
                <w:szCs w:val="18"/>
              </w:rPr>
              <w:t xml:space="preserve"> = 3)</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Number words (</w:t>
            </w:r>
            <w:r>
              <w:rPr>
                <w:i/>
                <w:sz w:val="18"/>
                <w:szCs w:val="18"/>
              </w:rPr>
              <w:t xml:space="preserve">m</w:t>
            </w:r>
            <w:r>
              <w:rPr>
                <w:sz w:val="18"/>
                <w:szCs w:val="18"/>
              </w:rPr>
              <w:t xml:space="preserve"> = 2)</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Llama-3.2-3B, Alphabet (</w:t>
            </w:r>
            <w:r>
              <w:rPr>
                <w:i/>
                <w:sz w:val="18"/>
                <w:szCs w:val="18"/>
              </w:rPr>
              <w:t xml:space="preserve">m</w:t>
            </w:r>
            <w:r>
              <w:rPr>
                <w:sz w:val="18"/>
                <w:szCs w:val="18"/>
              </w:rPr>
              <w:t xml:space="preserve"> = 48)</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bottom w:val="single" w:sz="8" w:space="0" w:color="000000"/>
            </w:tcBorders>
            <w:vAlign w:val="center"/>
          </w:tcPr>
          <w:p>
            <w:pPr>
              <w:pStyle w:val="MDPI42tablebody"/>
              <w:jc w:val="left"/>
            </w:pPr>
            <w:r>
              <w:rPr>
                <w:sz w:val="18"/>
                <w:szCs w:val="18"/>
              </w:rPr>
              <w:t xml:space="preserve">Llama-3.2-3B, Months (</w:t>
            </w:r>
            <w:r>
              <w:rPr>
                <w:i/>
                <w:sz w:val="18"/>
                <w:szCs w:val="18"/>
              </w:rPr>
              <w:t xml:space="preserve">m</w:t>
            </w:r>
            <w:r>
              <w:rPr>
                <w:sz w:val="18"/>
                <w:szCs w:val="18"/>
              </w:rPr>
              <w:t xml:space="preserve"> = 6)</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3" w:type="dxa"/>
            <w:tcBorders>
              <w:bottom w:val="single" w:sz="8" w:space="0" w:color="000000"/>
            </w:tcBorders>
            <w:vAlign w:val="center"/>
          </w:tcPr>
          <w:p>
            <w:pPr>
              <w:pStyle w:val="MDPI42tablebody"/>
              <w:jc w:val="center"/>
            </w:pPr>
            <w:r>
              <w:rPr>
                <w:sz w:val="18"/>
                <w:szCs w:val="18"/>
              </w:rPr>
              <w:t xml:space="preserve">n.i.</w:t>
            </w:r>
          </w:p>
        </w:tc>
      </w:tr>
    </w:tbl>
    <w:p>
      <w:pPr>
        <w:pStyle w:val="MDPI31text"/>
        <w:spacing w:before="0" w:after="0" w:line="120" w:lineRule="exact"/>
      </w:pPr>
    </w:p>
    <w:p>
      <w:pPr>
        <w:pStyle w:val="MDPI31text"/>
      </w:pPr>
      <w:r>
        <w:rPr/>
        <w:t xml:space="preserve">The most important blind spot is the fully locked agent. In the 6 cells of Table 9 in which the planted letter was repeated at every step, the accuracy is zero while entropy is zero, confidence is one and semantic entropy is zero. T</w:t>
      </w:r>
      <w:r>
        <w:rPr>
          <w:vertAlign w:val="subscript"/>
        </w:rPr>
        <w:t xml:space="preserve">eff</w:t>
      </w:r>
      <w:r>
        <w:rPr/>
        <w:t xml:space="preserve"> is not identified, because the reference puts all its mass on the chosen item. Only ECE, which uses labels, reports a problem. This is the situation that motivated the study. It also shows that T</w:t>
      </w:r>
      <w:r>
        <w:rPr>
          <w:vertAlign w:val="subscript"/>
        </w:rPr>
        <w:t xml:space="preserve">eff</w:t>
      </w:r>
      <w:r>
        <w:rPr/>
        <w:t xml:space="preserve"> by itself cannot repair the gap. A reference-based indicator is blind to a failure that the reference shares, and in a locked trajectory the clean-context reference is itself captured by the repeated history.</w:t>
      </w:r>
    </w:p>
    <w:p>
      <w:pPr>
        <w:pStyle w:val="MDPI22heading2"/>
        <w:keepNext/>
      </w:pPr>
      <w:r>
        <w:rPr/>
        <w:t xml:space="preserve">5.7. Summary of the Hypotheses</w:t>
      </w:r>
    </w:p>
    <w:p>
      <w:pPr>
        <w:pStyle w:val="MDPI41tablecaption"/>
        <w:keepNext/>
      </w:pPr>
      <w:r>
        <w:rPr>
          <w:b/>
        </w:rPr>
        <w:t xml:space="preserve">Table 10.</w:t>
      </w:r>
      <w:r>
        <w:rPr/>
        <w:t xml:space="preserve"> Support for the hypotheses.</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153"/>
        <w:gridCol w:w="3286"/>
        <w:gridCol w:w="3589"/>
        <w:gridCol w:w="1438"/>
      </w:tblGrid>
      <w:tr>
        <w:trPr>
          <w:cantSplit/>
          <w:tblHeader/>
        </w:trPr>
        <w:tc>
          <w:tcPr>
            <w:tcW w:w="2153" w:type="dxa"/>
            <w:tcBorders>
              <w:top w:val="single" w:sz="8" w:space="0" w:color="000000"/>
              <w:bottom w:val="single" w:sz="4" w:space="0" w:color="000000"/>
            </w:tcBorders>
            <w:vAlign w:val="center"/>
          </w:tcPr>
          <w:p>
            <w:pPr>
              <w:pStyle w:val="MDPI42tablebody"/>
              <w:jc w:val="left"/>
            </w:pPr>
            <w:r>
              <w:rPr>
                <w:b/>
                <w:sz w:val="18"/>
                <w:szCs w:val="18"/>
              </w:rPr>
              <w:t xml:space="preserve">Hypothesis</w:t>
            </w:r>
          </w:p>
        </w:tc>
        <w:tc>
          <w:tcPr>
            <w:tcW w:w="3286" w:type="dxa"/>
            <w:tcBorders>
              <w:top w:val="single" w:sz="8" w:space="0" w:color="000000"/>
              <w:bottom w:val="single" w:sz="4" w:space="0" w:color="000000"/>
            </w:tcBorders>
            <w:vAlign w:val="center"/>
          </w:tcPr>
          <w:p>
            <w:pPr>
              <w:pStyle w:val="MDPI42tablebody"/>
              <w:jc w:val="left"/>
            </w:pPr>
            <w:r>
              <w:rPr>
                <w:b/>
                <w:sz w:val="18"/>
                <w:szCs w:val="18"/>
              </w:rPr>
              <w:t xml:space="preserve">Evidence in Favour</w:t>
            </w:r>
          </w:p>
        </w:tc>
        <w:tc>
          <w:tcPr>
            <w:tcW w:w="3589" w:type="dxa"/>
            <w:tcBorders>
              <w:top w:val="single" w:sz="8" w:space="0" w:color="000000"/>
              <w:bottom w:val="single" w:sz="4" w:space="0" w:color="000000"/>
            </w:tcBorders>
            <w:vAlign w:val="center"/>
          </w:tcPr>
          <w:p>
            <w:pPr>
              <w:pStyle w:val="MDPI42tablebody"/>
              <w:jc w:val="left"/>
            </w:pPr>
            <w:r>
              <w:rPr>
                <w:b/>
                <w:sz w:val="18"/>
                <w:szCs w:val="18"/>
              </w:rPr>
              <w:t xml:space="preserve">Evidence Against or Limits</w:t>
            </w:r>
          </w:p>
        </w:tc>
        <w:tc>
          <w:tcPr>
            <w:tcW w:w="1438" w:type="dxa"/>
            <w:tcBorders>
              <w:top w:val="single" w:sz="8" w:space="0" w:color="000000"/>
              <w:bottom w:val="single" w:sz="4" w:space="0" w:color="000000"/>
            </w:tcBorders>
            <w:vAlign w:val="center"/>
          </w:tcPr>
          <w:p>
            <w:pPr>
              <w:pStyle w:val="MDPI42tablebody"/>
              <w:jc w:val="left"/>
            </w:pPr>
            <w:r>
              <w:rPr>
                <w:b/>
                <w:sz w:val="18"/>
                <w:szCs w:val="18"/>
              </w:rPr>
              <w:t xml:space="preserve">Verdict</w:t>
            </w:r>
          </w:p>
        </w:tc>
      </w:tr>
      <w:tr>
        <w:trPr>
          <w:cantSplit/>
        </w:trPr>
        <w:tc>
          <w:tcPr>
            <w:tcW w:w="2153" w:type="dxa"/>
            <w:tcBorders/>
            <w:vAlign w:val="center"/>
          </w:tcPr>
          <w:p>
            <w:pPr>
              <w:pStyle w:val="MDPI42tablebody"/>
              <w:jc w:val="left"/>
            </w:pPr>
            <w:r>
              <w:rPr>
                <w:sz w:val="18"/>
                <w:szCs w:val="18"/>
              </w:rPr>
              <w:t xml:space="preserve">H1: pressure raises T</w:t>
            </w:r>
            <w:r>
              <w:rPr>
                <w:sz w:val="18"/>
                <w:szCs w:val="18"/>
                <w:vertAlign w:val="subscript"/>
              </w:rPr>
              <w:t xml:space="preserve">eff</w:t>
            </w:r>
          </w:p>
        </w:tc>
        <w:tc>
          <w:tcPr>
            <w:tcW w:w="3286" w:type="dxa"/>
            <w:tcBorders/>
            <w:vAlign w:val="center"/>
          </w:tcPr>
          <w:p>
            <w:pPr>
              <w:pStyle w:val="MDPI42tablebody"/>
              <w:jc w:val="left"/>
            </w:pPr>
            <w:r>
              <w:rPr>
                <w:sz w:val="18"/>
                <w:szCs w:val="18"/>
              </w:rPr>
              <w:t xml:space="preserve">Qwen2.5-3B in Stage D (5 of 7 cells); Qwen2.5-3B and 7B in Stage C; SmolLM2; synthetic agent</w:t>
            </w:r>
          </w:p>
        </w:tc>
        <w:tc>
          <w:tcPr>
            <w:tcW w:w="3589" w:type="dxa"/>
            <w:tcBorders/>
            <w:vAlign w:val="center"/>
          </w:tcPr>
          <w:p>
            <w:pPr>
              <w:pStyle w:val="MDPI42tablebody"/>
              <w:jc w:val="left"/>
            </w:pPr>
            <w:r>
              <w:rPr>
                <w:sz w:val="18"/>
                <w:szCs w:val="18"/>
              </w:rPr>
              <w:t xml:space="preserve">Llama-3.2-3B (1 of 8); planets task not identified; sign reversed for Llama at </w:t>
            </w:r>
            <w:r>
              <w:rPr>
                <w:i/>
                <w:sz w:val="18"/>
                <w:szCs w:val="18"/>
              </w:rPr>
              <w:t xml:space="preserve">T</w:t>
            </w:r>
            <w:r>
              <w:rPr>
                <w:sz w:val="18"/>
                <w:szCs w:val="18"/>
              </w:rPr>
              <w:t xml:space="preserve"> = 0.8</w:t>
            </w:r>
          </w:p>
        </w:tc>
        <w:tc>
          <w:tcPr>
            <w:tcW w:w="1438" w:type="dxa"/>
            <w:tcBorders/>
            <w:vAlign w:val="center"/>
          </w:tcPr>
          <w:p>
            <w:pPr>
              <w:pStyle w:val="MDPI42tablebody"/>
              <w:jc w:val="left"/>
            </w:pPr>
            <w:r>
              <w:rPr>
                <w:sz w:val="18"/>
                <w:szCs w:val="18"/>
              </w:rPr>
              <w:t xml:space="preserve">Model-dependent</w:t>
            </w:r>
          </w:p>
        </w:tc>
      </w:tr>
      <w:tr>
        <w:trPr>
          <w:cantSplit/>
        </w:trPr>
        <w:tc>
          <w:tcPr>
            <w:tcW w:w="2153" w:type="dxa"/>
            <w:tcBorders/>
            <w:vAlign w:val="center"/>
          </w:tcPr>
          <w:p>
            <w:pPr>
              <w:pStyle w:val="MDPI42tablebody"/>
              <w:jc w:val="left"/>
            </w:pPr>
            <w:r>
              <w:rPr>
                <w:sz w:val="18"/>
                <w:szCs w:val="18"/>
              </w:rPr>
              <w:t xml:space="preserve">H2: interior peak only for intermediate attractors</w:t>
            </w:r>
          </w:p>
        </w:tc>
        <w:tc>
          <w:tcPr>
            <w:tcW w:w="3286" w:type="dxa"/>
            <w:tcBorders/>
            <w:vAlign w:val="center"/>
          </w:tcPr>
          <w:p>
            <w:pPr>
              <w:pStyle w:val="MDPI42tablebody"/>
              <w:jc w:val="left"/>
            </w:pPr>
            <w:r>
              <w:rPr>
                <w:sz w:val="18"/>
                <w:szCs w:val="18"/>
              </w:rPr>
              <w:t xml:space="preserve">Weak attractors decline in 7 of 8 curves; alphabet peaks at </w:t>
            </w:r>
            <w:r>
              <w:rPr>
                <w:i/>
                <w:sz w:val="18"/>
                <w:szCs w:val="18"/>
              </w:rPr>
              <w:t xml:space="preserve">T</w:t>
            </w:r>
            <w:r>
              <w:rPr>
                <w:sz w:val="18"/>
                <w:szCs w:val="18"/>
              </w:rPr>
              <w:t xml:space="preserve"> = 2 to 2.5 in all three larger models</w:t>
            </w:r>
          </w:p>
        </w:tc>
        <w:tc>
          <w:tcPr>
            <w:tcW w:w="3589" w:type="dxa"/>
            <w:tcBorders/>
            <w:vAlign w:val="center"/>
          </w:tcPr>
          <w:p>
            <w:pPr>
              <w:pStyle w:val="MDPI42tablebody"/>
              <w:jc w:val="left"/>
            </w:pPr>
            <w:r>
              <w:rPr>
                <w:sz w:val="18"/>
                <w:szCs w:val="18"/>
              </w:rPr>
              <w:t xml:space="preserve">Strong attractors also peak in 2 of 7 curves; peaks may lie beyond </w:t>
            </w:r>
            <w:r>
              <w:rPr>
                <w:i/>
                <w:sz w:val="18"/>
                <w:szCs w:val="18"/>
              </w:rPr>
              <w:t xml:space="preserve">T</w:t>
            </w:r>
            <w:r>
              <w:rPr>
                <w:sz w:val="18"/>
                <w:szCs w:val="18"/>
              </w:rPr>
              <w:t xml:space="preserve"> = 3; strict recovery low</w:t>
            </w:r>
          </w:p>
        </w:tc>
        <w:tc>
          <w:tcPr>
            <w:tcW w:w="1438" w:type="dxa"/>
            <w:tcBorders/>
            <w:vAlign w:val="center"/>
          </w:tcPr>
          <w:p>
            <w:pPr>
              <w:pStyle w:val="MDPI42tablebody"/>
              <w:jc w:val="left"/>
            </w:pPr>
            <w:r>
              <w:rPr>
                <w:sz w:val="18"/>
                <w:szCs w:val="18"/>
              </w:rPr>
              <w:t xml:space="preserve">Partly supported</w:t>
            </w:r>
          </w:p>
        </w:tc>
      </w:tr>
      <w:tr>
        <w:trPr>
          <w:cantSplit/>
        </w:trPr>
        <w:tc>
          <w:tcPr>
            <w:tcW w:w="2153" w:type="dxa"/>
            <w:tcBorders>
              <w:bottom w:val="single" w:sz="8" w:space="0" w:color="000000"/>
            </w:tcBorders>
            <w:vAlign w:val="center"/>
          </w:tcPr>
          <w:p>
            <w:pPr>
              <w:pStyle w:val="MDPI42tablebody"/>
              <w:jc w:val="left"/>
            </w:pPr>
            <w:r>
              <w:rPr>
                <w:sz w:val="18"/>
                <w:szCs w:val="18"/>
              </w:rPr>
              <w:t xml:space="preserve">H3: contamination strengthens pressure</w:t>
            </w:r>
          </w:p>
        </w:tc>
        <w:tc>
          <w:tcPr>
            <w:tcW w:w="3286" w:type="dxa"/>
            <w:tcBorders>
              <w:bottom w:val="single" w:sz="8" w:space="0" w:color="000000"/>
            </w:tcBorders>
            <w:vAlign w:val="center"/>
          </w:tcPr>
          <w:p>
            <w:pPr>
              <w:pStyle w:val="MDPI42tablebody"/>
              <w:jc w:val="left"/>
            </w:pPr>
            <w:r>
              <w:rPr>
                <w:sz w:val="18"/>
                <w:szCs w:val="18"/>
              </w:rPr>
              <w:t xml:space="preserve">Contamination alone raised T</w:t>
            </w:r>
            <w:r>
              <w:rPr>
                <w:sz w:val="18"/>
                <w:szCs w:val="18"/>
                <w:vertAlign w:val="subscript"/>
              </w:rPr>
              <w:t xml:space="preserve">eff</w:t>
            </w:r>
            <w:r>
              <w:rPr>
                <w:sz w:val="18"/>
                <w:szCs w:val="18"/>
              </w:rPr>
              <w:t xml:space="preserve"> on the number task for Qwen</w:t>
            </w:r>
          </w:p>
        </w:tc>
        <w:tc>
          <w:tcPr>
            <w:tcW w:w="3589" w:type="dxa"/>
            <w:tcBorders>
              <w:bottom w:val="single" w:sz="8" w:space="0" w:color="000000"/>
            </w:tcBorders>
            <w:vAlign w:val="center"/>
          </w:tcPr>
          <w:p>
            <w:pPr>
              <w:pStyle w:val="MDPI42tablebody"/>
              <w:jc w:val="left"/>
            </w:pPr>
            <w:r>
              <w:rPr>
                <w:sz w:val="18"/>
                <w:szCs w:val="18"/>
              </w:rPr>
              <w:t xml:space="preserve">Mean added effect +0.01; none of 15 comparisons reached 0.5</w:t>
            </w:r>
          </w:p>
        </w:tc>
        <w:tc>
          <w:tcPr>
            <w:tcW w:w="1438" w:type="dxa"/>
            <w:tcBorders>
              <w:bottom w:val="single" w:sz="8" w:space="0" w:color="000000"/>
            </w:tcBorders>
            <w:vAlign w:val="center"/>
          </w:tcPr>
          <w:p>
            <w:pPr>
              <w:pStyle w:val="MDPI42tablebody"/>
              <w:jc w:val="left"/>
            </w:pPr>
            <w:r>
              <w:rPr>
                <w:sz w:val="18"/>
                <w:szCs w:val="18"/>
              </w:rPr>
              <w:t xml:space="preserve">Not supported</w:t>
            </w:r>
          </w:p>
        </w:tc>
      </w:tr>
    </w:tbl>
    <w:p>
      <w:pPr>
        <w:pStyle w:val="MDPI31text"/>
        <w:spacing w:before="0" w:after="0" w:line="120" w:lineRule="exact"/>
      </w:pPr>
    </w:p>
    <w:p>
      <w:pPr>
        <w:pStyle w:val="MDPI22heading2"/>
      </w:pPr>
      <w:r>
        <w:rPr>
          <w:color w:val="0000FF"/>
        </w:rPr>
        <w:t>5.8. Revision Study: Further Models, Three Wordings and Dominant-Response Contamination</w:t>
      </w:r>
    </w:p>
    <w:p>
      <w:pPr>
        <w:pStyle w:val="MDPI31text"/>
      </w:pPr>
      <w:r>
        <w:rPr>
          <w:color w:val="0000FF"/>
        </w:rPr>
        <w:t xml:space="preserve">Table 11 reports, for each additional model, how often a distortion raised </w:t>
      </w:r>
      <w:r>
        <w:rPr>
          <w:i/>
          <w:color w:val="0000FF"/>
        </w:rPr>
        <w:t>T</w:t>
      </w:r>
      <w:r>
        <w:rPr>
          <w:color w:val="0000FF"/>
        </w:rPr>
        <w:t>eff</w:t>
      </w:r>
      <w:r>
        <w:rPr>
          <w:color w:val="0000FF"/>
        </w:rPr>
        <w:t xml:space="preserve"> above its clean value (by at least 0.5 and outside the clean-cell bootstrap interval) among the identified matched cells, and the mean shift of </w:t>
      </w:r>
      <w:r>
        <w:rPr>
          <w:i/>
          <w:color w:val="0000FF"/>
        </w:rPr>
        <w:t>T</w:t>
      </w:r>
      <w:r>
        <w:rPr>
          <w:color w:val="0000FF"/>
        </w:rPr>
        <w:t>eff</w:t>
      </w:r>
      <w:r>
        <w:rPr>
          <w:color w:val="0000FF"/>
        </w:rPr>
        <w:t xml:space="preserve"> - </w:t>
      </w:r>
      <w:r>
        <w:rPr>
          <w:i/>
          <w:color w:val="0000FF"/>
        </w:rPr>
        <w:t>T</w:t>
      </w:r>
      <w:r>
        <w:rPr>
          <w:color w:val="0000FF"/>
        </w:rPr>
        <w:t xml:space="preserve">. The model dependence of Section 5.5 is reproduced, and the effect is weak. Pooled over the three pressure wordings, pressure raised </w:t>
      </w:r>
      <w:r>
        <w:rPr>
          <w:i/>
          <w:color w:val="0000FF"/>
        </w:rPr>
        <w:t>T</w:t>
      </w:r>
      <w:r>
        <w:rPr>
          <w:color w:val="0000FF"/>
        </w:rPr>
        <w:t>eff</w:t>
      </w:r>
      <w:r>
        <w:rPr>
          <w:color w:val="0000FF"/>
        </w:rPr>
        <w:t xml:space="preserve"> in 14 of 74 identified cells, and contamination alone (C0 and C1) in 2 of 52. Qwen2.5-0.5B showed no increase with any wording, Qwen2.5-1.5B showed the largest (3 of 6 cells for P0 but 1 of 6 for P1), and the sign of the mean shift changed with the wording in Qwen2.5-0.5B. The single-wording result of Section 5.5 should therefore be read as a result for that wording. No cell of the revision study was lost to saturation at the 0.999 rule, and 290 of 296 cells passed the interval rule.</w:t>
      </w:r>
    </w:p>
    <w:p>
      <w:pPr>
        <w:pStyle w:val="MDPI41tablecaption"/>
      </w:pPr>
      <w:r>
        <w:rPr>
          <w:b/>
          <w:color w:val="0000FF"/>
        </w:rPr>
        <w:t xml:space="preserve">Table 11. </w:t>
      </w:r>
      <w:r>
        <w:rPr>
          <w:color w:val="0000FF"/>
        </w:rPr>
        <w:t xml:space="preserve"> Pressure (P0, P1, P2) and contamination (C0, C1, C2) wordings: identified matched cells in which </w:t>
      </w:r>
      <w:r>
        <w:rPr>
          <w:i/>
          <w:color w:val="0000FF"/>
        </w:rPr>
        <w:t>T</w:t>
      </w:r>
      <w:r>
        <w:rPr>
          <w:color w:val="0000FF"/>
        </w:rPr>
        <w:t>eff</w:t>
      </w:r>
      <w:r>
        <w:rPr>
          <w:color w:val="0000FF"/>
        </w:rPr>
        <w:t xml:space="preserve"> was raised, out of identified cells (mean shift of </w:t>
      </w:r>
      <w:r>
        <w:rPr>
          <w:i/>
          <w:color w:val="0000FF"/>
        </w:rPr>
        <w:t>T</w:t>
      </w:r>
      <w:r>
        <w:rPr>
          <w:color w:val="0000FF"/>
        </w:rPr>
        <w:t>eff</w:t>
      </w:r>
      <w:r>
        <w:rPr>
          <w:color w:val="0000FF"/>
        </w:rPr>
        <w:t xml:space="preserve"> - </w:t>
      </w:r>
      <w:r>
        <w:rPr>
          <w:i/>
          <w:color w:val="0000FF"/>
        </w:rPr>
        <w:t>T</w:t>
      </w:r>
      <w:r>
        <w:rPr>
          <w:color w:val="0000FF"/>
        </w:rPr>
        <w:t xml:space="preserve"> relative to the clean cell).</w:t>
      </w:r>
    </w:p>
    <w:tbl>
      <w:tblPr>
        <w:tblW w:w="10466" w:type="dxa"/>
        <w:tblInd w:w="0" w:type="dxa"/>
        <w:tblLayout w:type="fixed"/>
      </w:tblPr>
      <w:tblGrid>
        <w:gridCol w:w="2000"/>
        <w:gridCol w:w="1400"/>
        <w:gridCol w:w="1400"/>
        <w:gridCol w:w="1400"/>
        <w:gridCol w:w="1400"/>
        <w:gridCol w:w="1400"/>
        <w:gridCol w:w="14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1400" w:type="dxa"/>
            <w:tcBorders>
              <w:top w:val="single" w:sz="8" w:space="0" w:color="000000"/>
              <w:bottom w:val="single" w:sz="4" w:space="0" w:color="000000"/>
            </w:tcBorders>
            <w:vAlign w:val="center"/>
          </w:tcPr>
          <w:p>
            <w:pPr>
              <w:pStyle w:val="MDPI42tablebody"/>
              <w:jc w:val="center"/>
            </w:pPr>
            <w:r>
              <w:rPr>
                <w:b/>
                <w:color w:val="0000FF"/>
                <w:sz w:val="16"/>
              </w:rPr>
              <w:t>P0</w:t>
            </w:r>
          </w:p>
        </w:tc>
        <w:tc>
          <w:tcPr>
            <w:tcW w:w="1400" w:type="dxa"/>
            <w:tcBorders>
              <w:top w:val="single" w:sz="8" w:space="0" w:color="000000"/>
              <w:bottom w:val="single" w:sz="4" w:space="0" w:color="000000"/>
            </w:tcBorders>
            <w:vAlign w:val="center"/>
          </w:tcPr>
          <w:p>
            <w:pPr>
              <w:pStyle w:val="MDPI42tablebody"/>
              <w:jc w:val="center"/>
            </w:pPr>
            <w:r>
              <w:rPr>
                <w:b/>
                <w:color w:val="0000FF"/>
                <w:sz w:val="16"/>
              </w:rPr>
              <w:t>P1</w:t>
            </w:r>
          </w:p>
        </w:tc>
        <w:tc>
          <w:tcPr>
            <w:tcW w:w="1400" w:type="dxa"/>
            <w:tcBorders>
              <w:top w:val="single" w:sz="8" w:space="0" w:color="000000"/>
              <w:bottom w:val="single" w:sz="4" w:space="0" w:color="000000"/>
            </w:tcBorders>
            <w:vAlign w:val="center"/>
          </w:tcPr>
          <w:p>
            <w:pPr>
              <w:pStyle w:val="MDPI42tablebody"/>
              <w:jc w:val="center"/>
            </w:pPr>
            <w:r>
              <w:rPr>
                <w:b/>
                <w:color w:val="0000FF"/>
                <w:sz w:val="16"/>
              </w:rPr>
              <w:t>P2</w:t>
            </w:r>
          </w:p>
        </w:tc>
        <w:tc>
          <w:tcPr>
            <w:tcW w:w="1400" w:type="dxa"/>
            <w:tcBorders>
              <w:top w:val="single" w:sz="8" w:space="0" w:color="000000"/>
              <w:bottom w:val="single" w:sz="4" w:space="0" w:color="000000"/>
            </w:tcBorders>
            <w:vAlign w:val="center"/>
          </w:tcPr>
          <w:p>
            <w:pPr>
              <w:pStyle w:val="MDPI42tablebody"/>
              <w:jc w:val="center"/>
            </w:pPr>
            <w:r>
              <w:rPr>
                <w:b/>
                <w:color w:val="0000FF"/>
                <w:sz w:val="16"/>
              </w:rPr>
              <w:t>C0</w:t>
            </w:r>
          </w:p>
        </w:tc>
        <w:tc>
          <w:tcPr>
            <w:tcW w:w="1400" w:type="dxa"/>
            <w:tcBorders>
              <w:top w:val="single" w:sz="8" w:space="0" w:color="000000"/>
              <w:bottom w:val="single" w:sz="4" w:space="0" w:color="000000"/>
            </w:tcBorders>
            <w:vAlign w:val="center"/>
          </w:tcPr>
          <w:p>
            <w:pPr>
              <w:pStyle w:val="MDPI42tablebody"/>
              <w:jc w:val="center"/>
            </w:pPr>
            <w:r>
              <w:rPr>
                <w:b/>
                <w:color w:val="0000FF"/>
                <w:sz w:val="16"/>
              </w:rPr>
              <w:t>C1</w:t>
            </w:r>
          </w:p>
        </w:tc>
        <w:tc>
          <w:tcPr>
            <w:tcW w:w="1466" w:type="dxa"/>
            <w:tcBorders>
              <w:top w:val="single" w:sz="8" w:space="0" w:color="000000"/>
              <w:bottom w:val="single" w:sz="4" w:space="0" w:color="000000"/>
            </w:tcBorders>
            <w:vAlign w:val="center"/>
          </w:tcPr>
          <w:p>
            <w:pPr>
              <w:pStyle w:val="MDPI42tablebody"/>
              <w:jc w:val="center"/>
            </w:pPr>
            <w:r>
              <w:rPr>
                <w:b/>
                <w:color w:val="0000FF"/>
                <w:sz w:val="16"/>
              </w:rPr>
              <w:t>C2 (dominant)</w:t>
            </w:r>
          </w:p>
        </w:tc>
      </w:tr>
      <w:tr>
        <w:trPr>
          <w:cantSplit/>
        </w:trPr>
        <w:tc>
          <w:tcPr>
            <w:tcW w:w="2000" w:type="dxa"/>
            <w:tcBorders/>
            <w:vAlign w:val="center"/>
          </w:tcPr>
          <w:p>
            <w:pPr>
              <w:pStyle w:val="MDPI42tablebody"/>
              <w:jc w:val="left"/>
            </w:pPr>
            <w:r>
              <w:rPr>
                <w:color w:val="0000FF"/>
                <w:sz w:val="16"/>
              </w:rPr>
              <w:t>Qwen2.5-0.5B</w:t>
            </w:r>
          </w:p>
        </w:tc>
        <w:tc>
          <w:tcPr>
            <w:tcW w:w="1400" w:type="dxa"/>
            <w:tcBorders/>
            <w:vAlign w:val="center"/>
          </w:tcPr>
          <w:p>
            <w:pPr>
              <w:pStyle w:val="MDPI42tablebody"/>
              <w:jc w:val="center"/>
            </w:pPr>
            <w:r>
              <w:rPr>
                <w:color w:val="0000FF"/>
                <w:sz w:val="16"/>
              </w:rPr>
              <w:t>0/8 (+0.05)</w:t>
            </w:r>
          </w:p>
        </w:tc>
        <w:tc>
          <w:tcPr>
            <w:tcW w:w="1400" w:type="dxa"/>
            <w:tcBorders/>
            <w:vAlign w:val="center"/>
          </w:tcPr>
          <w:p>
            <w:pPr>
              <w:pStyle w:val="MDPI42tablebody"/>
              <w:jc w:val="center"/>
            </w:pPr>
            <w:r>
              <w:rPr>
                <w:color w:val="0000FF"/>
                <w:sz w:val="16"/>
              </w:rPr>
              <w:t>0/8 (-0.03)</w:t>
            </w:r>
          </w:p>
        </w:tc>
        <w:tc>
          <w:tcPr>
            <w:tcW w:w="1400" w:type="dxa"/>
            <w:tcBorders/>
            <w:vAlign w:val="center"/>
          </w:tcPr>
          <w:p>
            <w:pPr>
              <w:pStyle w:val="MDPI42tablebody"/>
              <w:jc w:val="center"/>
            </w:pPr>
            <w:r>
              <w:rPr>
                <w:color w:val="0000FF"/>
                <w:sz w:val="16"/>
              </w:rPr>
              <w:t>0/8 (-0.08)</w:t>
            </w:r>
          </w:p>
        </w:tc>
        <w:tc>
          <w:tcPr>
            <w:tcW w:w="1400" w:type="dxa"/>
            <w:tcBorders/>
            <w:vAlign w:val="center"/>
          </w:tcPr>
          <w:p>
            <w:pPr>
              <w:pStyle w:val="MDPI42tablebody"/>
              <w:jc w:val="center"/>
            </w:pPr>
            <w:r>
              <w:rPr>
                <w:color w:val="0000FF"/>
                <w:sz w:val="16"/>
              </w:rPr>
              <w:t>0/8 (-0.04)</w:t>
            </w:r>
          </w:p>
        </w:tc>
        <w:tc>
          <w:tcPr>
            <w:tcW w:w="1400" w:type="dxa"/>
            <w:tcBorders/>
            <w:vAlign w:val="center"/>
          </w:tcPr>
          <w:p>
            <w:pPr>
              <w:pStyle w:val="MDPI42tablebody"/>
              <w:jc w:val="center"/>
            </w:pPr>
            <w:r>
              <w:rPr>
                <w:color w:val="0000FF"/>
                <w:sz w:val="16"/>
              </w:rPr>
              <w:t>0/8 (-0.07)</w:t>
            </w:r>
          </w:p>
        </w:tc>
        <w:tc>
          <w:tcPr>
            <w:tcW w:w="1466" w:type="dxa"/>
            <w:tcBorders/>
            <w:vAlign w:val="center"/>
          </w:tcPr>
          <w:p>
            <w:pPr>
              <w:pStyle w:val="MDPI42tablebody"/>
              <w:jc w:val="center"/>
            </w:pPr>
            <w:r>
              <w:rPr>
                <w:color w:val="0000FF"/>
                <w:sz w:val="16"/>
              </w:rPr>
              <w:t>0/8 (-0.23)</w:t>
            </w:r>
          </w:p>
        </w:tc>
      </w:tr>
      <w:tr>
        <w:trPr>
          <w:cantSplit/>
        </w:trPr>
        <w:tc>
          <w:tcPr>
            <w:tcW w:w="2000" w:type="dxa"/>
            <w:tcBorders/>
            <w:vAlign w:val="center"/>
          </w:tcPr>
          <w:p>
            <w:pPr>
              <w:pStyle w:val="MDPI42tablebody"/>
              <w:jc w:val="left"/>
            </w:pPr>
            <w:r>
              <w:rPr>
                <w:color w:val="0000FF"/>
                <w:sz w:val="16"/>
              </w:rPr>
              <w:t>Qwen2.5-1.5B</w:t>
            </w:r>
          </w:p>
        </w:tc>
        <w:tc>
          <w:tcPr>
            <w:tcW w:w="1400" w:type="dxa"/>
            <w:tcBorders/>
            <w:vAlign w:val="center"/>
          </w:tcPr>
          <w:p>
            <w:pPr>
              <w:pStyle w:val="MDPI42tablebody"/>
              <w:jc w:val="center"/>
            </w:pPr>
            <w:r>
              <w:rPr>
                <w:color w:val="0000FF"/>
                <w:sz w:val="16"/>
              </w:rPr>
              <w:t>3/6 (+0.30)</w:t>
            </w:r>
          </w:p>
        </w:tc>
        <w:tc>
          <w:tcPr>
            <w:tcW w:w="1400" w:type="dxa"/>
            <w:tcBorders/>
            <w:vAlign w:val="center"/>
          </w:tcPr>
          <w:p>
            <w:pPr>
              <w:pStyle w:val="MDPI42tablebody"/>
              <w:jc w:val="center"/>
            </w:pPr>
            <w:r>
              <w:rPr>
                <w:color w:val="0000FF"/>
                <w:sz w:val="16"/>
              </w:rPr>
              <w:t>1/6 (+0.09)</w:t>
            </w:r>
          </w:p>
        </w:tc>
        <w:tc>
          <w:tcPr>
            <w:tcW w:w="1400" w:type="dxa"/>
            <w:tcBorders/>
            <w:vAlign w:val="center"/>
          </w:tcPr>
          <w:p>
            <w:pPr>
              <w:pStyle w:val="MDPI42tablebody"/>
              <w:jc w:val="center"/>
            </w:pPr>
            <w:r>
              <w:rPr>
                <w:color w:val="0000FF"/>
                <w:sz w:val="16"/>
              </w:rPr>
              <w:t>2/6 (+0.05)</w:t>
            </w:r>
          </w:p>
        </w:tc>
        <w:tc>
          <w:tcPr>
            <w:tcW w:w="1400" w:type="dxa"/>
            <w:tcBorders/>
            <w:vAlign w:val="center"/>
          </w:tcPr>
          <w:p>
            <w:pPr>
              <w:pStyle w:val="MDPI42tablebody"/>
              <w:jc w:val="center"/>
            </w:pPr>
            <w:r>
              <w:rPr>
                <w:color w:val="0000FF"/>
                <w:sz w:val="16"/>
              </w:rPr>
              <w:t>0/6 (-0.11)</w:t>
            </w:r>
          </w:p>
        </w:tc>
        <w:tc>
          <w:tcPr>
            <w:tcW w:w="1400" w:type="dxa"/>
            <w:tcBorders/>
            <w:vAlign w:val="center"/>
          </w:tcPr>
          <w:p>
            <w:pPr>
              <w:pStyle w:val="MDPI42tablebody"/>
              <w:jc w:val="center"/>
            </w:pPr>
            <w:r>
              <w:rPr>
                <w:color w:val="0000FF"/>
                <w:sz w:val="16"/>
              </w:rPr>
              <w:t>0/6 (-0.10)</w:t>
            </w:r>
          </w:p>
        </w:tc>
        <w:tc>
          <w:tcPr>
            <w:tcW w:w="1466" w:type="dxa"/>
            <w:tcBorders/>
            <w:vAlign w:val="center"/>
          </w:tcPr>
          <w:p>
            <w:pPr>
              <w:pStyle w:val="MDPI42tablebody"/>
              <w:jc w:val="center"/>
            </w:pPr>
            <w:r>
              <w:rPr>
                <w:color w:val="0000FF"/>
                <w:sz w:val="16"/>
              </w:rPr>
              <w:t>0/6 (-0.21)</w:t>
            </w:r>
          </w:p>
        </w:tc>
      </w:tr>
      <w:tr>
        <w:trPr>
          <w:cantSplit/>
        </w:trPr>
        <w:tc>
          <w:tcPr>
            <w:tcW w:w="2000" w:type="dxa"/>
            <w:tcBorders/>
            <w:vAlign w:val="center"/>
          </w:tcPr>
          <w:p>
            <w:pPr>
              <w:pStyle w:val="MDPI42tablebody"/>
              <w:jc w:val="left"/>
            </w:pPr>
            <w:r>
              <w:rPr>
                <w:color w:val="0000FF"/>
                <w:sz w:val="16"/>
              </w:rPr>
              <w:t>Llama-3.2-1B</w:t>
            </w:r>
          </w:p>
        </w:tc>
        <w:tc>
          <w:tcPr>
            <w:tcW w:w="1400" w:type="dxa"/>
            <w:tcBorders/>
            <w:vAlign w:val="center"/>
          </w:tcPr>
          <w:p>
            <w:pPr>
              <w:pStyle w:val="MDPI42tablebody"/>
              <w:jc w:val="center"/>
            </w:pPr>
            <w:r>
              <w:rPr>
                <w:color w:val="0000FF"/>
                <w:sz w:val="16"/>
              </w:rPr>
              <w:t>1/8 (+0.16)</w:t>
            </w:r>
          </w:p>
        </w:tc>
        <w:tc>
          <w:tcPr>
            <w:tcW w:w="1400" w:type="dxa"/>
            <w:tcBorders/>
            <w:vAlign w:val="center"/>
          </w:tcPr>
          <w:p>
            <w:pPr>
              <w:pStyle w:val="MDPI42tablebody"/>
              <w:jc w:val="center"/>
            </w:pPr>
            <w:r>
              <w:rPr>
                <w:color w:val="0000FF"/>
                <w:sz w:val="16"/>
              </w:rPr>
              <w:t>2/8 (+0.23)</w:t>
            </w:r>
          </w:p>
        </w:tc>
        <w:tc>
          <w:tcPr>
            <w:tcW w:w="1400" w:type="dxa"/>
            <w:tcBorders/>
            <w:vAlign w:val="center"/>
          </w:tcPr>
          <w:p>
            <w:pPr>
              <w:pStyle w:val="MDPI42tablebody"/>
              <w:jc w:val="center"/>
            </w:pPr>
            <w:r>
              <w:rPr>
                <w:color w:val="0000FF"/>
                <w:sz w:val="16"/>
              </w:rPr>
              <w:t>2/8 (+0.19)</w:t>
            </w:r>
          </w:p>
        </w:tc>
        <w:tc>
          <w:tcPr>
            <w:tcW w:w="1400" w:type="dxa"/>
            <w:tcBorders/>
            <w:vAlign w:val="center"/>
          </w:tcPr>
          <w:p>
            <w:pPr>
              <w:pStyle w:val="MDPI42tablebody"/>
              <w:jc w:val="center"/>
            </w:pPr>
            <w:r>
              <w:rPr>
                <w:color w:val="0000FF"/>
                <w:sz w:val="16"/>
              </w:rPr>
              <w:t>1/8 (+0.06)</w:t>
            </w:r>
          </w:p>
        </w:tc>
        <w:tc>
          <w:tcPr>
            <w:tcW w:w="1400" w:type="dxa"/>
            <w:tcBorders/>
            <w:vAlign w:val="center"/>
          </w:tcPr>
          <w:p>
            <w:pPr>
              <w:pStyle w:val="MDPI42tablebody"/>
              <w:jc w:val="center"/>
            </w:pPr>
            <w:r>
              <w:rPr>
                <w:color w:val="0000FF"/>
                <w:sz w:val="16"/>
              </w:rPr>
              <w:t>1/8 (+0.08)</w:t>
            </w:r>
          </w:p>
        </w:tc>
        <w:tc>
          <w:tcPr>
            <w:tcW w:w="1466" w:type="dxa"/>
            <w:tcBorders/>
            <w:vAlign w:val="center"/>
          </w:tcPr>
          <w:p>
            <w:pPr>
              <w:pStyle w:val="MDPI42tablebody"/>
              <w:jc w:val="center"/>
            </w:pPr>
            <w:r>
              <w:rPr>
                <w:color w:val="0000FF"/>
                <w:sz w:val="16"/>
              </w:rPr>
              <w:t>0/8 (-0.18)</w:t>
            </w:r>
          </w:p>
        </w:tc>
      </w:tr>
      <w:tr>
        <w:trPr>
          <w:cantSplit/>
        </w:trPr>
        <w:tc>
          <w:tcPr>
            <w:tcW w:w="2000" w:type="dxa"/>
            <w:tcBorders>
              <w:bottom w:val="single" w:sz="8" w:space="0" w:color="000000"/>
            </w:tcBorders>
            <w:vAlign w:val="center"/>
          </w:tcPr>
          <w:p>
            <w:pPr>
              <w:pStyle w:val="MDPI42tablebody"/>
              <w:jc w:val="left"/>
            </w:pPr>
            <w:r>
              <w:rPr>
                <w:color w:val="0000FF"/>
                <w:sz w:val="16"/>
              </w:rPr>
              <w:t>SmolLM2-1.7B</w:t>
            </w:r>
          </w:p>
        </w:tc>
        <w:tc>
          <w:tcPr>
            <w:tcW w:w="1400" w:type="dxa"/>
            <w:tcBorders>
              <w:bottom w:val="single" w:sz="8" w:space="0" w:color="000000"/>
            </w:tcBorders>
            <w:vAlign w:val="center"/>
          </w:tcPr>
          <w:p>
            <w:pPr>
              <w:pStyle w:val="MDPI42tablebody"/>
              <w:jc w:val="center"/>
            </w:pPr>
            <w:r>
              <w:rPr>
                <w:color w:val="0000FF"/>
                <w:sz w:val="16"/>
              </w:rPr>
              <w:t>3/8 (+0.11)</w:t>
            </w:r>
          </w:p>
        </w:tc>
        <w:tc>
          <w:tcPr>
            <w:tcW w:w="1400" w:type="dxa"/>
            <w:tcBorders>
              <w:bottom w:val="single" w:sz="8" w:space="0" w:color="000000"/>
            </w:tcBorders>
            <w:vAlign w:val="center"/>
          </w:tcPr>
          <w:p>
            <w:pPr>
              <w:pStyle w:val="MDPI42tablebody"/>
              <w:jc w:val="center"/>
            </w:pPr>
            <w:r>
              <w:rPr>
                <w:color w:val="0000FF"/>
                <w:sz w:val="16"/>
              </w:rPr>
              <w:t>–</w:t>
            </w:r>
          </w:p>
        </w:tc>
        <w:tc>
          <w:tcPr>
            <w:tcW w:w="1400" w:type="dxa"/>
            <w:tcBorders>
              <w:bottom w:val="single" w:sz="8" w:space="0" w:color="000000"/>
            </w:tcBorders>
            <w:vAlign w:val="center"/>
          </w:tcPr>
          <w:p>
            <w:pPr>
              <w:pStyle w:val="MDPI42tablebody"/>
              <w:jc w:val="center"/>
            </w:pPr>
            <w:r>
              <w:rPr>
                <w:color w:val="0000FF"/>
                <w:sz w:val="16"/>
              </w:rPr>
              <w:t>–</w:t>
            </w:r>
          </w:p>
        </w:tc>
        <w:tc>
          <w:tcPr>
            <w:tcW w:w="1400" w:type="dxa"/>
            <w:tcBorders>
              <w:bottom w:val="single" w:sz="8" w:space="0" w:color="000000"/>
            </w:tcBorders>
            <w:vAlign w:val="center"/>
          </w:tcPr>
          <w:p>
            <w:pPr>
              <w:pStyle w:val="MDPI42tablebody"/>
              <w:jc w:val="center"/>
            </w:pPr>
            <w:r>
              <w:rPr>
                <w:color w:val="0000FF"/>
                <w:sz w:val="16"/>
              </w:rPr>
              <w:t>0/8 (+0.06)</w:t>
            </w:r>
          </w:p>
        </w:tc>
        <w:tc>
          <w:tcPr>
            <w:tcW w:w="1400" w:type="dxa"/>
            <w:tcBorders>
              <w:bottom w:val="single" w:sz="8" w:space="0" w:color="000000"/>
            </w:tcBorders>
            <w:vAlign w:val="center"/>
          </w:tcPr>
          <w:p>
            <w:pPr>
              <w:pStyle w:val="MDPI42tablebody"/>
              <w:jc w:val="center"/>
            </w:pPr>
            <w:r>
              <w:rPr>
                <w:color w:val="0000FF"/>
                <w:sz w:val="16"/>
              </w:rPr>
              <w:t>–</w:t>
            </w:r>
          </w:p>
        </w:tc>
        <w:tc>
          <w:tcPr>
            <w:tcW w:w="1466" w:type="dxa"/>
            <w:tcBorders>
              <w:bottom w:val="single" w:sz="8" w:space="0" w:color="000000"/>
            </w:tcBorders>
            <w:vAlign w:val="center"/>
          </w:tcPr>
          <w:p>
            <w:pPr>
              <w:pStyle w:val="MDPI42tablebody"/>
              <w:jc w:val="center"/>
            </w:pPr>
            <w:r>
              <w:rPr>
                <w:color w:val="0000FF"/>
                <w:sz w:val="16"/>
              </w:rPr>
              <w:t>–</w:t>
            </w:r>
          </w:p>
        </w:tc>
      </w:tr>
    </w:tbl>
    <w:p>
      <w:pPr>
        <w:pStyle w:val="MDPI43tablefooter"/>
      </w:pPr>
      <w:r>
        <w:rPr>
          <w:color w:val="0000FF"/>
        </w:rPr>
        <w:t>A dash marks a wording that was not run for that model. Eight matched cells per model (six for Qwen2.5-1.5B, whose probe found no sticky attractor on one of the four tasks).</w:t>
      </w:r>
    </w:p>
    <w:p>
      <w:pPr>
        <w:pStyle w:val="MDPI31text"/>
      </w:pPr>
      <w:r>
        <w:rPr>
          <w:color w:val="0000FF"/>
        </w:rPr>
        <w:t xml:space="preserve">Table 12 gives the test of H3 that was missing from the main text, with contamination aimed at the dominant response (C2). Adding contamination to pressure shifted </w:t>
      </w:r>
      <w:r>
        <w:rPr>
          <w:i/>
          <w:color w:val="0000FF"/>
        </w:rPr>
        <w:t>T</w:t>
      </w:r>
      <w:r>
        <w:rPr>
          <w:color w:val="0000FF"/>
        </w:rPr>
        <w:t>eff</w:t>
      </w:r>
      <w:r>
        <w:rPr>
          <w:color w:val="0000FF"/>
        </w:rPr>
        <w:t xml:space="preserve"> - </w:t>
      </w:r>
      <w:r>
        <w:rPr>
          <w:i/>
          <w:color w:val="0000FF"/>
        </w:rPr>
        <w:t>T</w:t>
      </w:r>
      <w:r>
        <w:rPr>
          <w:color w:val="0000FF"/>
        </w:rPr>
        <w:t xml:space="preserve"> by -0.25 to +0.14 on average, and the shift reached 0.5 in either direction in 10 of 118 comparisons. The dominant-response text did not strengthen the pressure effect either: the mean shift was negative or close to zero in most models. It did change the choices strongly. Entropy and confidence flagged it in 16 and 16 of 22 cells, more often than they flagged diffuse negative text (C0 and C1: 24 and 20 of 52), and lock-in to the planted item rose from 0.37 in clean cells to 0.51 under C2 (C0: 0.41), but this extra concentration is largely a change of ordering rather than of scale and </w:t>
      </w:r>
      <w:r>
        <w:rPr>
          <w:i/>
          <w:color w:val="0000FF"/>
        </w:rPr>
        <w:t>T</w:t>
      </w:r>
      <w:r>
        <w:rPr>
          <w:color w:val="0000FF"/>
        </w:rPr>
        <w:t>eff</w:t>
      </w:r>
      <w:r>
        <w:rPr>
          <w:color w:val="0000FF"/>
        </w:rPr>
        <w:t xml:space="preserve"> follows it only weakly. H3 remains unsupported. The conclusion about contamination is limited to these wordings, to models of 0.5 to 1.7 billion parameters and to this task.</w:t>
      </w:r>
    </w:p>
    <w:p>
      <w:pPr>
        <w:pStyle w:val="MDPI41tablecaption"/>
      </w:pPr>
      <w:r>
        <w:rPr>
          <w:b/>
          <w:color w:val="0000FF"/>
        </w:rPr>
        <w:t xml:space="preserve">Table 12. </w:t>
      </w:r>
      <w:r>
        <w:rPr>
          <w:color w:val="0000FF"/>
        </w:rPr>
        <w:t xml:space="preserve"> Effect of adding contamination to pressure: mean change of </w:t>
      </w:r>
      <w:r>
        <w:rPr>
          <w:i/>
          <w:color w:val="0000FF"/>
        </w:rPr>
        <w:t>T</w:t>
      </w:r>
      <w:r>
        <w:rPr>
          <w:color w:val="0000FF"/>
        </w:rPr>
        <w:t>eff</w:t>
      </w:r>
      <w:r>
        <w:rPr>
          <w:color w:val="0000FF"/>
        </w:rPr>
        <w:t xml:space="preserve"> - </w:t>
      </w:r>
      <w:r>
        <w:rPr>
          <w:i/>
          <w:color w:val="0000FF"/>
        </w:rPr>
        <w:t>T</w:t>
      </w:r>
      <w:r>
        <w:rPr>
          <w:color w:val="0000FF"/>
        </w:rPr>
        <w:t xml:space="preserve"> (number of matched cells with a change of at least 0.5 in either direction, out of cells compared).</w:t>
      </w:r>
    </w:p>
    <w:tbl>
      <w:tblPr>
        <w:tblW w:w="10466" w:type="dxa"/>
        <w:tblInd w:w="0" w:type="dxa"/>
        <w:tblLayout w:type="fixed"/>
      </w:tblPr>
      <w:tblGrid>
        <w:gridCol w:w="2000"/>
        <w:gridCol w:w="1700"/>
        <w:gridCol w:w="1700"/>
        <w:gridCol w:w="1700"/>
        <w:gridCol w:w="1700"/>
        <w:gridCol w:w="16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P0+C0 vs P0</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P0+C2 vs P0</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P1+C1 vs P1</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P1+C2 vs P1</w:t>
            </w:r>
          </w:p>
        </w:tc>
        <w:tc>
          <w:tcPr>
            <w:tcW w:w="1666" w:type="dxa"/>
            <w:tcBorders>
              <w:top w:val="single" w:sz="8" w:space="0" w:color="000000"/>
              <w:bottom w:val="single" w:sz="4" w:space="0" w:color="000000"/>
            </w:tcBorders>
            <w:vAlign w:val="center"/>
          </w:tcPr>
          <w:p>
            <w:pPr>
              <w:pStyle w:val="MDPI42tablebody"/>
              <w:jc w:val="center"/>
            </w:pPr>
            <w:r>
              <w:rPr>
                <w:b/>
                <w:color w:val="0000FF"/>
                <w:sz w:val="16"/>
              </w:rPr>
              <w:t>P2+C2 vs P2</w:t>
            </w:r>
          </w:p>
        </w:tc>
      </w:tr>
      <w:tr>
        <w:trPr>
          <w:cantSplit/>
        </w:trPr>
        <w:tc>
          <w:tcPr>
            <w:tcW w:w="2000" w:type="dxa"/>
            <w:tcBorders/>
            <w:vAlign w:val="center"/>
          </w:tcPr>
          <w:p>
            <w:pPr>
              <w:pStyle w:val="MDPI42tablebody"/>
              <w:jc w:val="left"/>
            </w:pPr>
            <w:r>
              <w:rPr>
                <w:color w:val="0000FF"/>
                <w:sz w:val="16"/>
              </w:rPr>
              <w:t>Qwen2.5-0.5B</w:t>
            </w:r>
          </w:p>
        </w:tc>
        <w:tc>
          <w:tcPr>
            <w:tcW w:w="1700" w:type="dxa"/>
            <w:tcBorders/>
            <w:vAlign w:val="center"/>
          </w:tcPr>
          <w:p>
            <w:pPr>
              <w:pStyle w:val="MDPI42tablebody"/>
              <w:jc w:val="center"/>
            </w:pPr>
            <w:r>
              <w:rPr>
                <w:color w:val="0000FF"/>
                <w:sz w:val="16"/>
              </w:rPr>
              <w:t>+0.01 (0/8)</w:t>
            </w:r>
          </w:p>
        </w:tc>
        <w:tc>
          <w:tcPr>
            <w:tcW w:w="1700" w:type="dxa"/>
            <w:tcBorders/>
            <w:vAlign w:val="center"/>
          </w:tcPr>
          <w:p>
            <w:pPr>
              <w:pStyle w:val="MDPI42tablebody"/>
              <w:jc w:val="center"/>
            </w:pPr>
            <w:r>
              <w:rPr>
                <w:color w:val="0000FF"/>
                <w:sz w:val="16"/>
              </w:rPr>
              <w:t>-0.14 (1/8)</w:t>
            </w:r>
          </w:p>
        </w:tc>
        <w:tc>
          <w:tcPr>
            <w:tcW w:w="1700" w:type="dxa"/>
            <w:tcBorders/>
            <w:vAlign w:val="center"/>
          </w:tcPr>
          <w:p>
            <w:pPr>
              <w:pStyle w:val="MDPI42tablebody"/>
              <w:jc w:val="center"/>
            </w:pPr>
            <w:r>
              <w:rPr>
                <w:color w:val="0000FF"/>
                <w:sz w:val="16"/>
              </w:rPr>
              <w:t>-0.06 (1/8)</w:t>
            </w:r>
          </w:p>
        </w:tc>
        <w:tc>
          <w:tcPr>
            <w:tcW w:w="1700" w:type="dxa"/>
            <w:tcBorders/>
            <w:vAlign w:val="center"/>
          </w:tcPr>
          <w:p>
            <w:pPr>
              <w:pStyle w:val="MDPI42tablebody"/>
              <w:jc w:val="center"/>
            </w:pPr>
            <w:r>
              <w:rPr>
                <w:color w:val="0000FF"/>
                <w:sz w:val="16"/>
              </w:rPr>
              <w:t>-0.05 (0/8)</w:t>
            </w:r>
          </w:p>
        </w:tc>
        <w:tc>
          <w:tcPr>
            <w:tcW w:w="1666" w:type="dxa"/>
            <w:tcBorders/>
            <w:vAlign w:val="center"/>
          </w:tcPr>
          <w:p>
            <w:pPr>
              <w:pStyle w:val="MDPI42tablebody"/>
              <w:jc w:val="center"/>
            </w:pPr>
            <w:r>
              <w:rPr>
                <w:color w:val="0000FF"/>
                <w:sz w:val="16"/>
              </w:rPr>
              <w:t>-0.06 (2/8)</w:t>
            </w:r>
          </w:p>
        </w:tc>
      </w:tr>
      <w:tr>
        <w:trPr>
          <w:cantSplit/>
        </w:trPr>
        <w:tc>
          <w:tcPr>
            <w:tcW w:w="2000" w:type="dxa"/>
            <w:tcBorders/>
            <w:vAlign w:val="center"/>
          </w:tcPr>
          <w:p>
            <w:pPr>
              <w:pStyle w:val="MDPI42tablebody"/>
              <w:jc w:val="left"/>
            </w:pPr>
            <w:r>
              <w:rPr>
                <w:color w:val="0000FF"/>
                <w:sz w:val="16"/>
              </w:rPr>
              <w:t>Qwen2.5-1.5B</w:t>
            </w:r>
          </w:p>
        </w:tc>
        <w:tc>
          <w:tcPr>
            <w:tcW w:w="1700" w:type="dxa"/>
            <w:tcBorders/>
            <w:vAlign w:val="center"/>
          </w:tcPr>
          <w:p>
            <w:pPr>
              <w:pStyle w:val="MDPI42tablebody"/>
              <w:jc w:val="center"/>
            </w:pPr>
            <w:r>
              <w:rPr>
                <w:color w:val="0000FF"/>
                <w:sz w:val="16"/>
              </w:rPr>
              <w:t>-0.11 (1/6)</w:t>
            </w:r>
          </w:p>
        </w:tc>
        <w:tc>
          <w:tcPr>
            <w:tcW w:w="1700" w:type="dxa"/>
            <w:tcBorders/>
            <w:vAlign w:val="center"/>
          </w:tcPr>
          <w:p>
            <w:pPr>
              <w:pStyle w:val="MDPI42tablebody"/>
              <w:jc w:val="center"/>
            </w:pPr>
            <w:r>
              <w:rPr>
                <w:color w:val="0000FF"/>
                <w:sz w:val="16"/>
              </w:rPr>
              <w:t>-0.13 (2/6)</w:t>
            </w:r>
          </w:p>
        </w:tc>
        <w:tc>
          <w:tcPr>
            <w:tcW w:w="1700" w:type="dxa"/>
            <w:tcBorders/>
            <w:vAlign w:val="center"/>
          </w:tcPr>
          <w:p>
            <w:pPr>
              <w:pStyle w:val="MDPI42tablebody"/>
              <w:jc w:val="center"/>
            </w:pPr>
            <w:r>
              <w:rPr>
                <w:color w:val="0000FF"/>
                <w:sz w:val="16"/>
              </w:rPr>
              <w:t>+0.06 (0/6)</w:t>
            </w:r>
          </w:p>
        </w:tc>
        <w:tc>
          <w:tcPr>
            <w:tcW w:w="1700" w:type="dxa"/>
            <w:tcBorders/>
            <w:vAlign w:val="center"/>
          </w:tcPr>
          <w:p>
            <w:pPr>
              <w:pStyle w:val="MDPI42tablebody"/>
              <w:jc w:val="center"/>
            </w:pPr>
            <w:r>
              <w:rPr>
                <w:color w:val="0000FF"/>
                <w:sz w:val="16"/>
              </w:rPr>
              <w:t>-0.22 (2/6)</w:t>
            </w:r>
          </w:p>
        </w:tc>
        <w:tc>
          <w:tcPr>
            <w:tcW w:w="1666" w:type="dxa"/>
            <w:tcBorders/>
            <w:vAlign w:val="center"/>
          </w:tcPr>
          <w:p>
            <w:pPr>
              <w:pStyle w:val="MDPI42tablebody"/>
              <w:jc w:val="center"/>
            </w:pPr>
            <w:r>
              <w:rPr>
                <w:color w:val="0000FF"/>
                <w:sz w:val="16"/>
              </w:rPr>
              <w:t>-0.25 (1/6)</w:t>
            </w:r>
          </w:p>
        </w:tc>
      </w:tr>
      <w:tr>
        <w:trPr>
          <w:cantSplit/>
        </w:trPr>
        <w:tc>
          <w:tcPr>
            <w:tcW w:w="2000" w:type="dxa"/>
            <w:tcBorders/>
            <w:vAlign w:val="center"/>
          </w:tcPr>
          <w:p>
            <w:pPr>
              <w:pStyle w:val="MDPI42tablebody"/>
              <w:jc w:val="left"/>
            </w:pPr>
            <w:r>
              <w:rPr>
                <w:color w:val="0000FF"/>
                <w:sz w:val="16"/>
              </w:rPr>
              <w:t>Llama-3.2-1B</w:t>
            </w:r>
          </w:p>
        </w:tc>
        <w:tc>
          <w:tcPr>
            <w:tcW w:w="1700" w:type="dxa"/>
            <w:tcBorders/>
            <w:vAlign w:val="center"/>
          </w:tcPr>
          <w:p>
            <w:pPr>
              <w:pStyle w:val="MDPI42tablebody"/>
              <w:jc w:val="center"/>
            </w:pPr>
            <w:r>
              <w:rPr>
                <w:color w:val="0000FF"/>
                <w:sz w:val="16"/>
              </w:rPr>
              <w:t>-0.04 (0/8)</w:t>
            </w:r>
          </w:p>
        </w:tc>
        <w:tc>
          <w:tcPr>
            <w:tcW w:w="1700" w:type="dxa"/>
            <w:tcBorders/>
            <w:vAlign w:val="center"/>
          </w:tcPr>
          <w:p>
            <w:pPr>
              <w:pStyle w:val="MDPI42tablebody"/>
              <w:jc w:val="center"/>
            </w:pPr>
            <w:r>
              <w:rPr>
                <w:color w:val="0000FF"/>
                <w:sz w:val="16"/>
              </w:rPr>
              <w:t>+0.01 (0/8)</w:t>
            </w:r>
          </w:p>
        </w:tc>
        <w:tc>
          <w:tcPr>
            <w:tcW w:w="1700" w:type="dxa"/>
            <w:tcBorders/>
            <w:vAlign w:val="center"/>
          </w:tcPr>
          <w:p>
            <w:pPr>
              <w:pStyle w:val="MDPI42tablebody"/>
              <w:jc w:val="center"/>
            </w:pPr>
            <w:r>
              <w:rPr>
                <w:color w:val="0000FF"/>
                <w:sz w:val="16"/>
              </w:rPr>
              <w:t>+0.14 (0/8)</w:t>
            </w:r>
          </w:p>
        </w:tc>
        <w:tc>
          <w:tcPr>
            <w:tcW w:w="1700" w:type="dxa"/>
            <w:tcBorders/>
            <w:vAlign w:val="center"/>
          </w:tcPr>
          <w:p>
            <w:pPr>
              <w:pStyle w:val="MDPI42tablebody"/>
              <w:jc w:val="center"/>
            </w:pPr>
            <w:r>
              <w:rPr>
                <w:color w:val="0000FF"/>
                <w:sz w:val="16"/>
              </w:rPr>
              <w:t>+0.11 (0/8)</w:t>
            </w:r>
          </w:p>
        </w:tc>
        <w:tc>
          <w:tcPr>
            <w:tcW w:w="1666" w:type="dxa"/>
            <w:tcBorders/>
            <w:vAlign w:val="center"/>
          </w:tcPr>
          <w:p>
            <w:pPr>
              <w:pStyle w:val="MDPI42tablebody"/>
              <w:jc w:val="center"/>
            </w:pPr>
            <w:r>
              <w:rPr>
                <w:color w:val="0000FF"/>
                <w:sz w:val="16"/>
              </w:rPr>
              <w:t>-0.07 (0/8)</w:t>
            </w:r>
          </w:p>
        </w:tc>
      </w:tr>
      <w:tr>
        <w:trPr>
          <w:cantSplit/>
        </w:trPr>
        <w:tc>
          <w:tcPr>
            <w:tcW w:w="2000" w:type="dxa"/>
            <w:tcBorders>
              <w:bottom w:val="single" w:sz="8" w:space="0" w:color="000000"/>
            </w:tcBorders>
            <w:vAlign w:val="center"/>
          </w:tcPr>
          <w:p>
            <w:pPr>
              <w:pStyle w:val="MDPI42tablebody"/>
              <w:jc w:val="left"/>
            </w:pPr>
            <w:r>
              <w:rPr>
                <w:color w:val="0000FF"/>
                <w:sz w:val="16"/>
              </w:rPr>
              <w:t>SmolLM2-1.7B</w:t>
            </w:r>
          </w:p>
        </w:tc>
        <w:tc>
          <w:tcPr>
            <w:tcW w:w="1700" w:type="dxa"/>
            <w:tcBorders>
              <w:bottom w:val="single" w:sz="8" w:space="0" w:color="000000"/>
            </w:tcBorders>
            <w:vAlign w:val="center"/>
          </w:tcPr>
          <w:p>
            <w:pPr>
              <w:pStyle w:val="MDPI42tablebody"/>
              <w:jc w:val="center"/>
            </w:pPr>
            <w:r>
              <w:rPr>
                <w:color w:val="0000FF"/>
                <w:sz w:val="16"/>
              </w:rPr>
              <w:t>+0.03 (0/8)</w:t>
            </w:r>
          </w:p>
        </w:tc>
        <w:tc>
          <w:tcPr>
            <w:tcW w:w="1700" w:type="dxa"/>
            <w:tcBorders>
              <w:bottom w:val="single" w:sz="8" w:space="0" w:color="000000"/>
            </w:tcBorders>
            <w:vAlign w:val="center"/>
          </w:tcPr>
          <w:p>
            <w:pPr>
              <w:pStyle w:val="MDPI42tablebody"/>
              <w:jc w:val="center"/>
            </w:pPr>
            <w:r>
              <w:rPr>
                <w:color w:val="0000FF"/>
                <w:sz w:val="16"/>
              </w:rPr>
              <w:t>–</w:t>
            </w:r>
          </w:p>
        </w:tc>
        <w:tc>
          <w:tcPr>
            <w:tcW w:w="1700" w:type="dxa"/>
            <w:tcBorders>
              <w:bottom w:val="single" w:sz="8" w:space="0" w:color="000000"/>
            </w:tcBorders>
            <w:vAlign w:val="center"/>
          </w:tcPr>
          <w:p>
            <w:pPr>
              <w:pStyle w:val="MDPI42tablebody"/>
              <w:jc w:val="center"/>
            </w:pPr>
            <w:r>
              <w:rPr>
                <w:color w:val="0000FF"/>
                <w:sz w:val="16"/>
              </w:rPr>
              <w:t>–</w:t>
            </w:r>
          </w:p>
        </w:tc>
        <w:tc>
          <w:tcPr>
            <w:tcW w:w="1700" w:type="dxa"/>
            <w:tcBorders>
              <w:bottom w:val="single" w:sz="8" w:space="0" w:color="000000"/>
            </w:tcBorders>
            <w:vAlign w:val="center"/>
          </w:tcPr>
          <w:p>
            <w:pPr>
              <w:pStyle w:val="MDPI42tablebody"/>
              <w:jc w:val="center"/>
            </w:pPr>
            <w:r>
              <w:rPr>
                <w:color w:val="0000FF"/>
                <w:sz w:val="16"/>
              </w:rPr>
              <w:t>–</w:t>
            </w:r>
          </w:p>
        </w:tc>
        <w:tc>
          <w:tcPr>
            <w:tcW w:w="1666" w:type="dxa"/>
            <w:tcBorders>
              <w:bottom w:val="single" w:sz="8" w:space="0" w:color="000000"/>
            </w:tcBorders>
            <w:vAlign w:val="center"/>
          </w:tcPr>
          <w:p>
            <w:pPr>
              <w:pStyle w:val="MDPI42tablebody"/>
              <w:jc w:val="center"/>
            </w:pPr>
            <w:r>
              <w:rPr>
                <w:color w:val="0000FF"/>
                <w:sz w:val="16"/>
              </w:rPr>
              <w:t>–</w:t>
            </w:r>
          </w:p>
        </w:tc>
      </w:tr>
    </w:tbl>
    <w:p>
      <w:pPr>
        <w:pStyle w:val="MDPI43tablefooter"/>
      </w:pPr>
      <w:r>
        <w:rPr>
          <w:color w:val="0000FF"/>
        </w:rPr>
        <w:t>C2 is the dominant-response contamination. SmolLM2-1.7B was run with the original wordings only.</w:t>
      </w:r>
    </w:p>
    <w:p>
      <w:pPr>
        <w:pStyle w:val="MDPI22heading2"/>
      </w:pPr>
      <w:r>
        <w:rPr>
          <w:color w:val="0000FF"/>
        </w:rPr>
        <w:t>5.9. Comparison with Reference-Based Likelihood and Divergence Measures</w:t>
      </w:r>
    </w:p>
    <w:p>
      <w:pPr>
        <w:pStyle w:val="MDPI31text"/>
      </w:pPr>
      <w:r>
        <w:rPr>
          <w:color w:val="0000FF"/>
        </w:rPr>
        <w:t xml:space="preserve">Section 5.6 left open whether fitting a temperature adds anything to a plain comparison of the sampling distribution with the reference. Table 13 adds the reference log-likelihood (mean negative log-probability of the chosen items under the same-history reference at the nominal temperature), the divergence KL(sampling ‖ reference) at the nominal temperature, the distributional estimator </w:t>
      </w:r>
      <w:r>
        <w:rPr>
          <w:i/>
          <w:color w:val="0000FF"/>
        </w:rPr>
        <w:t>T</w:t>
      </w:r>
      <w:r>
        <w:rPr>
          <w:color w:val="0000FF"/>
        </w:rPr>
        <w:t>eff</w:t>
      </w:r>
      <w:r>
        <w:rPr>
          <w:color w:val="0000FF"/>
          <w:vertAlign w:val="superscript"/>
        </w:rPr>
        <w:t>dist</w:t>
      </w:r>
      <w:r>
        <w:rPr>
          <w:color w:val="0000FF"/>
        </w:rPr>
        <w:t xml:space="preserve"> and the residual divergence κ. Pooled over the models and the three pressure wordings, pressure was flagged by ECE in 41/74 cells, by the reference log-likelihood in 40/74, by entropy in 37/74, by confidence in 35/74, by the divergence in 27/74, by exact-match semantic entropy in 23/74 and by </w:t>
      </w:r>
      <w:r>
        <w:rPr>
          <w:i/>
          <w:color w:val="0000FF"/>
        </w:rPr>
        <w:t>T</w:t>
      </w:r>
      <w:r>
        <w:rPr>
          <w:color w:val="0000FF"/>
        </w:rPr>
        <w:t>eff</w:t>
      </w:r>
      <w:r>
        <w:rPr>
          <w:color w:val="0000FF"/>
        </w:rPr>
        <w:t xml:space="preserve"> in 17/74. The distributional estimator, which removes the draw noise, flagged 12/74. Fitting a temperature therefore flags fewer pressured cells than the reference log-likelihood from which it is computed, and it does not become more sensitive when the sampling noise is removed. At the level of single trajectories the two-sided AUC of </w:t>
      </w:r>
      <w:r>
        <w:rPr>
          <w:i/>
          <w:color w:val="0000FF"/>
        </w:rPr>
        <w:t>T</w:t>
      </w:r>
      <w:r>
        <w:rPr>
          <w:color w:val="0000FF"/>
        </w:rPr>
        <w:t>eff</w:t>
      </w:r>
      <w:r>
        <w:rPr>
          <w:color w:val="0000FF"/>
        </w:rPr>
        <w:t xml:space="preserve"> (six choices) was 0.64, against 0.74 for entropy and 0.64 for the reference log-likelihood. Two AUCs need a reservation. In a clean cell the reference equals the sampling distribution, so KL is exactly zero and its AUC of 1.00 only records that the context differs from the clean one. The same degeneracy, to a smaller degree, lifts the AUC of </w:t>
      </w:r>
      <w:r>
        <w:rPr>
          <w:i/>
          <w:color w:val="0000FF"/>
        </w:rPr>
        <w:t>T</w:t>
      </w:r>
      <w:r>
        <w:rPr>
          <w:color w:val="0000FF"/>
        </w:rPr>
        <w:t>eff</w:t>
      </w:r>
      <w:r>
        <w:rPr>
          <w:color w:val="0000FF"/>
          <w:vertAlign w:val="superscript"/>
        </w:rPr>
        <w:t>dist</w:t>
      </w:r>
      <w:r>
        <w:rPr>
          <w:color w:val="0000FF"/>
        </w:rPr>
        <w:t xml:space="preserve"> (0.91). Both numbers are upper bounds that rest on knowing the clean context, and they say nothing about whether the agent has failed.</w:t>
      </w:r>
    </w:p>
    <w:p>
      <w:pPr>
        <w:pStyle w:val="MDPI41tablecaption"/>
      </w:pPr>
      <w:r>
        <w:rPr>
          <w:b/>
          <w:color w:val="0000FF"/>
        </w:rPr>
        <w:t xml:space="preserve">Table 13. </w:t>
      </w:r>
      <w:r>
        <w:rPr>
          <w:color w:val="0000FF"/>
        </w:rPr>
        <w:t xml:space="preserve"> Matched cells flagged (either direction) and mean two-sided trajectory-level AUC, pooled over the four additional models: pressure (P0, P1, P2), diffuse contamination (C0, C1) and dominant-response contamination (C2).</w:t>
      </w:r>
    </w:p>
    <w:tbl>
      <w:tblPr>
        <w:tblW w:w="10466" w:type="dxa"/>
        <w:tblInd w:w="0" w:type="dxa"/>
        <w:tblLayout w:type="fixed"/>
      </w:tblPr>
      <w:tblGrid>
        <w:gridCol w:w="2600"/>
        <w:gridCol w:w="1250"/>
        <w:gridCol w:w="1250"/>
        <w:gridCol w:w="1250"/>
        <w:gridCol w:w="1250"/>
        <w:gridCol w:w="1450"/>
        <w:gridCol w:w="1416"/>
      </w:tblGrid>
      <w:tr>
        <w:trPr>
          <w:cantSplit/>
          <w:tblHeader/>
        </w:trPr>
        <w:tc>
          <w:tcPr>
            <w:tcW w:w="2600" w:type="dxa"/>
            <w:tcBorders>
              <w:top w:val="single" w:sz="8" w:space="0" w:color="000000"/>
              <w:bottom w:val="single" w:sz="4" w:space="0" w:color="000000"/>
            </w:tcBorders>
            <w:vAlign w:val="center"/>
          </w:tcPr>
          <w:p>
            <w:pPr>
              <w:pStyle w:val="MDPI42tablebody"/>
              <w:jc w:val="left"/>
            </w:pPr>
            <w:r>
              <w:rPr>
                <w:b/>
                <w:color w:val="0000FF"/>
                <w:sz w:val="16"/>
              </w:rPr>
              <w:t>Indicator</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Pressure flags</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Pressure AUC</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Contam. flags</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Contam. AUC</w:t>
            </w:r>
          </w:p>
        </w:tc>
        <w:tc>
          <w:tcPr>
            <w:tcW w:w="1450" w:type="dxa"/>
            <w:tcBorders>
              <w:top w:val="single" w:sz="8" w:space="0" w:color="000000"/>
              <w:bottom w:val="single" w:sz="4" w:space="0" w:color="000000"/>
            </w:tcBorders>
            <w:vAlign w:val="center"/>
          </w:tcPr>
          <w:p>
            <w:pPr>
              <w:pStyle w:val="MDPI42tablebody"/>
              <w:jc w:val="center"/>
            </w:pPr>
            <w:r>
              <w:rPr>
                <w:b/>
                <w:color w:val="0000FF"/>
                <w:sz w:val="16"/>
              </w:rPr>
              <w:t>Dominant flags</w:t>
            </w:r>
          </w:p>
        </w:tc>
        <w:tc>
          <w:tcPr>
            <w:tcW w:w="1416" w:type="dxa"/>
            <w:tcBorders>
              <w:top w:val="single" w:sz="8" w:space="0" w:color="000000"/>
              <w:bottom w:val="single" w:sz="4" w:space="0" w:color="000000"/>
            </w:tcBorders>
            <w:vAlign w:val="center"/>
          </w:tcPr>
          <w:p>
            <w:pPr>
              <w:pStyle w:val="MDPI42tablebody"/>
              <w:jc w:val="center"/>
            </w:pPr>
            <w:r>
              <w:rPr>
                <w:b/>
                <w:color w:val="0000FF"/>
                <w:sz w:val="16"/>
              </w:rPr>
              <w:t>Dominant AUC</w:t>
            </w:r>
          </w:p>
        </w:tc>
      </w:tr>
      <w:tr>
        <w:trPr>
          <w:cantSplit/>
        </w:trPr>
        <w:tc>
          <w:tcPr>
            <w:tcW w:w="2600" w:type="dxa"/>
            <w:tcBorders/>
            <w:vAlign w:val="center"/>
          </w:tcPr>
          <w:p>
            <w:pPr>
              <w:pStyle w:val="MDPI42tablebody"/>
              <w:jc w:val="left"/>
            </w:pPr>
            <w:r>
              <w:rPr>
                <w:color w:val="0000FF"/>
                <w:sz w:val="16"/>
              </w:rPr>
              <w:t>Token entropy</w:t>
            </w:r>
          </w:p>
        </w:tc>
        <w:tc>
          <w:tcPr>
            <w:tcW w:w="1250" w:type="dxa"/>
            <w:tcBorders/>
            <w:vAlign w:val="center"/>
          </w:tcPr>
          <w:p>
            <w:pPr>
              <w:pStyle w:val="MDPI42tablebody"/>
              <w:jc w:val="center"/>
            </w:pPr>
            <w:r>
              <w:rPr>
                <w:color w:val="0000FF"/>
                <w:sz w:val="16"/>
              </w:rPr>
              <w:t>37/74</w:t>
            </w:r>
          </w:p>
        </w:tc>
        <w:tc>
          <w:tcPr>
            <w:tcW w:w="1250" w:type="dxa"/>
            <w:tcBorders/>
            <w:vAlign w:val="center"/>
          </w:tcPr>
          <w:p>
            <w:pPr>
              <w:pStyle w:val="MDPI42tablebody"/>
              <w:jc w:val="center"/>
            </w:pPr>
            <w:r>
              <w:rPr>
                <w:color w:val="0000FF"/>
                <w:sz w:val="16"/>
              </w:rPr>
              <w:t>0.74</w:t>
            </w:r>
          </w:p>
        </w:tc>
        <w:tc>
          <w:tcPr>
            <w:tcW w:w="1250" w:type="dxa"/>
            <w:tcBorders/>
            <w:vAlign w:val="center"/>
          </w:tcPr>
          <w:p>
            <w:pPr>
              <w:pStyle w:val="MDPI42tablebody"/>
              <w:jc w:val="center"/>
            </w:pPr>
            <w:r>
              <w:rPr>
                <w:color w:val="0000FF"/>
                <w:sz w:val="16"/>
              </w:rPr>
              <w:t>24/52</w:t>
            </w:r>
          </w:p>
        </w:tc>
        <w:tc>
          <w:tcPr>
            <w:tcW w:w="1250" w:type="dxa"/>
            <w:tcBorders/>
            <w:vAlign w:val="center"/>
          </w:tcPr>
          <w:p>
            <w:pPr>
              <w:pStyle w:val="MDPI42tablebody"/>
              <w:jc w:val="center"/>
            </w:pPr>
            <w:r>
              <w:rPr>
                <w:color w:val="0000FF"/>
                <w:sz w:val="16"/>
              </w:rPr>
              <w:t>0.71</w:t>
            </w:r>
          </w:p>
        </w:tc>
        <w:tc>
          <w:tcPr>
            <w:tcW w:w="1450" w:type="dxa"/>
            <w:tcBorders/>
            <w:vAlign w:val="center"/>
          </w:tcPr>
          <w:p>
            <w:pPr>
              <w:pStyle w:val="MDPI42tablebody"/>
              <w:jc w:val="center"/>
            </w:pPr>
            <w:r>
              <w:rPr>
                <w:color w:val="0000FF"/>
                <w:sz w:val="16"/>
              </w:rPr>
              <w:t>16/22</w:t>
            </w:r>
          </w:p>
        </w:tc>
        <w:tc>
          <w:tcPr>
            <w:tcW w:w="1416" w:type="dxa"/>
            <w:tcBorders/>
            <w:vAlign w:val="center"/>
          </w:tcPr>
          <w:p>
            <w:pPr>
              <w:pStyle w:val="MDPI42tablebody"/>
              <w:jc w:val="center"/>
            </w:pPr>
            <w:r>
              <w:rPr>
                <w:color w:val="0000FF"/>
                <w:sz w:val="16"/>
              </w:rPr>
              <w:t>0.78</w:t>
            </w:r>
          </w:p>
        </w:tc>
      </w:tr>
      <w:tr>
        <w:trPr>
          <w:cantSplit/>
        </w:trPr>
        <w:tc>
          <w:tcPr>
            <w:tcW w:w="2600" w:type="dxa"/>
            <w:tcBorders/>
            <w:vAlign w:val="center"/>
          </w:tcPr>
          <w:p>
            <w:pPr>
              <w:pStyle w:val="MDPI42tablebody"/>
              <w:jc w:val="left"/>
            </w:pPr>
            <w:r>
              <w:rPr>
                <w:color w:val="0000FF"/>
                <w:sz w:val="16"/>
              </w:rPr>
              <w:t>Confidence</w:t>
            </w:r>
          </w:p>
        </w:tc>
        <w:tc>
          <w:tcPr>
            <w:tcW w:w="1250" w:type="dxa"/>
            <w:tcBorders/>
            <w:vAlign w:val="center"/>
          </w:tcPr>
          <w:p>
            <w:pPr>
              <w:pStyle w:val="MDPI42tablebody"/>
              <w:jc w:val="center"/>
            </w:pPr>
            <w:r>
              <w:rPr>
                <w:color w:val="0000FF"/>
                <w:sz w:val="16"/>
              </w:rPr>
              <w:t>35/74</w:t>
            </w:r>
          </w:p>
        </w:tc>
        <w:tc>
          <w:tcPr>
            <w:tcW w:w="1250" w:type="dxa"/>
            <w:tcBorders/>
            <w:vAlign w:val="center"/>
          </w:tcPr>
          <w:p>
            <w:pPr>
              <w:pStyle w:val="MDPI42tablebody"/>
              <w:jc w:val="center"/>
            </w:pPr>
            <w:r>
              <w:rPr>
                <w:color w:val="0000FF"/>
                <w:sz w:val="16"/>
              </w:rPr>
              <w:t>0.70</w:t>
            </w:r>
          </w:p>
        </w:tc>
        <w:tc>
          <w:tcPr>
            <w:tcW w:w="1250" w:type="dxa"/>
            <w:tcBorders/>
            <w:vAlign w:val="center"/>
          </w:tcPr>
          <w:p>
            <w:pPr>
              <w:pStyle w:val="MDPI42tablebody"/>
              <w:jc w:val="center"/>
            </w:pPr>
            <w:r>
              <w:rPr>
                <w:color w:val="0000FF"/>
                <w:sz w:val="16"/>
              </w:rPr>
              <w:t>20/52</w:t>
            </w:r>
          </w:p>
        </w:tc>
        <w:tc>
          <w:tcPr>
            <w:tcW w:w="1250" w:type="dxa"/>
            <w:tcBorders/>
            <w:vAlign w:val="center"/>
          </w:tcPr>
          <w:p>
            <w:pPr>
              <w:pStyle w:val="MDPI42tablebody"/>
              <w:jc w:val="center"/>
            </w:pPr>
            <w:r>
              <w:rPr>
                <w:color w:val="0000FF"/>
                <w:sz w:val="16"/>
              </w:rPr>
              <w:t>0.67</w:t>
            </w:r>
          </w:p>
        </w:tc>
        <w:tc>
          <w:tcPr>
            <w:tcW w:w="1450" w:type="dxa"/>
            <w:tcBorders/>
            <w:vAlign w:val="center"/>
          </w:tcPr>
          <w:p>
            <w:pPr>
              <w:pStyle w:val="MDPI42tablebody"/>
              <w:jc w:val="center"/>
            </w:pPr>
            <w:r>
              <w:rPr>
                <w:color w:val="0000FF"/>
                <w:sz w:val="16"/>
              </w:rPr>
              <w:t>16/22</w:t>
            </w:r>
          </w:p>
        </w:tc>
        <w:tc>
          <w:tcPr>
            <w:tcW w:w="1416" w:type="dxa"/>
            <w:tcBorders/>
            <w:vAlign w:val="center"/>
          </w:tcPr>
          <w:p>
            <w:pPr>
              <w:pStyle w:val="MDPI42tablebody"/>
              <w:jc w:val="center"/>
            </w:pPr>
            <w:r>
              <w:rPr>
                <w:color w:val="0000FF"/>
                <w:sz w:val="16"/>
              </w:rPr>
              <w:t>0.75</w:t>
            </w:r>
          </w:p>
        </w:tc>
      </w:tr>
      <w:tr>
        <w:trPr>
          <w:cantSplit/>
        </w:trPr>
        <w:tc>
          <w:tcPr>
            <w:tcW w:w="2600" w:type="dxa"/>
            <w:tcBorders/>
            <w:vAlign w:val="center"/>
          </w:tcPr>
          <w:p>
            <w:pPr>
              <w:pStyle w:val="MDPI42tablebody"/>
              <w:jc w:val="left"/>
            </w:pPr>
            <w:r>
              <w:rPr>
                <w:color w:val="0000FF"/>
                <w:sz w:val="16"/>
              </w:rPr>
              <w:t>ECE (needs labels)</w:t>
            </w:r>
          </w:p>
        </w:tc>
        <w:tc>
          <w:tcPr>
            <w:tcW w:w="1250" w:type="dxa"/>
            <w:tcBorders/>
            <w:vAlign w:val="center"/>
          </w:tcPr>
          <w:p>
            <w:pPr>
              <w:pStyle w:val="MDPI42tablebody"/>
              <w:jc w:val="center"/>
            </w:pPr>
            <w:r>
              <w:rPr>
                <w:color w:val="0000FF"/>
                <w:sz w:val="16"/>
              </w:rPr>
              <w:t>41/74</w:t>
            </w:r>
          </w:p>
        </w:tc>
        <w:tc>
          <w:tcPr>
            <w:tcW w:w="1250" w:type="dxa"/>
            <w:tcBorders/>
            <w:vAlign w:val="center"/>
          </w:tcPr>
          <w:p>
            <w:pPr>
              <w:pStyle w:val="MDPI42tablebody"/>
              <w:jc w:val="center"/>
            </w:pPr>
            <w:r>
              <w:rPr>
                <w:color w:val="0000FF"/>
                <w:sz w:val="16"/>
              </w:rPr>
              <w:t>–</w:t>
            </w:r>
          </w:p>
        </w:tc>
        <w:tc>
          <w:tcPr>
            <w:tcW w:w="1250" w:type="dxa"/>
            <w:tcBorders/>
            <w:vAlign w:val="center"/>
          </w:tcPr>
          <w:p>
            <w:pPr>
              <w:pStyle w:val="MDPI42tablebody"/>
              <w:jc w:val="center"/>
            </w:pPr>
            <w:r>
              <w:rPr>
                <w:color w:val="0000FF"/>
                <w:sz w:val="16"/>
              </w:rPr>
              <w:t>18/52</w:t>
            </w:r>
          </w:p>
        </w:tc>
        <w:tc>
          <w:tcPr>
            <w:tcW w:w="1250" w:type="dxa"/>
            <w:tcBorders/>
            <w:vAlign w:val="center"/>
          </w:tcPr>
          <w:p>
            <w:pPr>
              <w:pStyle w:val="MDPI42tablebody"/>
              <w:jc w:val="center"/>
            </w:pPr>
            <w:r>
              <w:rPr>
                <w:color w:val="0000FF"/>
                <w:sz w:val="16"/>
              </w:rPr>
              <w:t>–</w:t>
            </w:r>
          </w:p>
        </w:tc>
        <w:tc>
          <w:tcPr>
            <w:tcW w:w="1450" w:type="dxa"/>
            <w:tcBorders/>
            <w:vAlign w:val="center"/>
          </w:tcPr>
          <w:p>
            <w:pPr>
              <w:pStyle w:val="MDPI42tablebody"/>
              <w:jc w:val="center"/>
            </w:pPr>
            <w:r>
              <w:rPr>
                <w:color w:val="0000FF"/>
                <w:sz w:val="16"/>
              </w:rPr>
              <w:t>14/22</w:t>
            </w:r>
          </w:p>
        </w:tc>
        <w:tc>
          <w:tcPr>
            <w:tcW w:w="1416" w:type="dxa"/>
            <w:tcBorders/>
            <w:vAlign w:val="center"/>
          </w:tcPr>
          <w:p>
            <w:pPr>
              <w:pStyle w:val="MDPI42tablebody"/>
              <w:jc w:val="center"/>
            </w:pPr>
            <w:r>
              <w:rPr>
                <w:color w:val="0000FF"/>
                <w:sz w:val="16"/>
              </w:rPr>
              <w:t>–</w:t>
            </w:r>
          </w:p>
        </w:tc>
      </w:tr>
      <w:tr>
        <w:trPr>
          <w:cantSplit/>
        </w:trPr>
        <w:tc>
          <w:tcPr>
            <w:tcW w:w="2600" w:type="dxa"/>
            <w:tcBorders/>
            <w:vAlign w:val="center"/>
          </w:tcPr>
          <w:p>
            <w:pPr>
              <w:pStyle w:val="MDPI42tablebody"/>
              <w:jc w:val="left"/>
            </w:pPr>
            <w:r>
              <w:rPr>
                <w:color w:val="0000FF"/>
                <w:sz w:val="16"/>
              </w:rPr>
              <w:t>Exact-match semantic entropy</w:t>
            </w:r>
          </w:p>
        </w:tc>
        <w:tc>
          <w:tcPr>
            <w:tcW w:w="1250" w:type="dxa"/>
            <w:tcBorders/>
            <w:vAlign w:val="center"/>
          </w:tcPr>
          <w:p>
            <w:pPr>
              <w:pStyle w:val="MDPI42tablebody"/>
              <w:jc w:val="center"/>
            </w:pPr>
            <w:r>
              <w:rPr>
                <w:color w:val="0000FF"/>
                <w:sz w:val="16"/>
              </w:rPr>
              <w:t>23/74</w:t>
            </w:r>
          </w:p>
        </w:tc>
        <w:tc>
          <w:tcPr>
            <w:tcW w:w="1250" w:type="dxa"/>
            <w:tcBorders/>
            <w:vAlign w:val="center"/>
          </w:tcPr>
          <w:p>
            <w:pPr>
              <w:pStyle w:val="MDPI42tablebody"/>
              <w:jc w:val="center"/>
            </w:pPr>
            <w:r>
              <w:rPr>
                <w:color w:val="0000FF"/>
                <w:sz w:val="16"/>
              </w:rPr>
              <w:t>–</w:t>
            </w:r>
          </w:p>
        </w:tc>
        <w:tc>
          <w:tcPr>
            <w:tcW w:w="1250" w:type="dxa"/>
            <w:tcBorders/>
            <w:vAlign w:val="center"/>
          </w:tcPr>
          <w:p>
            <w:pPr>
              <w:pStyle w:val="MDPI42tablebody"/>
              <w:jc w:val="center"/>
            </w:pPr>
            <w:r>
              <w:rPr>
                <w:color w:val="0000FF"/>
                <w:sz w:val="16"/>
              </w:rPr>
              <w:t>13/52</w:t>
            </w:r>
          </w:p>
        </w:tc>
        <w:tc>
          <w:tcPr>
            <w:tcW w:w="1250" w:type="dxa"/>
            <w:tcBorders/>
            <w:vAlign w:val="center"/>
          </w:tcPr>
          <w:p>
            <w:pPr>
              <w:pStyle w:val="MDPI42tablebody"/>
              <w:jc w:val="center"/>
            </w:pPr>
            <w:r>
              <w:rPr>
                <w:color w:val="0000FF"/>
                <w:sz w:val="16"/>
              </w:rPr>
              <w:t>–</w:t>
            </w:r>
          </w:p>
        </w:tc>
        <w:tc>
          <w:tcPr>
            <w:tcW w:w="1450" w:type="dxa"/>
            <w:tcBorders/>
            <w:vAlign w:val="center"/>
          </w:tcPr>
          <w:p>
            <w:pPr>
              <w:pStyle w:val="MDPI42tablebody"/>
              <w:jc w:val="center"/>
            </w:pPr>
            <w:r>
              <w:rPr>
                <w:color w:val="0000FF"/>
                <w:sz w:val="16"/>
              </w:rPr>
              <w:t>10/22</w:t>
            </w:r>
          </w:p>
        </w:tc>
        <w:tc>
          <w:tcPr>
            <w:tcW w:w="1416" w:type="dxa"/>
            <w:tcBorders/>
            <w:vAlign w:val="center"/>
          </w:tcPr>
          <w:p>
            <w:pPr>
              <w:pStyle w:val="MDPI42tablebody"/>
              <w:jc w:val="center"/>
            </w:pPr>
            <w:r>
              <w:rPr>
                <w:color w:val="0000FF"/>
                <w:sz w:val="16"/>
              </w:rPr>
              <w:t>–</w:t>
            </w:r>
          </w:p>
        </w:tc>
      </w:tr>
      <w:tr>
        <w:trPr>
          <w:cantSplit/>
        </w:trPr>
        <w:tc>
          <w:tcPr>
            <w:tcW w:w="2600" w:type="dxa"/>
            <w:tcBorders/>
            <w:vAlign w:val="center"/>
          </w:tcPr>
          <w:p>
            <w:pPr>
              <w:pStyle w:val="MDPI42tablebody"/>
              <w:jc w:val="left"/>
            </w:pPr>
            <w:r>
              <w:rPr>
                <w:color w:val="0000FF"/>
                <w:sz w:val="16"/>
              </w:rPr>
              <w:t>Reference log-likelihood</w:t>
            </w:r>
          </w:p>
        </w:tc>
        <w:tc>
          <w:tcPr>
            <w:tcW w:w="1250" w:type="dxa"/>
            <w:tcBorders/>
            <w:vAlign w:val="center"/>
          </w:tcPr>
          <w:p>
            <w:pPr>
              <w:pStyle w:val="MDPI42tablebody"/>
              <w:jc w:val="center"/>
            </w:pPr>
            <w:r>
              <w:rPr>
                <w:color w:val="0000FF"/>
                <w:sz w:val="16"/>
              </w:rPr>
              <w:t>40/74</w:t>
            </w:r>
          </w:p>
        </w:tc>
        <w:tc>
          <w:tcPr>
            <w:tcW w:w="1250" w:type="dxa"/>
            <w:tcBorders/>
            <w:vAlign w:val="center"/>
          </w:tcPr>
          <w:p>
            <w:pPr>
              <w:pStyle w:val="MDPI42tablebody"/>
              <w:jc w:val="center"/>
            </w:pPr>
            <w:r>
              <w:rPr>
                <w:color w:val="0000FF"/>
                <w:sz w:val="16"/>
              </w:rPr>
              <w:t>0.64</w:t>
            </w:r>
          </w:p>
        </w:tc>
        <w:tc>
          <w:tcPr>
            <w:tcW w:w="1250" w:type="dxa"/>
            <w:tcBorders/>
            <w:vAlign w:val="center"/>
          </w:tcPr>
          <w:p>
            <w:pPr>
              <w:pStyle w:val="MDPI42tablebody"/>
              <w:jc w:val="center"/>
            </w:pPr>
            <w:r>
              <w:rPr>
                <w:color w:val="0000FF"/>
                <w:sz w:val="16"/>
              </w:rPr>
              <w:t>20/52</w:t>
            </w:r>
          </w:p>
        </w:tc>
        <w:tc>
          <w:tcPr>
            <w:tcW w:w="1250" w:type="dxa"/>
            <w:tcBorders/>
            <w:vAlign w:val="center"/>
          </w:tcPr>
          <w:p>
            <w:pPr>
              <w:pStyle w:val="MDPI42tablebody"/>
              <w:jc w:val="center"/>
            </w:pPr>
            <w:r>
              <w:rPr>
                <w:color w:val="0000FF"/>
                <w:sz w:val="16"/>
              </w:rPr>
              <w:t>0.59</w:t>
            </w:r>
          </w:p>
        </w:tc>
        <w:tc>
          <w:tcPr>
            <w:tcW w:w="1450" w:type="dxa"/>
            <w:tcBorders/>
            <w:vAlign w:val="center"/>
          </w:tcPr>
          <w:p>
            <w:pPr>
              <w:pStyle w:val="MDPI42tablebody"/>
              <w:jc w:val="center"/>
            </w:pPr>
            <w:r>
              <w:rPr>
                <w:color w:val="0000FF"/>
                <w:sz w:val="16"/>
              </w:rPr>
              <w:t>13/22</w:t>
            </w:r>
          </w:p>
        </w:tc>
        <w:tc>
          <w:tcPr>
            <w:tcW w:w="1416" w:type="dxa"/>
            <w:tcBorders/>
            <w:vAlign w:val="center"/>
          </w:tcPr>
          <w:p>
            <w:pPr>
              <w:pStyle w:val="MDPI42tablebody"/>
              <w:jc w:val="center"/>
            </w:pPr>
            <w:r>
              <w:rPr>
                <w:color w:val="0000FF"/>
                <w:sz w:val="16"/>
              </w:rPr>
              <w:t>0.64</w:t>
            </w:r>
          </w:p>
        </w:tc>
      </w:tr>
      <w:tr>
        <w:trPr>
          <w:cantSplit/>
        </w:trPr>
        <w:tc>
          <w:tcPr>
            <w:tcW w:w="2600" w:type="dxa"/>
            <w:tcBorders/>
            <w:vAlign w:val="center"/>
          </w:tcPr>
          <w:p>
            <w:pPr>
              <w:pStyle w:val="MDPI42tablebody"/>
              <w:jc w:val="left"/>
            </w:pPr>
            <w:r>
              <w:rPr>
                <w:color w:val="0000FF"/>
                <w:sz w:val="16"/>
              </w:rPr>
              <w:t>KL(sampling ‖ reference)</w:t>
            </w:r>
          </w:p>
        </w:tc>
        <w:tc>
          <w:tcPr>
            <w:tcW w:w="1250" w:type="dxa"/>
            <w:tcBorders/>
            <w:vAlign w:val="center"/>
          </w:tcPr>
          <w:p>
            <w:pPr>
              <w:pStyle w:val="MDPI42tablebody"/>
              <w:jc w:val="center"/>
            </w:pPr>
            <w:r>
              <w:rPr>
                <w:color w:val="0000FF"/>
                <w:sz w:val="16"/>
              </w:rPr>
              <w:t>27/74</w:t>
            </w:r>
          </w:p>
        </w:tc>
        <w:tc>
          <w:tcPr>
            <w:tcW w:w="1250" w:type="dxa"/>
            <w:tcBorders/>
            <w:vAlign w:val="center"/>
          </w:tcPr>
          <w:p>
            <w:pPr>
              <w:pStyle w:val="MDPI42tablebody"/>
              <w:jc w:val="center"/>
            </w:pPr>
            <w:r>
              <w:rPr>
                <w:color w:val="0000FF"/>
                <w:sz w:val="16"/>
              </w:rPr>
              <w:t>1.00†</w:t>
            </w:r>
          </w:p>
        </w:tc>
        <w:tc>
          <w:tcPr>
            <w:tcW w:w="1250" w:type="dxa"/>
            <w:tcBorders/>
            <w:vAlign w:val="center"/>
          </w:tcPr>
          <w:p>
            <w:pPr>
              <w:pStyle w:val="MDPI42tablebody"/>
              <w:jc w:val="center"/>
            </w:pPr>
            <w:r>
              <w:rPr>
                <w:color w:val="0000FF"/>
                <w:sz w:val="16"/>
              </w:rPr>
              <w:t>3/52</w:t>
            </w:r>
          </w:p>
        </w:tc>
        <w:tc>
          <w:tcPr>
            <w:tcW w:w="1250" w:type="dxa"/>
            <w:tcBorders/>
            <w:vAlign w:val="center"/>
          </w:tcPr>
          <w:p>
            <w:pPr>
              <w:pStyle w:val="MDPI42tablebody"/>
              <w:jc w:val="center"/>
            </w:pPr>
            <w:r>
              <w:rPr>
                <w:color w:val="0000FF"/>
                <w:sz w:val="16"/>
              </w:rPr>
              <w:t>1.00†</w:t>
            </w:r>
          </w:p>
        </w:tc>
        <w:tc>
          <w:tcPr>
            <w:tcW w:w="1450" w:type="dxa"/>
            <w:tcBorders/>
            <w:vAlign w:val="center"/>
          </w:tcPr>
          <w:p>
            <w:pPr>
              <w:pStyle w:val="MDPI42tablebody"/>
              <w:jc w:val="center"/>
            </w:pPr>
            <w:r>
              <w:rPr>
                <w:color w:val="0000FF"/>
                <w:sz w:val="16"/>
              </w:rPr>
              <w:t>9/22</w:t>
            </w:r>
          </w:p>
        </w:tc>
        <w:tc>
          <w:tcPr>
            <w:tcW w:w="1416" w:type="dxa"/>
            <w:tcBorders/>
            <w:vAlign w:val="center"/>
          </w:tcPr>
          <w:p>
            <w:pPr>
              <w:pStyle w:val="MDPI42tablebody"/>
              <w:jc w:val="center"/>
            </w:pPr>
            <w:r>
              <w:rPr>
                <w:color w:val="0000FF"/>
                <w:sz w:val="16"/>
              </w:rPr>
              <w:t>1.00†</w:t>
            </w:r>
          </w:p>
        </w:tc>
      </w:tr>
      <w:tr>
        <w:trPr>
          <w:cantSplit/>
        </w:trPr>
        <w:tc>
          <w:tcPr>
            <w:tcW w:w="2600" w:type="dxa"/>
            <w:tcBorders/>
            <w:vAlign w:val="center"/>
          </w:tcPr>
          <w:p>
            <w:pPr>
              <w:pStyle w:val="MDPI42tablebody"/>
              <w:jc w:val="left"/>
            </w:pPr>
            <w:r>
              <w:rPr>
                <w:i/>
                <w:color w:val="0000FF"/>
                <w:sz w:val="16"/>
              </w:rPr>
              <w:t>T</w:t>
            </w:r>
            <w:r>
              <w:rPr>
                <w:color w:val="0000FF"/>
                <w:sz w:val="16"/>
              </w:rPr>
              <w:t>eff</w:t>
            </w:r>
            <w:r>
              <w:rPr>
                <w:color w:val="0000FF"/>
                <w:sz w:val="16"/>
              </w:rPr>
              <w:t xml:space="preserve"> (sample-based)</w:t>
            </w:r>
          </w:p>
        </w:tc>
        <w:tc>
          <w:tcPr>
            <w:tcW w:w="1250" w:type="dxa"/>
            <w:tcBorders/>
            <w:vAlign w:val="center"/>
          </w:tcPr>
          <w:p>
            <w:pPr>
              <w:pStyle w:val="MDPI42tablebody"/>
              <w:jc w:val="center"/>
            </w:pPr>
            <w:r>
              <w:rPr>
                <w:color w:val="0000FF"/>
                <w:sz w:val="16"/>
              </w:rPr>
              <w:t>17/74</w:t>
            </w:r>
          </w:p>
        </w:tc>
        <w:tc>
          <w:tcPr>
            <w:tcW w:w="1250" w:type="dxa"/>
            <w:tcBorders/>
            <w:vAlign w:val="center"/>
          </w:tcPr>
          <w:p>
            <w:pPr>
              <w:pStyle w:val="MDPI42tablebody"/>
              <w:jc w:val="center"/>
            </w:pPr>
            <w:r>
              <w:rPr>
                <w:color w:val="0000FF"/>
                <w:sz w:val="16"/>
              </w:rPr>
              <w:t>0.64</w:t>
            </w:r>
          </w:p>
        </w:tc>
        <w:tc>
          <w:tcPr>
            <w:tcW w:w="1250" w:type="dxa"/>
            <w:tcBorders/>
            <w:vAlign w:val="center"/>
          </w:tcPr>
          <w:p>
            <w:pPr>
              <w:pStyle w:val="MDPI42tablebody"/>
              <w:jc w:val="center"/>
            </w:pPr>
            <w:r>
              <w:rPr>
                <w:color w:val="0000FF"/>
                <w:sz w:val="16"/>
              </w:rPr>
              <w:t>2/52</w:t>
            </w:r>
          </w:p>
        </w:tc>
        <w:tc>
          <w:tcPr>
            <w:tcW w:w="1250" w:type="dxa"/>
            <w:tcBorders/>
            <w:vAlign w:val="center"/>
          </w:tcPr>
          <w:p>
            <w:pPr>
              <w:pStyle w:val="MDPI42tablebody"/>
              <w:jc w:val="center"/>
            </w:pPr>
            <w:r>
              <w:rPr>
                <w:color w:val="0000FF"/>
                <w:sz w:val="16"/>
              </w:rPr>
              <w:t>0.60</w:t>
            </w:r>
          </w:p>
        </w:tc>
        <w:tc>
          <w:tcPr>
            <w:tcW w:w="1450" w:type="dxa"/>
            <w:tcBorders/>
            <w:vAlign w:val="center"/>
          </w:tcPr>
          <w:p>
            <w:pPr>
              <w:pStyle w:val="MDPI42tablebody"/>
              <w:jc w:val="center"/>
            </w:pPr>
            <w:r>
              <w:rPr>
                <w:color w:val="0000FF"/>
                <w:sz w:val="16"/>
              </w:rPr>
              <w:t>5/22</w:t>
            </w:r>
          </w:p>
        </w:tc>
        <w:tc>
          <w:tcPr>
            <w:tcW w:w="1416" w:type="dxa"/>
            <w:tcBorders/>
            <w:vAlign w:val="center"/>
          </w:tcPr>
          <w:p>
            <w:pPr>
              <w:pStyle w:val="MDPI42tablebody"/>
              <w:jc w:val="center"/>
            </w:pPr>
            <w:r>
              <w:rPr>
                <w:color w:val="0000FF"/>
                <w:sz w:val="16"/>
              </w:rPr>
              <w:t>0.65</w:t>
            </w:r>
          </w:p>
        </w:tc>
      </w:tr>
      <w:tr>
        <w:trPr>
          <w:cantSplit/>
        </w:trPr>
        <w:tc>
          <w:tcPr>
            <w:tcW w:w="2600" w:type="dxa"/>
            <w:tcBorders/>
            <w:vAlign w:val="center"/>
          </w:tcPr>
          <w:p>
            <w:pPr>
              <w:pStyle w:val="MDPI42tablebody"/>
              <w:jc w:val="left"/>
            </w:pPr>
            <w:r>
              <w:rPr>
                <w:i/>
                <w:color w:val="0000FF"/>
                <w:sz w:val="16"/>
              </w:rPr>
              <w:t>T</w:t>
            </w:r>
            <w:r>
              <w:rPr>
                <w:color w:val="0000FF"/>
                <w:sz w:val="16"/>
              </w:rPr>
              <w:t>eff</w:t>
            </w:r>
            <w:r>
              <w:rPr>
                <w:color w:val="0000FF"/>
                <w:sz w:val="16"/>
                <w:vertAlign w:val="superscript"/>
              </w:rPr>
              <w:t>dist</w:t>
            </w:r>
            <w:r>
              <w:rPr>
                <w:color w:val="0000FF"/>
                <w:sz w:val="16"/>
              </w:rPr>
              <w:t xml:space="preserve"> (distributional)</w:t>
            </w:r>
          </w:p>
        </w:tc>
        <w:tc>
          <w:tcPr>
            <w:tcW w:w="1250" w:type="dxa"/>
            <w:tcBorders/>
            <w:vAlign w:val="center"/>
          </w:tcPr>
          <w:p>
            <w:pPr>
              <w:pStyle w:val="MDPI42tablebody"/>
              <w:jc w:val="center"/>
            </w:pPr>
            <w:r>
              <w:rPr>
                <w:color w:val="0000FF"/>
                <w:sz w:val="16"/>
              </w:rPr>
              <w:t>12/74</w:t>
            </w:r>
          </w:p>
        </w:tc>
        <w:tc>
          <w:tcPr>
            <w:tcW w:w="1250" w:type="dxa"/>
            <w:tcBorders/>
            <w:vAlign w:val="center"/>
          </w:tcPr>
          <w:p>
            <w:pPr>
              <w:pStyle w:val="MDPI42tablebody"/>
              <w:jc w:val="center"/>
            </w:pPr>
            <w:r>
              <w:rPr>
                <w:color w:val="0000FF"/>
                <w:sz w:val="16"/>
              </w:rPr>
              <w:t>0.91†</w:t>
            </w:r>
          </w:p>
        </w:tc>
        <w:tc>
          <w:tcPr>
            <w:tcW w:w="1250" w:type="dxa"/>
            <w:tcBorders/>
            <w:vAlign w:val="center"/>
          </w:tcPr>
          <w:p>
            <w:pPr>
              <w:pStyle w:val="MDPI42tablebody"/>
              <w:jc w:val="center"/>
            </w:pPr>
            <w:r>
              <w:rPr>
                <w:color w:val="0000FF"/>
                <w:sz w:val="16"/>
              </w:rPr>
              <w:t>1/52</w:t>
            </w:r>
          </w:p>
        </w:tc>
        <w:tc>
          <w:tcPr>
            <w:tcW w:w="1250" w:type="dxa"/>
            <w:tcBorders/>
            <w:vAlign w:val="center"/>
          </w:tcPr>
          <w:p>
            <w:pPr>
              <w:pStyle w:val="MDPI42tablebody"/>
              <w:jc w:val="center"/>
            </w:pPr>
            <w:r>
              <w:rPr>
                <w:color w:val="0000FF"/>
                <w:sz w:val="16"/>
              </w:rPr>
              <w:t>0.88†</w:t>
            </w:r>
          </w:p>
        </w:tc>
        <w:tc>
          <w:tcPr>
            <w:tcW w:w="1450" w:type="dxa"/>
            <w:tcBorders/>
            <w:vAlign w:val="center"/>
          </w:tcPr>
          <w:p>
            <w:pPr>
              <w:pStyle w:val="MDPI42tablebody"/>
              <w:jc w:val="center"/>
            </w:pPr>
            <w:r>
              <w:rPr>
                <w:color w:val="0000FF"/>
                <w:sz w:val="16"/>
              </w:rPr>
              <w:t>4/22</w:t>
            </w:r>
          </w:p>
        </w:tc>
        <w:tc>
          <w:tcPr>
            <w:tcW w:w="1416" w:type="dxa"/>
            <w:tcBorders/>
            <w:vAlign w:val="center"/>
          </w:tcPr>
          <w:p>
            <w:pPr>
              <w:pStyle w:val="MDPI42tablebody"/>
              <w:jc w:val="center"/>
            </w:pPr>
            <w:r>
              <w:rPr>
                <w:color w:val="0000FF"/>
                <w:sz w:val="16"/>
              </w:rPr>
              <w:t>0.91†</w:t>
            </w:r>
          </w:p>
        </w:tc>
      </w:tr>
      <w:tr>
        <w:trPr>
          <w:cantSplit/>
        </w:trPr>
        <w:tc>
          <w:tcPr>
            <w:tcW w:w="2600" w:type="dxa"/>
            <w:tcBorders>
              <w:bottom w:val="single" w:sz="8" w:space="0" w:color="000000"/>
            </w:tcBorders>
            <w:vAlign w:val="center"/>
          </w:tcPr>
          <w:p>
            <w:pPr>
              <w:pStyle w:val="MDPI42tablebody"/>
              <w:jc w:val="left"/>
            </w:pPr>
            <w:r>
              <w:rPr>
                <w:color w:val="0000FF"/>
                <w:sz w:val="16"/>
              </w:rPr>
              <w:t>Residual divergence κ</w:t>
            </w:r>
          </w:p>
        </w:tc>
        <w:tc>
          <w:tcPr>
            <w:tcW w:w="1250" w:type="dxa"/>
            <w:tcBorders>
              <w:bottom w:val="single" w:sz="8" w:space="0" w:color="000000"/>
            </w:tcBorders>
            <w:vAlign w:val="center"/>
          </w:tcPr>
          <w:p>
            <w:pPr>
              <w:pStyle w:val="MDPI42tablebody"/>
              <w:jc w:val="center"/>
            </w:pPr>
            <w:r>
              <w:rPr>
                <w:color w:val="0000FF"/>
                <w:sz w:val="16"/>
              </w:rPr>
              <w:t>18/74</w:t>
            </w:r>
          </w:p>
        </w:tc>
        <w:tc>
          <w:tcPr>
            <w:tcW w:w="1250" w:type="dxa"/>
            <w:tcBorders>
              <w:bottom w:val="single" w:sz="8" w:space="0" w:color="000000"/>
            </w:tcBorders>
            <w:vAlign w:val="center"/>
          </w:tcPr>
          <w:p>
            <w:pPr>
              <w:pStyle w:val="MDPI42tablebody"/>
              <w:jc w:val="center"/>
            </w:pPr>
            <w:r>
              <w:rPr>
                <w:color w:val="0000FF"/>
                <w:sz w:val="16"/>
              </w:rPr>
              <w:t>–</w:t>
            </w:r>
          </w:p>
        </w:tc>
        <w:tc>
          <w:tcPr>
            <w:tcW w:w="1250" w:type="dxa"/>
            <w:tcBorders>
              <w:bottom w:val="single" w:sz="8" w:space="0" w:color="000000"/>
            </w:tcBorders>
            <w:vAlign w:val="center"/>
          </w:tcPr>
          <w:p>
            <w:pPr>
              <w:pStyle w:val="MDPI42tablebody"/>
              <w:jc w:val="center"/>
            </w:pPr>
            <w:r>
              <w:rPr>
                <w:color w:val="0000FF"/>
                <w:sz w:val="16"/>
              </w:rPr>
              <w:t>0/52</w:t>
            </w:r>
          </w:p>
        </w:tc>
        <w:tc>
          <w:tcPr>
            <w:tcW w:w="1250" w:type="dxa"/>
            <w:tcBorders>
              <w:bottom w:val="single" w:sz="8" w:space="0" w:color="000000"/>
            </w:tcBorders>
            <w:vAlign w:val="center"/>
          </w:tcPr>
          <w:p>
            <w:pPr>
              <w:pStyle w:val="MDPI42tablebody"/>
              <w:jc w:val="center"/>
            </w:pPr>
            <w:r>
              <w:rPr>
                <w:color w:val="0000FF"/>
                <w:sz w:val="16"/>
              </w:rPr>
              <w:t>–</w:t>
            </w:r>
          </w:p>
        </w:tc>
        <w:tc>
          <w:tcPr>
            <w:tcW w:w="1450" w:type="dxa"/>
            <w:tcBorders>
              <w:bottom w:val="single" w:sz="8" w:space="0" w:color="000000"/>
            </w:tcBorders>
            <w:vAlign w:val="center"/>
          </w:tcPr>
          <w:p>
            <w:pPr>
              <w:pStyle w:val="MDPI42tablebody"/>
              <w:jc w:val="center"/>
            </w:pPr>
            <w:r>
              <w:rPr>
                <w:color w:val="0000FF"/>
                <w:sz w:val="16"/>
              </w:rPr>
              <w:t>5/22</w:t>
            </w:r>
          </w:p>
        </w:tc>
        <w:tc>
          <w:tcPr>
            <w:tcW w:w="1416" w:type="dxa"/>
            <w:tcBorders>
              <w:bottom w:val="single" w:sz="8" w:space="0" w:color="000000"/>
            </w:tcBorders>
            <w:vAlign w:val="center"/>
          </w:tcPr>
          <w:p>
            <w:pPr>
              <w:pStyle w:val="MDPI42tablebody"/>
              <w:jc w:val="center"/>
            </w:pPr>
            <w:r>
              <w:rPr>
                <w:color w:val="0000FF"/>
                <w:sz w:val="16"/>
              </w:rPr>
              <w:t>–</w:t>
            </w:r>
          </w:p>
        </w:tc>
      </w:tr>
    </w:tbl>
    <w:p>
      <w:pPr>
        <w:pStyle w:val="MDPI43tablefooter"/>
      </w:pPr>
      <w:r>
        <w:rPr>
          <w:color w:val="0000FF"/>
        </w:rPr>
        <w:t xml:space="preserve">† Inflated by construction: the reference equals the sampling distribution in a clean cell (see text). Margins: 0.10 nats for the reference log-likelihood, KL and κ, and 0.50 for </w:t>
      </w:r>
      <w:r>
        <w:rPr>
          <w:i/>
          <w:color w:val="0000FF"/>
        </w:rPr>
        <w:t>T</w:t>
      </w:r>
      <w:r>
        <w:rPr>
          <w:color w:val="0000FF"/>
        </w:rPr>
        <w:t>eff</w:t>
      </w:r>
      <w:r>
        <w:rPr>
          <w:color w:val="0000FF"/>
        </w:rPr>
        <w:t xml:space="preserve"> and </w:t>
      </w:r>
      <w:r>
        <w:rPr>
          <w:i/>
          <w:color w:val="0000FF"/>
        </w:rPr>
        <w:t>T</w:t>
      </w:r>
      <w:r>
        <w:rPr>
          <w:color w:val="0000FF"/>
        </w:rPr>
        <w:t>eff</w:t>
      </w:r>
      <w:r>
        <w:rPr>
          <w:color w:val="0000FF"/>
          <w:vertAlign w:val="superscript"/>
        </w:rPr>
        <w:t>dist</w:t>
      </w:r>
      <w:r>
        <w:rPr>
          <w:color w:val="0000FF"/>
        </w:rPr>
        <w:t>; other margins as in Section 4.6.</w:t>
      </w:r>
    </w:p>
    <w:p>
      <w:pPr>
        <w:pStyle w:val="MDPI31text"/>
      </w:pPr>
      <w:r>
        <w:rPr>
          <w:color w:val="0000FF"/>
        </w:rPr>
        <w:t>The decomposition of Section 3.3 shows why. In the pressured cells with a non-negligible divergence (KL of at least 0.05 nats), the best rescaling of the reference removed on average only 26% of the divergence between the sampling distribution and the reference. The remainder is a change in the ordering of the candidates, which no temperature can represent. A temperature fit is useful for stating what share of a context effect is a change of scale, but as a detector it is dominated by the quantities it is computed from.</w:t>
      </w:r>
    </w:p>
    <w:p>
      <w:pPr>
        <w:pStyle w:val="MDPI22heading2"/>
      </w:pPr>
      <w:r>
        <w:rPr>
          <w:color w:val="0000FF"/>
        </w:rPr>
        <w:t>5.10. Reference Construction, Saturation Threshold and Uncertainty of the Estimate</w:t>
      </w:r>
    </w:p>
    <w:p>
      <w:pPr>
        <w:pStyle w:val="MDPI31text"/>
      </w:pPr>
      <w:r>
        <w:rPr>
          <w:b/>
          <w:color w:val="0000FF"/>
        </w:rPr>
        <w:t>Reference construction.</w:t>
      </w:r>
      <w:r>
        <w:rPr>
          <w:color w:val="0000FF"/>
        </w:rPr>
        <w:t xml:space="preserve"> The first question is whether the failure of Table 9 is a property of the estimator or of the same-history reference. We took the 25 clean-prompt cells at </w:t>
      </w:r>
      <w:r>
        <w:rPr>
          <w:i/>
          <w:color w:val="0000FF"/>
        </w:rPr>
        <w:t>T</w:t>
      </w:r>
      <w:r>
        <w:rPr>
          <w:color w:val="0000FF"/>
        </w:rPr>
        <w:t xml:space="preserve"> = 0.15 in which at least 90% of the steps repeated the planted item (sticky and strong attractors, four models, four tasks) and computed the three references of Section 3.3 on them (Table 14). With the same-history reference, 3 of 25 cells were identified, and the mean reference probability of the chosen items was above 0.999 in the others: the reference had been captured by the repeated history, as in Table 9. With the gold-repaired history 25 of 25 cells were identified and with the de-duplicated history 25 of 25. In these cells the repaired references gave the chosen item a log-probability at the nominal temperature of the order of -93 nats per step (median; the same value for the de-duplicated reference, see below), against about 0.00 for the same-history reference, so a locked agent that every self-based indicator reported as healthy is conspicuous under a repaired reference. The signal is carried by the reference log-likelihood. The fitted temperature is meaningless at such a misfit, because the chosen item is far below the reference's top choice at every temperature, and its value sits at an arbitrary place on the grid. The de-duplicated reference needs no labels, only a detector of repetition. When the history is a planted item repeated, it coincides exactly with the gold-repaired reference, so the two cannot be told apart here. Two cautions apply. The repaired references measure how far the agent is from what the model would do given a healthy history, so they register the capture by the history, whatever the prompt says, and a clean prompt gets the same huge value as a pressure prompt; this is a different construct from </w:t>
      </w:r>
      <w:r>
        <w:rPr>
          <w:i/>
          <w:color w:val="0000FF"/>
        </w:rPr>
        <w:t>T</w:t>
      </w:r>
      <w:r>
        <w:rPr>
          <w:color w:val="0000FF"/>
        </w:rPr>
        <w:t>eff</w:t>
      </w:r>
      <w:r>
        <w:rPr>
          <w:color w:val="0000FF"/>
        </w:rPr>
        <w:t xml:space="preserve"> as defined in Section 3.2. And de-duplication helps only against repetition. A position-blind reference (first item only) always predicted the planted item and was discarded.</w:t>
      </w:r>
    </w:p>
    <w:p>
      <w:pPr>
        <w:pStyle w:val="MDPI41tablecaption"/>
      </w:pPr>
      <w:r>
        <w:rPr>
          <w:b/>
          <w:color w:val="0000FF"/>
        </w:rPr>
        <w:t xml:space="preserve">Table 14. </w:t>
      </w:r>
      <w:r>
        <w:rPr>
          <w:color w:val="0000FF"/>
        </w:rPr>
        <w:t xml:space="preserve"> Reference constructions on locked cells (25 clean-prompt cells at </w:t>
      </w:r>
      <w:r>
        <w:rPr>
          <w:i/>
          <w:color w:val="0000FF"/>
        </w:rPr>
        <w:t>T</w:t>
      </w:r>
      <w:r>
        <w:rPr>
          <w:color w:val="0000FF"/>
        </w:rPr>
        <w:t xml:space="preserve"> = 0.15 with lock-in of at least 0.90, four models) and on the matched clean-versus-distorted comparisons (P0, C0, P0+C0; </w:t>
      </w:r>
      <w:r>
        <w:rPr>
          <w:i/>
          <w:color w:val="0000FF"/>
        </w:rPr>
        <w:t>T</w:t>
      </w:r>
      <w:r>
        <w:rPr>
          <w:color w:val="0000FF"/>
        </w:rPr>
        <w:t xml:space="preserve"> = 0.8, 2.0).</w:t>
      </w:r>
    </w:p>
    <w:tbl>
      <w:tblPr>
        <w:tblW w:w="10466" w:type="dxa"/>
        <w:tblInd w:w="0" w:type="dxa"/>
        <w:tblLayout w:type="fixed"/>
      </w:tblPr>
      <w:tblGrid>
        <w:gridCol w:w="1700"/>
        <w:gridCol w:w="1200"/>
        <w:gridCol w:w="1150"/>
        <w:gridCol w:w="1350"/>
        <w:gridCol w:w="1450"/>
        <w:gridCol w:w="1250"/>
        <w:gridCol w:w="1250"/>
        <w:gridCol w:w="1116"/>
      </w:tblGrid>
      <w:tr>
        <w:trPr>
          <w:cantSplit/>
          <w:tblHeader/>
        </w:trPr>
        <w:tc>
          <w:tcPr>
            <w:tcW w:w="1700" w:type="dxa"/>
            <w:tcBorders>
              <w:top w:val="single" w:sz="8" w:space="0" w:color="000000"/>
              <w:bottom w:val="single" w:sz="4" w:space="0" w:color="000000"/>
            </w:tcBorders>
            <w:vAlign w:val="center"/>
          </w:tcPr>
          <w:p>
            <w:pPr>
              <w:pStyle w:val="MDPI42tablebody"/>
              <w:jc w:val="left"/>
            </w:pPr>
            <w:r>
              <w:rPr>
                <w:b/>
                <w:color w:val="0000FF"/>
                <w:sz w:val="15"/>
              </w:rPr>
              <w:t>Reference</w:t>
            </w:r>
          </w:p>
        </w:tc>
        <w:tc>
          <w:tcPr>
            <w:tcW w:w="1200" w:type="dxa"/>
            <w:tcBorders>
              <w:top w:val="single" w:sz="8" w:space="0" w:color="000000"/>
              <w:bottom w:val="single" w:sz="4" w:space="0" w:color="000000"/>
            </w:tcBorders>
            <w:vAlign w:val="center"/>
          </w:tcPr>
          <w:p>
            <w:pPr>
              <w:pStyle w:val="MDPI42tablebody"/>
              <w:jc w:val="center"/>
            </w:pPr>
            <w:r>
              <w:rPr>
                <w:b/>
                <w:color w:val="0000FF"/>
                <w:sz w:val="15"/>
              </w:rPr>
              <w:t>Needs labels</w:t>
            </w:r>
          </w:p>
        </w:tc>
        <w:tc>
          <w:tcPr>
            <w:tcW w:w="1150" w:type="dxa"/>
            <w:tcBorders>
              <w:top w:val="single" w:sz="8" w:space="0" w:color="000000"/>
              <w:bottom w:val="single" w:sz="4" w:space="0" w:color="000000"/>
            </w:tcBorders>
            <w:vAlign w:val="center"/>
          </w:tcPr>
          <w:p>
            <w:pPr>
              <w:pStyle w:val="MDPI42tablebody"/>
              <w:jc w:val="center"/>
            </w:pPr>
            <w:r>
              <w:rPr>
                <w:b/>
                <w:color w:val="0000FF"/>
                <w:sz w:val="15"/>
              </w:rPr>
              <w:t>Identified, locked cells</w:t>
            </w:r>
          </w:p>
        </w:tc>
        <w:tc>
          <w:tcPr>
            <w:tcW w:w="1350" w:type="dxa"/>
            <w:tcBorders>
              <w:top w:val="single" w:sz="8" w:space="0" w:color="000000"/>
              <w:bottom w:val="single" w:sz="4" w:space="0" w:color="000000"/>
            </w:tcBorders>
            <w:vAlign w:val="center"/>
          </w:tcPr>
          <w:p>
            <w:pPr>
              <w:pStyle w:val="MDPI42tablebody"/>
              <w:jc w:val="center"/>
            </w:pPr>
            <w:r>
              <w:rPr>
                <w:b/>
                <w:color w:val="0000FF"/>
                <w:sz w:val="15"/>
              </w:rPr>
              <w:t>Median NLL per step, locked cells</w:t>
            </w:r>
          </w:p>
        </w:tc>
        <w:tc>
          <w:tcPr>
            <w:tcW w:w="1450" w:type="dxa"/>
            <w:tcBorders>
              <w:top w:val="single" w:sz="8" w:space="0" w:color="000000"/>
              <w:bottom w:val="single" w:sz="4" w:space="0" w:color="000000"/>
            </w:tcBorders>
            <w:vAlign w:val="center"/>
          </w:tcPr>
          <w:p>
            <w:pPr>
              <w:pStyle w:val="MDPI42tablebody"/>
              <w:jc w:val="center"/>
            </w:pPr>
            <w:r>
              <w:rPr>
                <w:b/>
                <w:color w:val="0000FF"/>
                <w:sz w:val="15"/>
              </w:rPr>
              <w:t>Chosen = reference top item, locked cells</w:t>
            </w:r>
          </w:p>
        </w:tc>
        <w:tc>
          <w:tcPr>
            <w:tcW w:w="1250" w:type="dxa"/>
            <w:tcBorders>
              <w:top w:val="single" w:sz="8" w:space="0" w:color="000000"/>
              <w:bottom w:val="single" w:sz="4" w:space="0" w:color="000000"/>
            </w:tcBorders>
            <w:vAlign w:val="center"/>
          </w:tcPr>
          <w:p>
            <w:pPr>
              <w:pStyle w:val="MDPI42tablebody"/>
              <w:jc w:val="center"/>
            </w:pPr>
            <w:r>
              <w:rPr>
                <w:b/>
                <w:color w:val="0000FF"/>
                <w:sz w:val="15"/>
              </w:rPr>
              <w:t>AUC of NLL, clean vs distorted</w:t>
            </w:r>
          </w:p>
        </w:tc>
        <w:tc>
          <w:tcPr>
            <w:tcW w:w="1250" w:type="dxa"/>
            <w:tcBorders>
              <w:top w:val="single" w:sz="8" w:space="0" w:color="000000"/>
              <w:bottom w:val="single" w:sz="4" w:space="0" w:color="000000"/>
            </w:tcBorders>
            <w:vAlign w:val="center"/>
          </w:tcPr>
          <w:p>
            <w:pPr>
              <w:pStyle w:val="MDPI42tablebody"/>
              <w:jc w:val="center"/>
            </w:pPr>
            <w:r>
              <w:rPr>
                <w:b/>
                <w:color w:val="0000FF"/>
                <w:sz w:val="15"/>
              </w:rPr>
              <w:t xml:space="preserve">AUC of </w:t>
            </w:r>
            <w:r>
              <w:rPr>
                <w:b/>
                <w:i/>
                <w:color w:val="0000FF"/>
                <w:sz w:val="15"/>
              </w:rPr>
              <w:t>T</w:t>
            </w:r>
            <w:r>
              <w:rPr>
                <w:b/>
                <w:color w:val="0000FF"/>
                <w:sz w:val="15"/>
              </w:rPr>
              <w:t>eff</w:t>
            </w:r>
            <w:r>
              <w:rPr>
                <w:b/>
                <w:color w:val="0000FF"/>
                <w:sz w:val="15"/>
              </w:rPr>
              <w:t>, clean vs distorted</w:t>
            </w:r>
          </w:p>
        </w:tc>
        <w:tc>
          <w:tcPr>
            <w:tcW w:w="1116" w:type="dxa"/>
            <w:tcBorders>
              <w:top w:val="single" w:sz="8" w:space="0" w:color="000000"/>
              <w:bottom w:val="single" w:sz="4" w:space="0" w:color="000000"/>
            </w:tcBorders>
            <w:vAlign w:val="center"/>
          </w:tcPr>
          <w:p>
            <w:pPr>
              <w:pStyle w:val="MDPI42tablebody"/>
              <w:jc w:val="center"/>
            </w:pPr>
            <w:r>
              <w:rPr>
                <w:b/>
                <w:color w:val="0000FF"/>
                <w:sz w:val="15"/>
              </w:rPr>
              <w:t>Identified, all cells</w:t>
            </w:r>
          </w:p>
        </w:tc>
      </w:tr>
      <w:tr>
        <w:trPr>
          <w:cantSplit/>
        </w:trPr>
        <w:tc>
          <w:tcPr>
            <w:tcW w:w="1700" w:type="dxa"/>
            <w:tcBorders/>
            <w:vAlign w:val="center"/>
          </w:tcPr>
          <w:p>
            <w:pPr>
              <w:pStyle w:val="MDPI42tablebody"/>
              <w:jc w:val="left"/>
            </w:pPr>
            <w:r>
              <w:rPr>
                <w:color w:val="0000FF"/>
                <w:sz w:val="15"/>
              </w:rPr>
              <w:t>Same history (main text)</w:t>
            </w:r>
          </w:p>
        </w:tc>
        <w:tc>
          <w:tcPr>
            <w:tcW w:w="1200" w:type="dxa"/>
            <w:tcBorders/>
            <w:vAlign w:val="center"/>
          </w:tcPr>
          <w:p>
            <w:pPr>
              <w:pStyle w:val="MDPI42tablebody"/>
              <w:jc w:val="center"/>
            </w:pPr>
            <w:r>
              <w:rPr>
                <w:color w:val="0000FF"/>
                <w:sz w:val="15"/>
              </w:rPr>
              <w:t>no</w:t>
            </w:r>
          </w:p>
        </w:tc>
        <w:tc>
          <w:tcPr>
            <w:tcW w:w="1150" w:type="dxa"/>
            <w:tcBorders/>
            <w:vAlign w:val="center"/>
          </w:tcPr>
          <w:p>
            <w:pPr>
              <w:pStyle w:val="MDPI42tablebody"/>
              <w:jc w:val="center"/>
            </w:pPr>
            <w:r>
              <w:rPr>
                <w:color w:val="0000FF"/>
                <w:sz w:val="15"/>
              </w:rPr>
              <w:t>3/25</w:t>
            </w:r>
          </w:p>
        </w:tc>
        <w:tc>
          <w:tcPr>
            <w:tcW w:w="1350" w:type="dxa"/>
            <w:tcBorders/>
            <w:vAlign w:val="center"/>
          </w:tcPr>
          <w:p>
            <w:pPr>
              <w:pStyle w:val="MDPI42tablebody"/>
              <w:jc w:val="center"/>
            </w:pPr>
            <w:r>
              <w:rPr>
                <w:color w:val="0000FF"/>
                <w:sz w:val="15"/>
              </w:rPr>
              <w:t>0.00</w:t>
            </w:r>
          </w:p>
        </w:tc>
        <w:tc>
          <w:tcPr>
            <w:tcW w:w="1450" w:type="dxa"/>
            <w:tcBorders/>
            <w:vAlign w:val="center"/>
          </w:tcPr>
          <w:p>
            <w:pPr>
              <w:pStyle w:val="MDPI42tablebody"/>
              <w:jc w:val="center"/>
            </w:pPr>
            <w:r>
              <w:rPr>
                <w:color w:val="0000FF"/>
                <w:sz w:val="15"/>
              </w:rPr>
              <w:t>1.00</w:t>
            </w:r>
          </w:p>
        </w:tc>
        <w:tc>
          <w:tcPr>
            <w:tcW w:w="1250" w:type="dxa"/>
            <w:tcBorders/>
            <w:vAlign w:val="center"/>
          </w:tcPr>
          <w:p>
            <w:pPr>
              <w:pStyle w:val="MDPI42tablebody"/>
              <w:jc w:val="center"/>
            </w:pPr>
            <w:r>
              <w:rPr>
                <w:color w:val="0000FF"/>
                <w:sz w:val="15"/>
              </w:rPr>
              <w:t>0.62</w:t>
            </w:r>
          </w:p>
        </w:tc>
        <w:tc>
          <w:tcPr>
            <w:tcW w:w="1250" w:type="dxa"/>
            <w:tcBorders/>
            <w:vAlign w:val="center"/>
          </w:tcPr>
          <w:p>
            <w:pPr>
              <w:pStyle w:val="MDPI42tablebody"/>
              <w:jc w:val="center"/>
            </w:pPr>
            <w:r>
              <w:rPr>
                <w:color w:val="0000FF"/>
                <w:sz w:val="15"/>
              </w:rPr>
              <w:t>0.62</w:t>
            </w:r>
          </w:p>
        </w:tc>
        <w:tc>
          <w:tcPr>
            <w:tcW w:w="1116" w:type="dxa"/>
            <w:tcBorders/>
            <w:vAlign w:val="center"/>
          </w:tcPr>
          <w:p>
            <w:pPr>
              <w:pStyle w:val="MDPI42tablebody"/>
              <w:jc w:val="center"/>
            </w:pPr>
            <w:r>
              <w:rPr>
                <w:color w:val="0000FF"/>
                <w:sz w:val="15"/>
              </w:rPr>
              <w:t>160/208</w:t>
            </w:r>
          </w:p>
        </w:tc>
      </w:tr>
      <w:tr>
        <w:trPr>
          <w:cantSplit/>
        </w:trPr>
        <w:tc>
          <w:tcPr>
            <w:tcW w:w="1700" w:type="dxa"/>
            <w:tcBorders/>
            <w:vAlign w:val="center"/>
          </w:tcPr>
          <w:p>
            <w:pPr>
              <w:pStyle w:val="MDPI42tablebody"/>
              <w:jc w:val="left"/>
            </w:pPr>
            <w:r>
              <w:rPr>
                <w:color w:val="0000FF"/>
                <w:sz w:val="15"/>
              </w:rPr>
              <w:t>Gold-repaired history</w:t>
            </w:r>
          </w:p>
        </w:tc>
        <w:tc>
          <w:tcPr>
            <w:tcW w:w="1200" w:type="dxa"/>
            <w:tcBorders/>
            <w:vAlign w:val="center"/>
          </w:tcPr>
          <w:p>
            <w:pPr>
              <w:pStyle w:val="MDPI42tablebody"/>
              <w:jc w:val="center"/>
            </w:pPr>
            <w:r>
              <w:rPr>
                <w:color w:val="0000FF"/>
                <w:sz w:val="15"/>
              </w:rPr>
              <w:t>yes (task order)</w:t>
            </w:r>
          </w:p>
        </w:tc>
        <w:tc>
          <w:tcPr>
            <w:tcW w:w="1150" w:type="dxa"/>
            <w:tcBorders/>
            <w:vAlign w:val="center"/>
          </w:tcPr>
          <w:p>
            <w:pPr>
              <w:pStyle w:val="MDPI42tablebody"/>
              <w:jc w:val="center"/>
            </w:pPr>
            <w:r>
              <w:rPr>
                <w:color w:val="0000FF"/>
                <w:sz w:val="15"/>
              </w:rPr>
              <w:t>25/25</w:t>
            </w:r>
          </w:p>
        </w:tc>
        <w:tc>
          <w:tcPr>
            <w:tcW w:w="1350" w:type="dxa"/>
            <w:tcBorders/>
            <w:vAlign w:val="center"/>
          </w:tcPr>
          <w:p>
            <w:pPr>
              <w:pStyle w:val="MDPI42tablebody"/>
              <w:jc w:val="center"/>
            </w:pPr>
            <w:r>
              <w:rPr>
                <w:color w:val="0000FF"/>
                <w:sz w:val="15"/>
              </w:rPr>
              <w:t>93.26</w:t>
            </w:r>
          </w:p>
        </w:tc>
        <w:tc>
          <w:tcPr>
            <w:tcW w:w="1450" w:type="dxa"/>
            <w:tcBorders/>
            <w:vAlign w:val="center"/>
          </w:tcPr>
          <w:p>
            <w:pPr>
              <w:pStyle w:val="MDPI42tablebody"/>
              <w:jc w:val="center"/>
            </w:pPr>
            <w:r>
              <w:rPr>
                <w:color w:val="0000FF"/>
                <w:sz w:val="15"/>
              </w:rPr>
              <w:t>0.00</w:t>
            </w:r>
          </w:p>
        </w:tc>
        <w:tc>
          <w:tcPr>
            <w:tcW w:w="1250" w:type="dxa"/>
            <w:tcBorders/>
            <w:vAlign w:val="center"/>
          </w:tcPr>
          <w:p>
            <w:pPr>
              <w:pStyle w:val="MDPI42tablebody"/>
              <w:jc w:val="center"/>
            </w:pPr>
            <w:r>
              <w:rPr>
                <w:color w:val="0000FF"/>
                <w:sz w:val="15"/>
              </w:rPr>
              <w:t>0.61</w:t>
            </w:r>
          </w:p>
        </w:tc>
        <w:tc>
          <w:tcPr>
            <w:tcW w:w="1250" w:type="dxa"/>
            <w:tcBorders/>
            <w:vAlign w:val="center"/>
          </w:tcPr>
          <w:p>
            <w:pPr>
              <w:pStyle w:val="MDPI42tablebody"/>
              <w:jc w:val="center"/>
            </w:pPr>
            <w:r>
              <w:rPr>
                <w:color w:val="0000FF"/>
                <w:sz w:val="15"/>
              </w:rPr>
              <w:t>0.60</w:t>
            </w:r>
          </w:p>
        </w:tc>
        <w:tc>
          <w:tcPr>
            <w:tcW w:w="1116" w:type="dxa"/>
            <w:tcBorders/>
            <w:vAlign w:val="center"/>
          </w:tcPr>
          <w:p>
            <w:pPr>
              <w:pStyle w:val="MDPI42tablebody"/>
              <w:jc w:val="center"/>
            </w:pPr>
            <w:r>
              <w:rPr>
                <w:color w:val="0000FF"/>
                <w:sz w:val="15"/>
              </w:rPr>
              <w:t>208/208</w:t>
            </w:r>
          </w:p>
        </w:tc>
      </w:tr>
      <w:tr>
        <w:trPr>
          <w:cantSplit/>
        </w:trPr>
        <w:tc>
          <w:tcPr>
            <w:tcW w:w="1700" w:type="dxa"/>
            <w:tcBorders>
              <w:bottom w:val="single" w:sz="8" w:space="0" w:color="000000"/>
            </w:tcBorders>
            <w:vAlign w:val="center"/>
          </w:tcPr>
          <w:p>
            <w:pPr>
              <w:pStyle w:val="MDPI42tablebody"/>
              <w:jc w:val="left"/>
            </w:pPr>
            <w:r>
              <w:rPr>
                <w:color w:val="0000FF"/>
                <w:sz w:val="15"/>
              </w:rPr>
              <w:t>De-duplicated history</w:t>
            </w:r>
          </w:p>
        </w:tc>
        <w:tc>
          <w:tcPr>
            <w:tcW w:w="1200" w:type="dxa"/>
            <w:tcBorders>
              <w:bottom w:val="single" w:sz="8" w:space="0" w:color="000000"/>
            </w:tcBorders>
            <w:vAlign w:val="center"/>
          </w:tcPr>
          <w:p>
            <w:pPr>
              <w:pStyle w:val="MDPI42tablebody"/>
              <w:jc w:val="center"/>
            </w:pPr>
            <w:r>
              <w:rPr>
                <w:color w:val="0000FF"/>
                <w:sz w:val="15"/>
              </w:rPr>
              <w:t>no (repetition detector)</w:t>
            </w:r>
          </w:p>
        </w:tc>
        <w:tc>
          <w:tcPr>
            <w:tcW w:w="1150" w:type="dxa"/>
            <w:tcBorders>
              <w:bottom w:val="single" w:sz="8" w:space="0" w:color="000000"/>
            </w:tcBorders>
            <w:vAlign w:val="center"/>
          </w:tcPr>
          <w:p>
            <w:pPr>
              <w:pStyle w:val="MDPI42tablebody"/>
              <w:jc w:val="center"/>
            </w:pPr>
            <w:r>
              <w:rPr>
                <w:color w:val="0000FF"/>
                <w:sz w:val="15"/>
              </w:rPr>
              <w:t>25/25</w:t>
            </w:r>
          </w:p>
        </w:tc>
        <w:tc>
          <w:tcPr>
            <w:tcW w:w="1350" w:type="dxa"/>
            <w:tcBorders>
              <w:bottom w:val="single" w:sz="8" w:space="0" w:color="000000"/>
            </w:tcBorders>
            <w:vAlign w:val="center"/>
          </w:tcPr>
          <w:p>
            <w:pPr>
              <w:pStyle w:val="MDPI42tablebody"/>
              <w:jc w:val="center"/>
            </w:pPr>
            <w:r>
              <w:rPr>
                <w:color w:val="0000FF"/>
                <w:sz w:val="15"/>
              </w:rPr>
              <w:t>93.26</w:t>
            </w:r>
          </w:p>
        </w:tc>
        <w:tc>
          <w:tcPr>
            <w:tcW w:w="1450" w:type="dxa"/>
            <w:tcBorders>
              <w:bottom w:val="single" w:sz="8" w:space="0" w:color="000000"/>
            </w:tcBorders>
            <w:vAlign w:val="center"/>
          </w:tcPr>
          <w:p>
            <w:pPr>
              <w:pStyle w:val="MDPI42tablebody"/>
              <w:jc w:val="center"/>
            </w:pPr>
            <w:r>
              <w:rPr>
                <w:color w:val="0000FF"/>
                <w:sz w:val="15"/>
              </w:rPr>
              <w:t>0.00</w:t>
            </w:r>
          </w:p>
        </w:tc>
        <w:tc>
          <w:tcPr>
            <w:tcW w:w="1250" w:type="dxa"/>
            <w:tcBorders>
              <w:bottom w:val="single" w:sz="8" w:space="0" w:color="000000"/>
            </w:tcBorders>
            <w:vAlign w:val="center"/>
          </w:tcPr>
          <w:p>
            <w:pPr>
              <w:pStyle w:val="MDPI42tablebody"/>
              <w:jc w:val="center"/>
            </w:pPr>
            <w:r>
              <w:rPr>
                <w:color w:val="0000FF"/>
                <w:sz w:val="15"/>
              </w:rPr>
              <w:t>0.63</w:t>
            </w:r>
          </w:p>
        </w:tc>
        <w:tc>
          <w:tcPr>
            <w:tcW w:w="1250" w:type="dxa"/>
            <w:tcBorders>
              <w:bottom w:val="single" w:sz="8" w:space="0" w:color="000000"/>
            </w:tcBorders>
            <w:vAlign w:val="center"/>
          </w:tcPr>
          <w:p>
            <w:pPr>
              <w:pStyle w:val="MDPI42tablebody"/>
              <w:jc w:val="center"/>
            </w:pPr>
            <w:r>
              <w:rPr>
                <w:color w:val="0000FF"/>
                <w:sz w:val="15"/>
              </w:rPr>
              <w:t>0.61</w:t>
            </w:r>
          </w:p>
        </w:tc>
        <w:tc>
          <w:tcPr>
            <w:tcW w:w="1116" w:type="dxa"/>
            <w:tcBorders>
              <w:bottom w:val="single" w:sz="8" w:space="0" w:color="000000"/>
            </w:tcBorders>
            <w:vAlign w:val="center"/>
          </w:tcPr>
          <w:p>
            <w:pPr>
              <w:pStyle w:val="MDPI42tablebody"/>
              <w:jc w:val="center"/>
            </w:pPr>
            <w:r>
              <w:rPr>
                <w:color w:val="0000FF"/>
                <w:sz w:val="15"/>
              </w:rPr>
              <w:t>208/208</w:t>
            </w:r>
          </w:p>
        </w:tc>
      </w:tr>
    </w:tbl>
    <w:p>
      <w:pPr>
        <w:pStyle w:val="MDPI43tablefooter"/>
      </w:pPr>
      <w:r>
        <w:rPr>
          <w:color w:val="0000FF"/>
        </w:rPr>
        <w:t>NLL: negative log-probability of the chosen item under the reference at the nominal temperature. Identified: by the 0.999 rule.</w:t>
      </w:r>
    </w:p>
    <w:p>
      <w:pPr>
        <w:pStyle w:val="MDPI31text"/>
      </w:pPr>
      <w:r>
        <w:rPr>
          <w:b/>
          <w:color w:val="0000FF"/>
        </w:rPr>
        <w:t>Uncertainty and the saturation threshold.</w:t>
      </w:r>
      <w:r>
        <w:rPr>
          <w:color w:val="0000FF"/>
        </w:rPr>
        <w:t xml:space="preserve"> In simulation (Appendix E, Table E1) the likelihood-ratio interval has close to nominal coverage even with six choices (0.95 at τ = 1; 0.91 with 240), but it is wide: the median upper bound is 5.6 times the lower bound with six choices, 1.8 times with 36 and 1.2 times with 240. The real trajectories behaved alike (Table 15): at the trajectory level the median ratio was 9.2, and 92% of trajectories exceeded 4, while at the level of a cell (240 pooled choices) the median ratio was 1.29. An estimate from six choices therefore carries little information on its own, which is consistent with its low AUC in Section 5.9, and only pooled estimates should be interpreted. The fixed saturation threshold is a convention with visible consequences. Over 540 cells of the attractor grid (clean prompt, five temperatures), 87 were not identified at a mean reference probability above 0.99, 70 above 0.999 and 57 above 0.9999, and the interval rule of Section 3.3 left 97 cells unidentified, including 27 that the 0.999 rule counted as identified (Table 16). In the simulation (Table E2) the interval already spans a factor of about 68 at a mean reference probability of 0.988, a level at which the 0.999 rule still declares the cell identified. The matched cells of Section 5.8 are almost unaffected: none exceeded the 0.999 threshold and 290 of 296 pass the interval rule.</w:t>
      </w:r>
    </w:p>
    <w:p>
      <w:pPr>
        <w:pStyle w:val="MDPI41tablecaption"/>
      </w:pPr>
      <w:r>
        <w:rPr>
          <w:b/>
          <w:color w:val="0000FF"/>
        </w:rPr>
        <w:t xml:space="preserve">Table 15. </w:t>
      </w:r>
      <w:r>
        <w:rPr>
          <w:color w:val="0000FF"/>
        </w:rPr>
        <w:t xml:space="preserve"> Width of the 95% likelihood-ratio interval for </w:t>
      </w:r>
      <w:r>
        <w:rPr>
          <w:i/>
          <w:color w:val="0000FF"/>
        </w:rPr>
        <w:t>T</w:t>
      </w:r>
      <w:r>
        <w:rPr>
          <w:color w:val="0000FF"/>
        </w:rPr>
        <w:t>eff</w:t>
      </w:r>
      <w:r>
        <w:rPr>
          <w:color w:val="0000FF"/>
        </w:rPr>
        <w:t>: median ratio of the upper to the lower bound.</w:t>
      </w:r>
    </w:p>
    <w:tbl>
      <w:tblPr>
        <w:tblW w:w="10466" w:type="dxa"/>
        <w:tblInd w:w="0" w:type="dxa"/>
        <w:tblLayout w:type="fixed"/>
      </w:tblPr>
      <w:tblGrid>
        <w:gridCol w:w="2600"/>
        <w:gridCol w:w="2600"/>
        <w:gridCol w:w="2800"/>
        <w:gridCol w:w="2466"/>
      </w:tblGrid>
      <w:tr>
        <w:trPr>
          <w:cantSplit/>
          <w:tblHeader/>
        </w:trPr>
        <w:tc>
          <w:tcPr>
            <w:tcW w:w="26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2600" w:type="dxa"/>
            <w:tcBorders>
              <w:top w:val="single" w:sz="8" w:space="0" w:color="000000"/>
              <w:bottom w:val="single" w:sz="4" w:space="0" w:color="000000"/>
            </w:tcBorders>
            <w:vAlign w:val="center"/>
          </w:tcPr>
          <w:p>
            <w:pPr>
              <w:pStyle w:val="MDPI42tablebody"/>
              <w:jc w:val="center"/>
            </w:pPr>
            <w:r>
              <w:rPr>
                <w:b/>
                <w:color w:val="0000FF"/>
                <w:sz w:val="16"/>
              </w:rPr>
              <w:t>Trajectory level (six choices)</w:t>
            </w:r>
          </w:p>
        </w:tc>
        <w:tc>
          <w:tcPr>
            <w:tcW w:w="2800" w:type="dxa"/>
            <w:tcBorders>
              <w:top w:val="single" w:sz="8" w:space="0" w:color="000000"/>
              <w:bottom w:val="single" w:sz="4" w:space="0" w:color="000000"/>
            </w:tcBorders>
            <w:vAlign w:val="center"/>
          </w:tcPr>
          <w:p>
            <w:pPr>
              <w:pStyle w:val="MDPI42tablebody"/>
              <w:jc w:val="center"/>
            </w:pPr>
            <w:r>
              <w:rPr>
                <w:b/>
                <w:color w:val="0000FF"/>
                <w:sz w:val="16"/>
              </w:rPr>
              <w:t>Share of trajectories with ratio above 4</w:t>
            </w:r>
          </w:p>
        </w:tc>
        <w:tc>
          <w:tcPr>
            <w:tcW w:w="2466" w:type="dxa"/>
            <w:tcBorders>
              <w:top w:val="single" w:sz="8" w:space="0" w:color="000000"/>
              <w:bottom w:val="single" w:sz="4" w:space="0" w:color="000000"/>
            </w:tcBorders>
            <w:vAlign w:val="center"/>
          </w:tcPr>
          <w:p>
            <w:pPr>
              <w:pStyle w:val="MDPI42tablebody"/>
              <w:jc w:val="center"/>
            </w:pPr>
            <w:r>
              <w:rPr>
                <w:b/>
                <w:color w:val="0000FF"/>
                <w:sz w:val="16"/>
              </w:rPr>
              <w:t>Cell level (240 choices)</w:t>
            </w:r>
          </w:p>
        </w:tc>
      </w:tr>
      <w:tr>
        <w:trPr>
          <w:cantSplit/>
        </w:trPr>
        <w:tc>
          <w:tcPr>
            <w:tcW w:w="2600" w:type="dxa"/>
            <w:tcBorders/>
            <w:vAlign w:val="center"/>
          </w:tcPr>
          <w:p>
            <w:pPr>
              <w:pStyle w:val="MDPI42tablebody"/>
              <w:jc w:val="left"/>
            </w:pPr>
            <w:r>
              <w:rPr>
                <w:color w:val="0000FF"/>
                <w:sz w:val="16"/>
              </w:rPr>
              <w:t>Qwen2.5-0.5B</w:t>
            </w:r>
          </w:p>
        </w:tc>
        <w:tc>
          <w:tcPr>
            <w:tcW w:w="2600" w:type="dxa"/>
            <w:tcBorders/>
            <w:vAlign w:val="center"/>
          </w:tcPr>
          <w:p>
            <w:pPr>
              <w:pStyle w:val="MDPI42tablebody"/>
              <w:jc w:val="center"/>
            </w:pPr>
            <w:r>
              <w:rPr>
                <w:color w:val="0000FF"/>
                <w:sz w:val="16"/>
              </w:rPr>
              <w:t>9.8</w:t>
            </w:r>
          </w:p>
        </w:tc>
        <w:tc>
          <w:tcPr>
            <w:tcW w:w="2800" w:type="dxa"/>
            <w:tcBorders/>
            <w:vAlign w:val="center"/>
          </w:tcPr>
          <w:p>
            <w:pPr>
              <w:pStyle w:val="MDPI42tablebody"/>
              <w:jc w:val="center"/>
            </w:pPr>
            <w:r>
              <w:rPr>
                <w:color w:val="0000FF"/>
                <w:sz w:val="16"/>
              </w:rPr>
              <w:t>92%</w:t>
            </w:r>
          </w:p>
        </w:tc>
        <w:tc>
          <w:tcPr>
            <w:tcW w:w="2466" w:type="dxa"/>
            <w:tcBorders/>
            <w:vAlign w:val="center"/>
          </w:tcPr>
          <w:p>
            <w:pPr>
              <w:pStyle w:val="MDPI42tablebody"/>
              <w:jc w:val="center"/>
            </w:pPr>
            <w:r>
              <w:rPr>
                <w:color w:val="0000FF"/>
                <w:sz w:val="16"/>
              </w:rPr>
              <w:t>1.30</w:t>
            </w:r>
          </w:p>
        </w:tc>
      </w:tr>
      <w:tr>
        <w:trPr>
          <w:cantSplit/>
        </w:trPr>
        <w:tc>
          <w:tcPr>
            <w:tcW w:w="2600" w:type="dxa"/>
            <w:tcBorders/>
            <w:vAlign w:val="center"/>
          </w:tcPr>
          <w:p>
            <w:pPr>
              <w:pStyle w:val="MDPI42tablebody"/>
              <w:jc w:val="left"/>
            </w:pPr>
            <w:r>
              <w:rPr>
                <w:color w:val="0000FF"/>
                <w:sz w:val="16"/>
              </w:rPr>
              <w:t>Qwen2.5-1.5B</w:t>
            </w:r>
          </w:p>
        </w:tc>
        <w:tc>
          <w:tcPr>
            <w:tcW w:w="2600" w:type="dxa"/>
            <w:tcBorders/>
            <w:vAlign w:val="center"/>
          </w:tcPr>
          <w:p>
            <w:pPr>
              <w:pStyle w:val="MDPI42tablebody"/>
              <w:jc w:val="center"/>
            </w:pPr>
            <w:r>
              <w:rPr>
                <w:color w:val="0000FF"/>
                <w:sz w:val="16"/>
              </w:rPr>
              <w:t>10.1</w:t>
            </w:r>
          </w:p>
        </w:tc>
        <w:tc>
          <w:tcPr>
            <w:tcW w:w="2800" w:type="dxa"/>
            <w:tcBorders/>
            <w:vAlign w:val="center"/>
          </w:tcPr>
          <w:p>
            <w:pPr>
              <w:pStyle w:val="MDPI42tablebody"/>
              <w:jc w:val="center"/>
            </w:pPr>
            <w:r>
              <w:rPr>
                <w:color w:val="0000FF"/>
                <w:sz w:val="16"/>
              </w:rPr>
              <w:t>90%</w:t>
            </w:r>
          </w:p>
        </w:tc>
        <w:tc>
          <w:tcPr>
            <w:tcW w:w="2466" w:type="dxa"/>
            <w:tcBorders/>
            <w:vAlign w:val="center"/>
          </w:tcPr>
          <w:p>
            <w:pPr>
              <w:pStyle w:val="MDPI42tablebody"/>
              <w:jc w:val="center"/>
            </w:pPr>
            <w:r>
              <w:rPr>
                <w:color w:val="0000FF"/>
                <w:sz w:val="16"/>
              </w:rPr>
              <w:t>1.32</w:t>
            </w:r>
          </w:p>
        </w:tc>
      </w:tr>
      <w:tr>
        <w:trPr>
          <w:cantSplit/>
        </w:trPr>
        <w:tc>
          <w:tcPr>
            <w:tcW w:w="2600" w:type="dxa"/>
            <w:tcBorders/>
            <w:vAlign w:val="center"/>
          </w:tcPr>
          <w:p>
            <w:pPr>
              <w:pStyle w:val="MDPI42tablebody"/>
              <w:jc w:val="left"/>
            </w:pPr>
            <w:r>
              <w:rPr>
                <w:color w:val="0000FF"/>
                <w:sz w:val="16"/>
              </w:rPr>
              <w:t>Llama-3.2-1B</w:t>
            </w:r>
          </w:p>
        </w:tc>
        <w:tc>
          <w:tcPr>
            <w:tcW w:w="2600" w:type="dxa"/>
            <w:tcBorders/>
            <w:vAlign w:val="center"/>
          </w:tcPr>
          <w:p>
            <w:pPr>
              <w:pStyle w:val="MDPI42tablebody"/>
              <w:jc w:val="center"/>
            </w:pPr>
            <w:r>
              <w:rPr>
                <w:color w:val="0000FF"/>
                <w:sz w:val="16"/>
              </w:rPr>
              <w:t>8.1</w:t>
            </w:r>
          </w:p>
        </w:tc>
        <w:tc>
          <w:tcPr>
            <w:tcW w:w="2800" w:type="dxa"/>
            <w:tcBorders/>
            <w:vAlign w:val="center"/>
          </w:tcPr>
          <w:p>
            <w:pPr>
              <w:pStyle w:val="MDPI42tablebody"/>
              <w:jc w:val="center"/>
            </w:pPr>
            <w:r>
              <w:rPr>
                <w:color w:val="0000FF"/>
                <w:sz w:val="16"/>
              </w:rPr>
              <w:t>93%</w:t>
            </w:r>
          </w:p>
        </w:tc>
        <w:tc>
          <w:tcPr>
            <w:tcW w:w="2466" w:type="dxa"/>
            <w:tcBorders/>
            <w:vAlign w:val="center"/>
          </w:tcPr>
          <w:p>
            <w:pPr>
              <w:pStyle w:val="MDPI42tablebody"/>
              <w:jc w:val="center"/>
            </w:pPr>
            <w:r>
              <w:rPr>
                <w:color w:val="0000FF"/>
                <w:sz w:val="16"/>
              </w:rPr>
              <w:t>1.26</w:t>
            </w:r>
          </w:p>
        </w:tc>
      </w:tr>
      <w:tr>
        <w:trPr>
          <w:cantSplit/>
        </w:trPr>
        <w:tc>
          <w:tcPr>
            <w:tcW w:w="2600" w:type="dxa"/>
            <w:tcBorders>
              <w:bottom w:val="single" w:sz="8" w:space="0" w:color="000000"/>
            </w:tcBorders>
            <w:vAlign w:val="center"/>
          </w:tcPr>
          <w:p>
            <w:pPr>
              <w:pStyle w:val="MDPI42tablebody"/>
              <w:jc w:val="left"/>
            </w:pPr>
            <w:r>
              <w:rPr>
                <w:color w:val="0000FF"/>
                <w:sz w:val="16"/>
              </w:rPr>
              <w:t>SmolLM2-1.7B</w:t>
            </w:r>
          </w:p>
        </w:tc>
        <w:tc>
          <w:tcPr>
            <w:tcW w:w="2600" w:type="dxa"/>
            <w:tcBorders>
              <w:bottom w:val="single" w:sz="8" w:space="0" w:color="000000"/>
            </w:tcBorders>
            <w:vAlign w:val="center"/>
          </w:tcPr>
          <w:p>
            <w:pPr>
              <w:pStyle w:val="MDPI42tablebody"/>
              <w:jc w:val="center"/>
            </w:pPr>
            <w:r>
              <w:rPr>
                <w:color w:val="0000FF"/>
                <w:sz w:val="16"/>
              </w:rPr>
              <w:t>8.7</w:t>
            </w:r>
          </w:p>
        </w:tc>
        <w:tc>
          <w:tcPr>
            <w:tcW w:w="2800" w:type="dxa"/>
            <w:tcBorders>
              <w:bottom w:val="single" w:sz="8" w:space="0" w:color="000000"/>
            </w:tcBorders>
            <w:vAlign w:val="center"/>
          </w:tcPr>
          <w:p>
            <w:pPr>
              <w:pStyle w:val="MDPI42tablebody"/>
              <w:jc w:val="center"/>
            </w:pPr>
            <w:r>
              <w:rPr>
                <w:color w:val="0000FF"/>
                <w:sz w:val="16"/>
              </w:rPr>
              <w:t>91%</w:t>
            </w:r>
          </w:p>
        </w:tc>
        <w:tc>
          <w:tcPr>
            <w:tcW w:w="2466" w:type="dxa"/>
            <w:tcBorders>
              <w:bottom w:val="single" w:sz="8" w:space="0" w:color="000000"/>
            </w:tcBorders>
            <w:vAlign w:val="center"/>
          </w:tcPr>
          <w:p>
            <w:pPr>
              <w:pStyle w:val="MDPI42tablebody"/>
              <w:jc w:val="center"/>
            </w:pPr>
            <w:r>
              <w:rPr>
                <w:color w:val="0000FF"/>
                <w:sz w:val="16"/>
              </w:rPr>
              <w:t>1.28</w:t>
            </w:r>
          </w:p>
        </w:tc>
      </w:tr>
    </w:tbl>
    <w:p>
      <w:pPr>
        <w:pStyle w:val="MDPI41tablecaption"/>
      </w:pPr>
      <w:r>
        <w:rPr>
          <w:b/>
          <w:color w:val="0000FF"/>
        </w:rPr>
        <w:t xml:space="preserve">Table 16. </w:t>
      </w:r>
      <w:r>
        <w:rPr>
          <w:color w:val="0000FF"/>
        </w:rPr>
        <w:t xml:space="preserve"> Sensitivity of the identification flag to the saturation threshold (attractor grid, clean prompt, 180 cells per model).</w:t>
      </w:r>
    </w:p>
    <w:tbl>
      <w:tblPr>
        <w:tblW w:w="10466" w:type="dxa"/>
        <w:tblInd w:w="0" w:type="dxa"/>
        <w:tblLayout w:type="fixed"/>
      </w:tblPr>
      <w:tblGrid>
        <w:gridCol w:w="2400"/>
        <w:gridCol w:w="1800"/>
        <w:gridCol w:w="1300"/>
        <w:gridCol w:w="1300"/>
        <w:gridCol w:w="1500"/>
        <w:gridCol w:w="21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1800" w:type="dxa"/>
            <w:tcBorders>
              <w:top w:val="single" w:sz="8" w:space="0" w:color="000000"/>
              <w:bottom w:val="single" w:sz="4" w:space="0" w:color="000000"/>
            </w:tcBorders>
            <w:vAlign w:val="center"/>
          </w:tcPr>
          <w:p>
            <w:pPr>
              <w:pStyle w:val="MDPI42tablebody"/>
              <w:jc w:val="center"/>
            </w:pPr>
            <w:r>
              <w:rPr>
                <w:b/>
                <w:color w:val="0000FF"/>
                <w:sz w:val="16"/>
              </w:rPr>
              <w:t>Not identified: &gt; 0.99</w:t>
            </w:r>
          </w:p>
        </w:tc>
        <w:tc>
          <w:tcPr>
            <w:tcW w:w="1300" w:type="dxa"/>
            <w:tcBorders>
              <w:top w:val="single" w:sz="8" w:space="0" w:color="000000"/>
              <w:bottom w:val="single" w:sz="4" w:space="0" w:color="000000"/>
            </w:tcBorders>
            <w:vAlign w:val="center"/>
          </w:tcPr>
          <w:p>
            <w:pPr>
              <w:pStyle w:val="MDPI42tablebody"/>
              <w:jc w:val="center"/>
            </w:pPr>
            <w:r>
              <w:rPr>
                <w:b/>
                <w:color w:val="0000FF"/>
                <w:sz w:val="16"/>
              </w:rPr>
              <w:t>&gt; 0.999</w:t>
            </w:r>
          </w:p>
        </w:tc>
        <w:tc>
          <w:tcPr>
            <w:tcW w:w="1300" w:type="dxa"/>
            <w:tcBorders>
              <w:top w:val="single" w:sz="8" w:space="0" w:color="000000"/>
              <w:bottom w:val="single" w:sz="4" w:space="0" w:color="000000"/>
            </w:tcBorders>
            <w:vAlign w:val="center"/>
          </w:tcPr>
          <w:p>
            <w:pPr>
              <w:pStyle w:val="MDPI42tablebody"/>
              <w:jc w:val="center"/>
            </w:pPr>
            <w:r>
              <w:rPr>
                <w:b/>
                <w:color w:val="0000FF"/>
                <w:sz w:val="16"/>
              </w:rPr>
              <w:t>&gt; 0.9999</w:t>
            </w:r>
          </w:p>
        </w:tc>
        <w:tc>
          <w:tcPr>
            <w:tcW w:w="1500" w:type="dxa"/>
            <w:tcBorders>
              <w:top w:val="single" w:sz="8" w:space="0" w:color="000000"/>
              <w:bottom w:val="single" w:sz="4" w:space="0" w:color="000000"/>
            </w:tcBorders>
            <w:vAlign w:val="center"/>
          </w:tcPr>
          <w:p>
            <w:pPr>
              <w:pStyle w:val="MDPI42tablebody"/>
              <w:jc w:val="center"/>
            </w:pPr>
            <w:r>
              <w:rPr>
                <w:b/>
                <w:color w:val="0000FF"/>
                <w:sz w:val="16"/>
              </w:rPr>
              <w:t>Interval rule</w:t>
            </w:r>
          </w:p>
        </w:tc>
        <w:tc>
          <w:tcPr>
            <w:tcW w:w="2166" w:type="dxa"/>
            <w:tcBorders>
              <w:top w:val="single" w:sz="8" w:space="0" w:color="000000"/>
              <w:bottom w:val="single" w:sz="4" w:space="0" w:color="000000"/>
            </w:tcBorders>
            <w:vAlign w:val="center"/>
          </w:tcPr>
          <w:p>
            <w:pPr>
              <w:pStyle w:val="MDPI42tablebody"/>
              <w:jc w:val="center"/>
            </w:pPr>
            <w:r>
              <w:rPr>
                <w:b/>
                <w:color w:val="0000FF"/>
                <w:sz w:val="16"/>
              </w:rPr>
              <w:t>Interval rule only (≤ 0.999)</w:t>
            </w:r>
          </w:p>
        </w:tc>
      </w:tr>
      <w:tr>
        <w:trPr>
          <w:cantSplit/>
        </w:trPr>
        <w:tc>
          <w:tcPr>
            <w:tcW w:w="2400" w:type="dxa"/>
            <w:tcBorders/>
            <w:vAlign w:val="center"/>
          </w:tcPr>
          <w:p>
            <w:pPr>
              <w:pStyle w:val="MDPI42tablebody"/>
              <w:jc w:val="left"/>
            </w:pPr>
            <w:r>
              <w:rPr>
                <w:color w:val="0000FF"/>
                <w:sz w:val="16"/>
              </w:rPr>
              <w:t>Llama-3.2-1B</w:t>
            </w:r>
          </w:p>
        </w:tc>
        <w:tc>
          <w:tcPr>
            <w:tcW w:w="1800" w:type="dxa"/>
            <w:tcBorders/>
            <w:vAlign w:val="center"/>
          </w:tcPr>
          <w:p>
            <w:pPr>
              <w:pStyle w:val="MDPI42tablebody"/>
              <w:jc w:val="center"/>
            </w:pPr>
            <w:r>
              <w:rPr>
                <w:color w:val="0000FF"/>
                <w:sz w:val="16"/>
              </w:rPr>
              <w:t>32</w:t>
            </w:r>
          </w:p>
        </w:tc>
        <w:tc>
          <w:tcPr>
            <w:tcW w:w="1300" w:type="dxa"/>
            <w:tcBorders/>
            <w:vAlign w:val="center"/>
          </w:tcPr>
          <w:p>
            <w:pPr>
              <w:pStyle w:val="MDPI42tablebody"/>
              <w:jc w:val="center"/>
            </w:pPr>
            <w:r>
              <w:rPr>
                <w:color w:val="0000FF"/>
                <w:sz w:val="16"/>
              </w:rPr>
              <w:t>26</w:t>
            </w:r>
          </w:p>
        </w:tc>
        <w:tc>
          <w:tcPr>
            <w:tcW w:w="1300" w:type="dxa"/>
            <w:tcBorders/>
            <w:vAlign w:val="center"/>
          </w:tcPr>
          <w:p>
            <w:pPr>
              <w:pStyle w:val="MDPI42tablebody"/>
              <w:jc w:val="center"/>
            </w:pPr>
            <w:r>
              <w:rPr>
                <w:color w:val="0000FF"/>
                <w:sz w:val="16"/>
              </w:rPr>
              <w:t>21</w:t>
            </w:r>
          </w:p>
        </w:tc>
        <w:tc>
          <w:tcPr>
            <w:tcW w:w="1500" w:type="dxa"/>
            <w:tcBorders/>
            <w:vAlign w:val="center"/>
          </w:tcPr>
          <w:p>
            <w:pPr>
              <w:pStyle w:val="MDPI42tablebody"/>
              <w:jc w:val="center"/>
            </w:pPr>
            <w:r>
              <w:rPr>
                <w:color w:val="0000FF"/>
                <w:sz w:val="16"/>
              </w:rPr>
              <w:t>33</w:t>
            </w:r>
          </w:p>
        </w:tc>
        <w:tc>
          <w:tcPr>
            <w:tcW w:w="2166" w:type="dxa"/>
            <w:tcBorders/>
            <w:vAlign w:val="center"/>
          </w:tcPr>
          <w:p>
            <w:pPr>
              <w:pStyle w:val="MDPI42tablebody"/>
              <w:jc w:val="center"/>
            </w:pPr>
            <w:r>
              <w:rPr>
                <w:color w:val="0000FF"/>
                <w:sz w:val="16"/>
              </w:rPr>
              <w:t>7</w:t>
            </w:r>
          </w:p>
        </w:tc>
      </w:tr>
      <w:tr>
        <w:trPr>
          <w:cantSplit/>
        </w:trPr>
        <w:tc>
          <w:tcPr>
            <w:tcW w:w="2400" w:type="dxa"/>
            <w:tcBorders/>
            <w:vAlign w:val="center"/>
          </w:tcPr>
          <w:p>
            <w:pPr>
              <w:pStyle w:val="MDPI42tablebody"/>
              <w:jc w:val="left"/>
            </w:pPr>
            <w:r>
              <w:rPr>
                <w:color w:val="0000FF"/>
                <w:sz w:val="16"/>
              </w:rPr>
              <w:t>Qwen2.5-0.5B</w:t>
            </w:r>
          </w:p>
        </w:tc>
        <w:tc>
          <w:tcPr>
            <w:tcW w:w="1800" w:type="dxa"/>
            <w:tcBorders/>
            <w:vAlign w:val="center"/>
          </w:tcPr>
          <w:p>
            <w:pPr>
              <w:pStyle w:val="MDPI42tablebody"/>
              <w:jc w:val="center"/>
            </w:pPr>
            <w:r>
              <w:rPr>
                <w:color w:val="0000FF"/>
                <w:sz w:val="16"/>
              </w:rPr>
              <w:t>33</w:t>
            </w:r>
          </w:p>
        </w:tc>
        <w:tc>
          <w:tcPr>
            <w:tcW w:w="1300" w:type="dxa"/>
            <w:tcBorders/>
            <w:vAlign w:val="center"/>
          </w:tcPr>
          <w:p>
            <w:pPr>
              <w:pStyle w:val="MDPI42tablebody"/>
              <w:jc w:val="center"/>
            </w:pPr>
            <w:r>
              <w:rPr>
                <w:color w:val="0000FF"/>
                <w:sz w:val="16"/>
              </w:rPr>
              <w:t>27</w:t>
            </w:r>
          </w:p>
        </w:tc>
        <w:tc>
          <w:tcPr>
            <w:tcW w:w="1300" w:type="dxa"/>
            <w:tcBorders/>
            <w:vAlign w:val="center"/>
          </w:tcPr>
          <w:p>
            <w:pPr>
              <w:pStyle w:val="MDPI42tablebody"/>
              <w:jc w:val="center"/>
            </w:pPr>
            <w:r>
              <w:rPr>
                <w:color w:val="0000FF"/>
                <w:sz w:val="16"/>
              </w:rPr>
              <w:t>21</w:t>
            </w:r>
          </w:p>
        </w:tc>
        <w:tc>
          <w:tcPr>
            <w:tcW w:w="1500" w:type="dxa"/>
            <w:tcBorders/>
            <w:vAlign w:val="center"/>
          </w:tcPr>
          <w:p>
            <w:pPr>
              <w:pStyle w:val="MDPI42tablebody"/>
              <w:jc w:val="center"/>
            </w:pPr>
            <w:r>
              <w:rPr>
                <w:color w:val="0000FF"/>
                <w:sz w:val="16"/>
              </w:rPr>
              <w:t>40</w:t>
            </w:r>
          </w:p>
        </w:tc>
        <w:tc>
          <w:tcPr>
            <w:tcW w:w="2166" w:type="dxa"/>
            <w:tcBorders/>
            <w:vAlign w:val="center"/>
          </w:tcPr>
          <w:p>
            <w:pPr>
              <w:pStyle w:val="MDPI42tablebody"/>
              <w:jc w:val="center"/>
            </w:pPr>
            <w:r>
              <w:rPr>
                <w:color w:val="0000FF"/>
                <w:sz w:val="16"/>
              </w:rPr>
              <w:t>13</w:t>
            </w:r>
          </w:p>
        </w:tc>
      </w:tr>
      <w:tr>
        <w:trPr>
          <w:cantSplit/>
        </w:trPr>
        <w:tc>
          <w:tcPr>
            <w:tcW w:w="2400" w:type="dxa"/>
            <w:tcBorders>
              <w:bottom w:val="single" w:sz="8" w:space="0" w:color="000000"/>
            </w:tcBorders>
            <w:vAlign w:val="center"/>
          </w:tcPr>
          <w:p>
            <w:pPr>
              <w:pStyle w:val="MDPI42tablebody"/>
              <w:jc w:val="left"/>
            </w:pPr>
            <w:r>
              <w:rPr>
                <w:color w:val="0000FF"/>
                <w:sz w:val="16"/>
              </w:rPr>
              <w:t>Qwen2.5-1.5B</w:t>
            </w:r>
          </w:p>
        </w:tc>
        <w:tc>
          <w:tcPr>
            <w:tcW w:w="1800" w:type="dxa"/>
            <w:tcBorders>
              <w:bottom w:val="single" w:sz="8" w:space="0" w:color="000000"/>
            </w:tcBorders>
            <w:vAlign w:val="center"/>
          </w:tcPr>
          <w:p>
            <w:pPr>
              <w:pStyle w:val="MDPI42tablebody"/>
              <w:jc w:val="center"/>
            </w:pPr>
            <w:r>
              <w:rPr>
                <w:color w:val="0000FF"/>
                <w:sz w:val="16"/>
              </w:rPr>
              <w:t>22</w:t>
            </w:r>
          </w:p>
        </w:tc>
        <w:tc>
          <w:tcPr>
            <w:tcW w:w="1300" w:type="dxa"/>
            <w:tcBorders>
              <w:bottom w:val="single" w:sz="8" w:space="0" w:color="000000"/>
            </w:tcBorders>
            <w:vAlign w:val="center"/>
          </w:tcPr>
          <w:p>
            <w:pPr>
              <w:pStyle w:val="MDPI42tablebody"/>
              <w:jc w:val="center"/>
            </w:pPr>
            <w:r>
              <w:rPr>
                <w:color w:val="0000FF"/>
                <w:sz w:val="16"/>
              </w:rPr>
              <w:t>17</w:t>
            </w:r>
          </w:p>
        </w:tc>
        <w:tc>
          <w:tcPr>
            <w:tcW w:w="1300" w:type="dxa"/>
            <w:tcBorders>
              <w:bottom w:val="single" w:sz="8" w:space="0" w:color="000000"/>
            </w:tcBorders>
            <w:vAlign w:val="center"/>
          </w:tcPr>
          <w:p>
            <w:pPr>
              <w:pStyle w:val="MDPI42tablebody"/>
              <w:jc w:val="center"/>
            </w:pPr>
            <w:r>
              <w:rPr>
                <w:color w:val="0000FF"/>
                <w:sz w:val="16"/>
              </w:rPr>
              <w:t>15</w:t>
            </w:r>
          </w:p>
        </w:tc>
        <w:tc>
          <w:tcPr>
            <w:tcW w:w="1500" w:type="dxa"/>
            <w:tcBorders>
              <w:bottom w:val="single" w:sz="8" w:space="0" w:color="000000"/>
            </w:tcBorders>
            <w:vAlign w:val="center"/>
          </w:tcPr>
          <w:p>
            <w:pPr>
              <w:pStyle w:val="MDPI42tablebody"/>
              <w:jc w:val="center"/>
            </w:pPr>
            <w:r>
              <w:rPr>
                <w:color w:val="0000FF"/>
                <w:sz w:val="16"/>
              </w:rPr>
              <w:t>24</w:t>
            </w:r>
          </w:p>
        </w:tc>
        <w:tc>
          <w:tcPr>
            <w:tcW w:w="2166" w:type="dxa"/>
            <w:tcBorders>
              <w:bottom w:val="single" w:sz="8" w:space="0" w:color="000000"/>
            </w:tcBorders>
            <w:vAlign w:val="center"/>
          </w:tcPr>
          <w:p>
            <w:pPr>
              <w:pStyle w:val="MDPI42tablebody"/>
              <w:jc w:val="center"/>
            </w:pPr>
            <w:r>
              <w:rPr>
                <w:color w:val="0000FF"/>
                <w:sz w:val="16"/>
              </w:rPr>
              <w:t>7</w:t>
            </w:r>
          </w:p>
        </w:tc>
      </w:tr>
    </w:tbl>
    <w:p>
      <w:pPr>
        <w:pStyle w:val="MDPI22heading2"/>
      </w:pPr>
      <w:r>
        <w:rPr>
          <w:color w:val="0000FF"/>
        </w:rPr>
        <w:t>5.11. Attractor Strength Without Post-Hoc Selection</w:t>
      </w:r>
    </w:p>
    <w:p>
      <w:pPr>
        <w:pStyle w:val="MDPI31text"/>
      </w:pPr>
      <w:r>
        <w:rPr>
          <w:color w:val="0000FF"/>
        </w:rPr>
        <w:t>Section 4.1 selected the strengths after probing the same models and the same prompt, which can make the interior peaks partly a product of the design. We therefore ran the clean-prompt accuracy-temperature curves for the full a-priori grid of planted run lengths (12 values from 1 to 64, five temperatures from 0.15 to 4.0, 20 trajectories per cell) on 3 models and three tasks, and we selected the three regimes in two ways: by the probe rule on the main prompt, as before, and by the same rule on a different wording of the instruction (Appendix D), with fresh trajectories. An interior peak uses the rule of Table 6. Table 17 gives the counts. Selected on the main prompt, sticky attractors showed an interior peak in 7 of 9 model-task pairs, weak attractors in 1 and strong attractors in 2, which is the pattern H2 predicts. Selected on the other wording, the counts were 3 of 9 for sticky, 3 for weak and 0 for strong attractors. The distinction between regimes is therefore sensitive to how the strengths are chosen, and the earlier agreement is partly due to selection on the main prompt. Over the whole grid, with no selection at all, an interior peak appeared for 24 of 108 combinations of model, task and run length, and it was not confined to one band of run lengths.</w:t>
      </w:r>
    </w:p>
    <w:p>
      <w:pPr>
        <w:pStyle w:val="MDPI41tablecaption"/>
      </w:pPr>
      <w:r>
        <w:rPr>
          <w:b/>
          <w:color w:val="0000FF"/>
        </w:rPr>
        <w:t xml:space="preserve">Table 17. </w:t>
      </w:r>
      <w:r>
        <w:rPr>
          <w:color w:val="0000FF"/>
        </w:rPr>
        <w:t xml:space="preserve"> Interior accuracy peaks by attractor regime (number of model-task pairs with a peak, out of the pairs for which the regime exists), with strengths selected on the main prompt or on a different wording, and the number of run lengths with an interior peak over the whole grid (out of 36).</w:t>
      </w:r>
    </w:p>
    <w:tbl>
      <w:tblPr>
        <w:tblW w:w="10466" w:type="dxa"/>
        <w:tblInd w:w="0" w:type="dxa"/>
        <w:tblLayout w:type="fixed"/>
      </w:tblPr>
      <w:tblGrid>
        <w:gridCol w:w="1900"/>
        <w:gridCol w:w="1150"/>
        <w:gridCol w:w="1250"/>
        <w:gridCol w:w="1250"/>
        <w:gridCol w:w="1150"/>
        <w:gridCol w:w="1250"/>
        <w:gridCol w:w="1250"/>
        <w:gridCol w:w="1266"/>
      </w:tblGrid>
      <w:tr>
        <w:trPr>
          <w:cantSplit/>
          <w:tblHeader/>
        </w:trPr>
        <w:tc>
          <w:tcPr>
            <w:tcW w:w="19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1150" w:type="dxa"/>
            <w:tcBorders>
              <w:top w:val="single" w:sz="8" w:space="0" w:color="000000"/>
              <w:bottom w:val="single" w:sz="4" w:space="0" w:color="000000"/>
            </w:tcBorders>
            <w:vAlign w:val="center"/>
          </w:tcPr>
          <w:p>
            <w:pPr>
              <w:pStyle w:val="MDPI42tablebody"/>
              <w:jc w:val="center"/>
            </w:pPr>
            <w:r>
              <w:rPr>
                <w:b/>
                <w:color w:val="0000FF"/>
                <w:sz w:val="16"/>
              </w:rPr>
              <w:t>Main: weak</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Main: sticky</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Main: strong</w:t>
            </w:r>
          </w:p>
        </w:tc>
        <w:tc>
          <w:tcPr>
            <w:tcW w:w="1150" w:type="dxa"/>
            <w:tcBorders>
              <w:top w:val="single" w:sz="8" w:space="0" w:color="000000"/>
              <w:bottom w:val="single" w:sz="4" w:space="0" w:color="000000"/>
            </w:tcBorders>
            <w:vAlign w:val="center"/>
          </w:tcPr>
          <w:p>
            <w:pPr>
              <w:pStyle w:val="MDPI42tablebody"/>
              <w:jc w:val="center"/>
            </w:pPr>
            <w:r>
              <w:rPr>
                <w:b/>
                <w:color w:val="0000FF"/>
                <w:sz w:val="16"/>
              </w:rPr>
              <w:t>Other: weak</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Other: sticky</w:t>
            </w:r>
          </w:p>
        </w:tc>
        <w:tc>
          <w:tcPr>
            <w:tcW w:w="1250" w:type="dxa"/>
            <w:tcBorders>
              <w:top w:val="single" w:sz="8" w:space="0" w:color="000000"/>
              <w:bottom w:val="single" w:sz="4" w:space="0" w:color="000000"/>
            </w:tcBorders>
            <w:vAlign w:val="center"/>
          </w:tcPr>
          <w:p>
            <w:pPr>
              <w:pStyle w:val="MDPI42tablebody"/>
              <w:jc w:val="center"/>
            </w:pPr>
            <w:r>
              <w:rPr>
                <w:b/>
                <w:color w:val="0000FF"/>
                <w:sz w:val="16"/>
              </w:rPr>
              <w:t>Other: strong</w:t>
            </w:r>
          </w:p>
        </w:tc>
        <w:tc>
          <w:tcPr>
            <w:tcW w:w="1266" w:type="dxa"/>
            <w:tcBorders>
              <w:top w:val="single" w:sz="8" w:space="0" w:color="000000"/>
              <w:bottom w:val="single" w:sz="4" w:space="0" w:color="000000"/>
            </w:tcBorders>
            <w:vAlign w:val="center"/>
          </w:tcPr>
          <w:p>
            <w:pPr>
              <w:pStyle w:val="MDPI42tablebody"/>
              <w:jc w:val="center"/>
            </w:pPr>
            <w:r>
              <w:rPr>
                <w:b/>
                <w:color w:val="0000FF"/>
                <w:sz w:val="16"/>
              </w:rPr>
              <w:t>Whole grid</w:t>
            </w:r>
          </w:p>
        </w:tc>
      </w:tr>
      <w:tr>
        <w:trPr>
          <w:cantSplit/>
        </w:trPr>
        <w:tc>
          <w:tcPr>
            <w:tcW w:w="1900" w:type="dxa"/>
            <w:tcBorders/>
            <w:vAlign w:val="center"/>
          </w:tcPr>
          <w:p>
            <w:pPr>
              <w:pStyle w:val="MDPI42tablebody"/>
              <w:jc w:val="left"/>
            </w:pPr>
            <w:r>
              <w:rPr>
                <w:color w:val="0000FF"/>
                <w:sz w:val="16"/>
              </w:rPr>
              <w:t>Qwen2.5-0.5B</w:t>
            </w:r>
          </w:p>
        </w:tc>
        <w:tc>
          <w:tcPr>
            <w:tcW w:w="1150" w:type="dxa"/>
            <w:tcBorders/>
            <w:vAlign w:val="center"/>
          </w:tcPr>
          <w:p>
            <w:pPr>
              <w:pStyle w:val="MDPI42tablebody"/>
              <w:jc w:val="center"/>
            </w:pPr>
            <w:r>
              <w:rPr>
                <w:color w:val="0000FF"/>
                <w:sz w:val="16"/>
              </w:rPr>
              <w:t>0/3</w:t>
            </w:r>
          </w:p>
        </w:tc>
        <w:tc>
          <w:tcPr>
            <w:tcW w:w="1250" w:type="dxa"/>
            <w:tcBorders/>
            <w:vAlign w:val="center"/>
          </w:tcPr>
          <w:p>
            <w:pPr>
              <w:pStyle w:val="MDPI42tablebody"/>
              <w:jc w:val="center"/>
            </w:pPr>
            <w:r>
              <w:rPr>
                <w:color w:val="0000FF"/>
                <w:sz w:val="16"/>
              </w:rPr>
              <w:t>3/3</w:t>
            </w:r>
          </w:p>
        </w:tc>
        <w:tc>
          <w:tcPr>
            <w:tcW w:w="1250" w:type="dxa"/>
            <w:tcBorders/>
            <w:vAlign w:val="center"/>
          </w:tcPr>
          <w:p>
            <w:pPr>
              <w:pStyle w:val="MDPI42tablebody"/>
              <w:jc w:val="center"/>
            </w:pPr>
            <w:r>
              <w:rPr>
                <w:color w:val="0000FF"/>
                <w:sz w:val="16"/>
              </w:rPr>
              <w:t>0/3</w:t>
            </w:r>
          </w:p>
        </w:tc>
        <w:tc>
          <w:tcPr>
            <w:tcW w:w="1150" w:type="dxa"/>
            <w:tcBorders/>
            <w:vAlign w:val="center"/>
          </w:tcPr>
          <w:p>
            <w:pPr>
              <w:pStyle w:val="MDPI42tablebody"/>
              <w:jc w:val="center"/>
            </w:pPr>
            <w:r>
              <w:rPr>
                <w:color w:val="0000FF"/>
                <w:sz w:val="16"/>
              </w:rPr>
              <w:t>1/3</w:t>
            </w:r>
          </w:p>
        </w:tc>
        <w:tc>
          <w:tcPr>
            <w:tcW w:w="1250" w:type="dxa"/>
            <w:tcBorders/>
            <w:vAlign w:val="center"/>
          </w:tcPr>
          <w:p>
            <w:pPr>
              <w:pStyle w:val="MDPI42tablebody"/>
              <w:jc w:val="center"/>
            </w:pPr>
            <w:r>
              <w:rPr>
                <w:color w:val="0000FF"/>
                <w:sz w:val="16"/>
              </w:rPr>
              <w:t>2/3</w:t>
            </w:r>
          </w:p>
        </w:tc>
        <w:tc>
          <w:tcPr>
            <w:tcW w:w="1250" w:type="dxa"/>
            <w:tcBorders/>
            <w:vAlign w:val="center"/>
          </w:tcPr>
          <w:p>
            <w:pPr>
              <w:pStyle w:val="MDPI42tablebody"/>
              <w:jc w:val="center"/>
            </w:pPr>
            <w:r>
              <w:rPr>
                <w:color w:val="0000FF"/>
                <w:sz w:val="16"/>
              </w:rPr>
              <w:t>0/3</w:t>
            </w:r>
          </w:p>
        </w:tc>
        <w:tc>
          <w:tcPr>
            <w:tcW w:w="1266" w:type="dxa"/>
            <w:tcBorders/>
            <w:vAlign w:val="center"/>
          </w:tcPr>
          <w:p>
            <w:pPr>
              <w:pStyle w:val="MDPI42tablebody"/>
              <w:jc w:val="center"/>
            </w:pPr>
            <w:r>
              <w:rPr>
                <w:color w:val="0000FF"/>
                <w:sz w:val="16"/>
              </w:rPr>
              <w:t>4</w:t>
            </w:r>
          </w:p>
        </w:tc>
      </w:tr>
      <w:tr>
        <w:trPr>
          <w:cantSplit/>
        </w:trPr>
        <w:tc>
          <w:tcPr>
            <w:tcW w:w="1900" w:type="dxa"/>
            <w:tcBorders/>
            <w:vAlign w:val="center"/>
          </w:tcPr>
          <w:p>
            <w:pPr>
              <w:pStyle w:val="MDPI42tablebody"/>
              <w:jc w:val="left"/>
            </w:pPr>
            <w:r>
              <w:rPr>
                <w:color w:val="0000FF"/>
                <w:sz w:val="16"/>
              </w:rPr>
              <w:t>Qwen2.5-1.5B</w:t>
            </w:r>
          </w:p>
        </w:tc>
        <w:tc>
          <w:tcPr>
            <w:tcW w:w="1150" w:type="dxa"/>
            <w:tcBorders/>
            <w:vAlign w:val="center"/>
          </w:tcPr>
          <w:p>
            <w:pPr>
              <w:pStyle w:val="MDPI42tablebody"/>
              <w:jc w:val="center"/>
            </w:pPr>
            <w:r>
              <w:rPr>
                <w:color w:val="0000FF"/>
                <w:sz w:val="16"/>
              </w:rPr>
              <w:t>0/3</w:t>
            </w:r>
          </w:p>
        </w:tc>
        <w:tc>
          <w:tcPr>
            <w:tcW w:w="1250" w:type="dxa"/>
            <w:tcBorders/>
            <w:vAlign w:val="center"/>
          </w:tcPr>
          <w:p>
            <w:pPr>
              <w:pStyle w:val="MDPI42tablebody"/>
              <w:jc w:val="center"/>
            </w:pPr>
            <w:r>
              <w:rPr>
                <w:color w:val="0000FF"/>
                <w:sz w:val="16"/>
              </w:rPr>
              <w:t>2/3</w:t>
            </w:r>
          </w:p>
        </w:tc>
        <w:tc>
          <w:tcPr>
            <w:tcW w:w="1250" w:type="dxa"/>
            <w:tcBorders/>
            <w:vAlign w:val="center"/>
          </w:tcPr>
          <w:p>
            <w:pPr>
              <w:pStyle w:val="MDPI42tablebody"/>
              <w:jc w:val="center"/>
            </w:pPr>
            <w:r>
              <w:rPr>
                <w:color w:val="0000FF"/>
                <w:sz w:val="16"/>
              </w:rPr>
              <w:t>1/3</w:t>
            </w:r>
          </w:p>
        </w:tc>
        <w:tc>
          <w:tcPr>
            <w:tcW w:w="1150" w:type="dxa"/>
            <w:tcBorders/>
            <w:vAlign w:val="center"/>
          </w:tcPr>
          <w:p>
            <w:pPr>
              <w:pStyle w:val="MDPI42tablebody"/>
              <w:jc w:val="center"/>
            </w:pPr>
            <w:r>
              <w:rPr>
                <w:color w:val="0000FF"/>
                <w:sz w:val="16"/>
              </w:rPr>
              <w:t>1/3</w:t>
            </w:r>
          </w:p>
        </w:tc>
        <w:tc>
          <w:tcPr>
            <w:tcW w:w="1250" w:type="dxa"/>
            <w:tcBorders/>
            <w:vAlign w:val="center"/>
          </w:tcPr>
          <w:p>
            <w:pPr>
              <w:pStyle w:val="MDPI42tablebody"/>
              <w:jc w:val="center"/>
            </w:pPr>
            <w:r>
              <w:rPr>
                <w:color w:val="0000FF"/>
                <w:sz w:val="16"/>
              </w:rPr>
              <w:t>1/3</w:t>
            </w:r>
          </w:p>
        </w:tc>
        <w:tc>
          <w:tcPr>
            <w:tcW w:w="1250" w:type="dxa"/>
            <w:tcBorders/>
            <w:vAlign w:val="center"/>
          </w:tcPr>
          <w:p>
            <w:pPr>
              <w:pStyle w:val="MDPI42tablebody"/>
              <w:jc w:val="center"/>
            </w:pPr>
            <w:r>
              <w:rPr>
                <w:color w:val="0000FF"/>
                <w:sz w:val="16"/>
              </w:rPr>
              <w:t>0/3</w:t>
            </w:r>
          </w:p>
        </w:tc>
        <w:tc>
          <w:tcPr>
            <w:tcW w:w="1266" w:type="dxa"/>
            <w:tcBorders/>
            <w:vAlign w:val="center"/>
          </w:tcPr>
          <w:p>
            <w:pPr>
              <w:pStyle w:val="MDPI42tablebody"/>
              <w:jc w:val="center"/>
            </w:pPr>
            <w:r>
              <w:rPr>
                <w:color w:val="0000FF"/>
                <w:sz w:val="16"/>
              </w:rPr>
              <w:t>11</w:t>
            </w:r>
          </w:p>
        </w:tc>
      </w:tr>
      <w:tr>
        <w:trPr>
          <w:cantSplit/>
        </w:trPr>
        <w:tc>
          <w:tcPr>
            <w:tcW w:w="1900" w:type="dxa"/>
            <w:tcBorders>
              <w:bottom w:val="single" w:sz="8" w:space="0" w:color="000000"/>
            </w:tcBorders>
            <w:vAlign w:val="center"/>
          </w:tcPr>
          <w:p>
            <w:pPr>
              <w:pStyle w:val="MDPI42tablebody"/>
              <w:jc w:val="left"/>
            </w:pPr>
            <w:r>
              <w:rPr>
                <w:color w:val="0000FF"/>
                <w:sz w:val="16"/>
              </w:rPr>
              <w:t>Llama-3.2-1B</w:t>
            </w:r>
          </w:p>
        </w:tc>
        <w:tc>
          <w:tcPr>
            <w:tcW w:w="1150" w:type="dxa"/>
            <w:tcBorders>
              <w:bottom w:val="single" w:sz="8" w:space="0" w:color="000000"/>
            </w:tcBorders>
            <w:vAlign w:val="center"/>
          </w:tcPr>
          <w:p>
            <w:pPr>
              <w:pStyle w:val="MDPI42tablebody"/>
              <w:jc w:val="center"/>
            </w:pPr>
            <w:r>
              <w:rPr>
                <w:color w:val="0000FF"/>
                <w:sz w:val="16"/>
              </w:rPr>
              <w:t>1/3</w:t>
            </w:r>
          </w:p>
        </w:tc>
        <w:tc>
          <w:tcPr>
            <w:tcW w:w="1250" w:type="dxa"/>
            <w:tcBorders>
              <w:bottom w:val="single" w:sz="8" w:space="0" w:color="000000"/>
            </w:tcBorders>
            <w:vAlign w:val="center"/>
          </w:tcPr>
          <w:p>
            <w:pPr>
              <w:pStyle w:val="MDPI42tablebody"/>
              <w:jc w:val="center"/>
            </w:pPr>
            <w:r>
              <w:rPr>
                <w:color w:val="0000FF"/>
                <w:sz w:val="16"/>
              </w:rPr>
              <w:t>2/3</w:t>
            </w:r>
          </w:p>
        </w:tc>
        <w:tc>
          <w:tcPr>
            <w:tcW w:w="1250" w:type="dxa"/>
            <w:tcBorders>
              <w:bottom w:val="single" w:sz="8" w:space="0" w:color="000000"/>
            </w:tcBorders>
            <w:vAlign w:val="center"/>
          </w:tcPr>
          <w:p>
            <w:pPr>
              <w:pStyle w:val="MDPI42tablebody"/>
              <w:jc w:val="center"/>
            </w:pPr>
            <w:r>
              <w:rPr>
                <w:color w:val="0000FF"/>
                <w:sz w:val="16"/>
              </w:rPr>
              <w:t>1/3</w:t>
            </w:r>
          </w:p>
        </w:tc>
        <w:tc>
          <w:tcPr>
            <w:tcW w:w="1150" w:type="dxa"/>
            <w:tcBorders>
              <w:bottom w:val="single" w:sz="8" w:space="0" w:color="000000"/>
            </w:tcBorders>
            <w:vAlign w:val="center"/>
          </w:tcPr>
          <w:p>
            <w:pPr>
              <w:pStyle w:val="MDPI42tablebody"/>
              <w:jc w:val="center"/>
            </w:pPr>
            <w:r>
              <w:rPr>
                <w:color w:val="0000FF"/>
                <w:sz w:val="16"/>
              </w:rPr>
              <w:t>1/3</w:t>
            </w:r>
          </w:p>
        </w:tc>
        <w:tc>
          <w:tcPr>
            <w:tcW w:w="1250" w:type="dxa"/>
            <w:tcBorders>
              <w:bottom w:val="single" w:sz="8" w:space="0" w:color="000000"/>
            </w:tcBorders>
            <w:vAlign w:val="center"/>
          </w:tcPr>
          <w:p>
            <w:pPr>
              <w:pStyle w:val="MDPI42tablebody"/>
              <w:jc w:val="center"/>
            </w:pPr>
            <w:r>
              <w:rPr>
                <w:color w:val="0000FF"/>
                <w:sz w:val="16"/>
              </w:rPr>
              <w:t>0/3</w:t>
            </w:r>
          </w:p>
        </w:tc>
        <w:tc>
          <w:tcPr>
            <w:tcW w:w="1250" w:type="dxa"/>
            <w:tcBorders>
              <w:bottom w:val="single" w:sz="8" w:space="0" w:color="000000"/>
            </w:tcBorders>
            <w:vAlign w:val="center"/>
          </w:tcPr>
          <w:p>
            <w:pPr>
              <w:pStyle w:val="MDPI42tablebody"/>
              <w:jc w:val="center"/>
            </w:pPr>
            <w:r>
              <w:rPr>
                <w:color w:val="0000FF"/>
                <w:sz w:val="16"/>
              </w:rPr>
              <w:t>0/3</w:t>
            </w:r>
          </w:p>
        </w:tc>
        <w:tc>
          <w:tcPr>
            <w:tcW w:w="1266" w:type="dxa"/>
            <w:tcBorders>
              <w:bottom w:val="single" w:sz="8" w:space="0" w:color="000000"/>
            </w:tcBorders>
            <w:vAlign w:val="center"/>
          </w:tcPr>
          <w:p>
            <w:pPr>
              <w:pStyle w:val="MDPI42tablebody"/>
              <w:jc w:val="center"/>
            </w:pPr>
            <w:r>
              <w:rPr>
                <w:color w:val="0000FF"/>
                <w:sz w:val="16"/>
              </w:rPr>
              <w:t>9</w:t>
            </w:r>
          </w:p>
        </w:tc>
      </w:tr>
    </w:tbl>
    <w:p>
      <w:pPr>
        <w:pStyle w:val="MDPI31text"/>
      </w:pPr>
      <w:r>
        <w:rPr>
          <w:color w:val="0000FF"/>
        </w:rPr>
        <w:t xml:space="preserve">Two strong attractors selected on the main prompt also showed an interior peak: Qwen2.5-1.5B, alphabet, </w:t>
      </w:r>
      <w:r>
        <w:rPr>
          <w:i/>
          <w:color w:val="0000FF"/>
        </w:rPr>
        <w:t>m</w:t>
      </w:r>
      <w:r>
        <w:rPr>
          <w:color w:val="0000FF"/>
        </w:rPr>
        <w:t xml:space="preserve"> = 24 (peak at </w:t>
      </w:r>
      <w:r>
        <w:rPr>
          <w:i/>
          <w:color w:val="0000FF"/>
        </w:rPr>
        <w:t>T</w:t>
      </w:r>
      <w:r>
        <w:rPr>
          <w:color w:val="0000FF"/>
        </w:rPr>
        <w:t xml:space="preserve"> = 1.5, accuracy 0.19); Llama-3.2-1B, planets, </w:t>
      </w:r>
      <w:r>
        <w:rPr>
          <w:i/>
          <w:color w:val="0000FF"/>
        </w:rPr>
        <w:t>m</w:t>
      </w:r>
      <w:r>
        <w:rPr>
          <w:color w:val="0000FF"/>
        </w:rPr>
        <w:t xml:space="preserve"> = 16 (peak at </w:t>
      </w:r>
      <w:r>
        <w:rPr>
          <w:i/>
          <w:color w:val="0000FF"/>
        </w:rPr>
        <w:t>T</w:t>
      </w:r>
      <w:r>
        <w:rPr>
          <w:color w:val="0000FF"/>
        </w:rPr>
        <w:t xml:space="preserve"> = 2.5, accuracy 0.21). In both cases the peak lies inside the grid and the peak accuracy is low. This agrees with the stylised model of Section 3.4, in which strength is continuous and the existence of a peak depends on the number of candidates and on the spread of the other candidates as well as on the attractor, so that a longer run is not always "too strong". With only five temperatures and 20 trajectories per cell these curves cannot locate a peak precisely, and H2 is best read as: interior peaks occur for a minority of run lengths in a task- and model-dependent way, without a sharp boundary between sticky and strong attractors.</w:t>
      </w:r>
    </w:p>
    <w:p>
      <w:pPr>
        <w:pStyle w:val="MDPI22heading2"/>
      </w:pPr>
      <w:r>
        <w:rPr>
          <w:color w:val="0000FF"/>
        </w:rPr>
        <w:t>5.12. Full-Vocabulary Generation and Entailment-Clustered Semantic Entropy</w:t>
      </w:r>
    </w:p>
    <w:p>
      <w:pPr>
        <w:pStyle w:val="MDPI31text"/>
      </w:pPr>
      <w:r>
        <w:rPr>
          <w:color w:val="0000FF"/>
        </w:rPr>
        <w:t xml:space="preserve">The main experiments restrict each choice to the first tokens of the candidate items. In free generation there is no such restriction: each token is drawn from the whole vocabulary of the model, the reference is the clean-context distribution over the same vocabulary, and the estimator sums over tens of thousands of alternatives. Two things change. First, the meaning of the temperature. At </w:t>
      </w:r>
      <w:r>
        <w:rPr>
          <w:i/>
          <w:color w:val="0000FF"/>
        </w:rPr>
        <w:t>T</w:t>
      </w:r>
      <w:r>
        <w:rPr>
          <w:color w:val="0000FF"/>
        </w:rPr>
        <w:t xml:space="preserve"> = 0.8 the mean entropy per generated token was 0.40 nats, whereas at </w:t>
      </w:r>
      <w:r>
        <w:rPr>
          <w:i/>
          <w:color w:val="0000FF"/>
        </w:rPr>
        <w:t>T</w:t>
      </w:r>
      <w:r>
        <w:rPr>
          <w:color w:val="0000FF"/>
        </w:rPr>
        <w:t xml:space="preserve"> = 2.0 it was 10.5 nats, which is close to the logarithm of the vocabulary size (about 12 nats), and the sampled text is no longer a list; the first generated token was one of the candidates in only 0 to 70% of the completions. At </w:t>
      </w:r>
      <w:r>
        <w:rPr>
          <w:i/>
          <w:color w:val="0000FF"/>
        </w:rPr>
        <w:t>T</w:t>
      </w:r>
      <w:r>
        <w:rPr>
          <w:color w:val="0000FF"/>
        </w:rPr>
        <w:t xml:space="preserve"> = 2.0 the full-vocabulary estimate sat within two grid steps of the nominal temperature in every condition (1.82 to 2.16) and its interval spanned at most two grid points, because tens of thousands of tail tokens dominate the likelihood. It therefore carries no information about the context there. Second, restriction to the candidates changes the estimate for the same choices. For the first generated token, when the token was one of the candidates, the median ratio of the restricted to the full-vocabulary estimate was 1.00 at </w:t>
      </w:r>
      <w:r>
        <w:rPr>
          <w:i/>
          <w:color w:val="0000FF"/>
        </w:rPr>
        <w:t>T</w:t>
      </w:r>
      <w:r>
        <w:rPr>
          <w:color w:val="0000FF"/>
        </w:rPr>
        <w:t xml:space="preserve"> = 0.8 and 1.19 at </w:t>
      </w:r>
      <w:r>
        <w:rPr>
          <w:i/>
          <w:color w:val="0000FF"/>
        </w:rPr>
        <w:t>T</w:t>
      </w:r>
      <w:r>
        <w:rPr>
          <w:color w:val="0000FF"/>
        </w:rPr>
        <w:t xml:space="preserve"> = 2.0 (the probability mass outside the candidate set is removed by the restriction, so the restricted estimate is not an estimate of the same quantity). The temperature reading of the estimator is thus tied to the support on which it is computed, and values from Section 5 should not be compared with full-vocabulary values.</w:t>
      </w:r>
    </w:p>
    <w:p>
      <w:pPr>
        <w:pStyle w:val="MDPI31text"/>
      </w:pPr>
      <w:r>
        <w:rPr>
          <w:color w:val="0000FF"/>
        </w:rPr>
        <w:t xml:space="preserve">Table 18 compares the indicators on the free-generation cells, with semantic entropy computed after clustering the 20 completions of each cell with an entailment model, in both directions and given the task instruction, and with the exact-match version for comparison. Entailment clustering reduced the number of distinct completions drastically (for instance from 20 to 2 or 3 clusters in several low-temperature cells), so the exact-match entropy of Section 5.6 was a poor proxy for the clustered one. It remained a weak detector. Pooled over the two models and four condition types, the entailment-clustered entropy flagged 10 of 32 distorted cells, token entropy 16, the reference log-likelihood 17, and </w:t>
      </w:r>
      <w:r>
        <w:rPr>
          <w:i/>
          <w:color w:val="0000FF"/>
        </w:rPr>
        <w:t>T</w:t>
      </w:r>
      <w:r>
        <w:rPr>
          <w:color w:val="0000FF"/>
        </w:rPr>
        <w:t>eff</w:t>
      </w:r>
      <w:r>
        <w:rPr>
          <w:color w:val="0000FF"/>
        </w:rPr>
        <w:t xml:space="preserve"> 0. The temperature fit did not flag any distorted cell in free generation, and none of the indicators separated the conditions well. We cannot say whether the entailment model clusters near-repetitive list text in a meaningful way.</w:t>
      </w:r>
    </w:p>
    <w:p>
      <w:pPr>
        <w:pStyle w:val="MDPI41tablecaption"/>
      </w:pPr>
      <w:r>
        <w:rPr>
          <w:b/>
          <w:color w:val="0000FF"/>
        </w:rPr>
        <w:t xml:space="preserve">Table 18. </w:t>
      </w:r>
      <w:r>
        <w:rPr>
          <w:color w:val="0000FF"/>
        </w:rPr>
        <w:t xml:space="preserve"> Free generation with the full vocabulary (Qwen2.5-1.5B and Llama-3.2-1B; alphabet and months; </w:t>
      </w:r>
      <w:r>
        <w:rPr>
          <w:i/>
          <w:color w:val="0000FF"/>
        </w:rPr>
        <w:t>T</w:t>
      </w:r>
      <w:r>
        <w:rPr>
          <w:color w:val="0000FF"/>
        </w:rPr>
        <w:t xml:space="preserve"> = 0.8 and 2.0; 20 completions per cell): distorted cells flagged out of eight per condition, and mean two-sided trajectory-level AUC against the matched clean cell.</w:t>
      </w:r>
    </w:p>
    <w:tbl>
      <w:tblPr>
        <w:tblW w:w="10466" w:type="dxa"/>
        <w:tblInd w:w="0" w:type="dxa"/>
        <w:tblLayout w:type="fixed"/>
      </w:tblPr>
      <w:tblGrid>
        <w:gridCol w:w="1100"/>
        <w:gridCol w:w="950"/>
        <w:gridCol w:w="1100"/>
        <w:gridCol w:w="800"/>
        <w:gridCol w:w="900"/>
        <w:gridCol w:w="1200"/>
        <w:gridCol w:w="1200"/>
        <w:gridCol w:w="1050"/>
        <w:gridCol w:w="1050"/>
        <w:gridCol w:w="1116"/>
      </w:tblGrid>
      <w:tr>
        <w:trPr>
          <w:cantSplit/>
          <w:tblHeader/>
        </w:trPr>
        <w:tc>
          <w:tcPr>
            <w:tcW w:w="1100" w:type="dxa"/>
            <w:tcBorders>
              <w:top w:val="single" w:sz="8" w:space="0" w:color="000000"/>
              <w:bottom w:val="single" w:sz="4" w:space="0" w:color="000000"/>
            </w:tcBorders>
            <w:vAlign w:val="center"/>
          </w:tcPr>
          <w:p>
            <w:pPr>
              <w:pStyle w:val="MDPI42tablebody"/>
              <w:jc w:val="left"/>
            </w:pPr>
            <w:r>
              <w:rPr>
                <w:b/>
                <w:color w:val="0000FF"/>
                <w:sz w:val="16"/>
              </w:rPr>
              <w:t>Condition</w:t>
            </w:r>
          </w:p>
        </w:tc>
        <w:tc>
          <w:tcPr>
            <w:tcW w:w="950" w:type="dxa"/>
            <w:tcBorders>
              <w:top w:val="single" w:sz="8" w:space="0" w:color="000000"/>
              <w:bottom w:val="single" w:sz="4" w:space="0" w:color="000000"/>
            </w:tcBorders>
            <w:vAlign w:val="center"/>
          </w:tcPr>
          <w:p>
            <w:pPr>
              <w:pStyle w:val="MDPI42tablebody"/>
              <w:jc w:val="center"/>
            </w:pPr>
            <w:r>
              <w:rPr>
                <w:b/>
                <w:color w:val="0000FF"/>
                <w:sz w:val="16"/>
              </w:rPr>
              <w:t>Entropy</w:t>
            </w:r>
          </w:p>
        </w:tc>
        <w:tc>
          <w:tcPr>
            <w:tcW w:w="1100" w:type="dxa"/>
            <w:tcBorders>
              <w:top w:val="single" w:sz="8" w:space="0" w:color="000000"/>
              <w:bottom w:val="single" w:sz="4" w:space="0" w:color="000000"/>
            </w:tcBorders>
            <w:vAlign w:val="center"/>
          </w:tcPr>
          <w:p>
            <w:pPr>
              <w:pStyle w:val="MDPI42tablebody"/>
              <w:jc w:val="center"/>
            </w:pPr>
            <w:r>
              <w:rPr>
                <w:b/>
                <w:color w:val="0000FF"/>
                <w:sz w:val="16"/>
              </w:rPr>
              <w:t>Ref. log-lik.</w:t>
            </w:r>
          </w:p>
        </w:tc>
        <w:tc>
          <w:tcPr>
            <w:tcW w:w="800" w:type="dxa"/>
            <w:tcBorders>
              <w:top w:val="single" w:sz="8" w:space="0" w:color="000000"/>
              <w:bottom w:val="single" w:sz="4" w:space="0" w:color="000000"/>
            </w:tcBorders>
            <w:vAlign w:val="center"/>
          </w:tcPr>
          <w:p>
            <w:pPr>
              <w:pStyle w:val="MDPI42tablebody"/>
              <w:jc w:val="center"/>
            </w:pPr>
            <w:r>
              <w:rPr>
                <w:b/>
                <w:color w:val="0000FF"/>
                <w:sz w:val="16"/>
              </w:rPr>
              <w:t>KL</w:t>
            </w:r>
          </w:p>
        </w:tc>
        <w:tc>
          <w:tcPr>
            <w:tcW w:w="900" w:type="dxa"/>
            <w:tcBorders>
              <w:top w:val="single" w:sz="8" w:space="0" w:color="000000"/>
              <w:bottom w:val="single" w:sz="4" w:space="0" w:color="000000"/>
            </w:tcBorders>
            <w:vAlign w:val="center"/>
          </w:tcPr>
          <w:p>
            <w:pPr>
              <w:pStyle w:val="MDPI42tablebody"/>
              <w:jc w:val="center"/>
            </w:pPr>
            <w:r>
              <w:rPr>
                <w:b/>
                <w:i/>
                <w:color w:val="0000FF"/>
                <w:sz w:val="16"/>
              </w:rPr>
              <w:t>T</w:t>
            </w:r>
            <w:r>
              <w:rPr>
                <w:b/>
                <w:color w:val="0000FF"/>
                <w:sz w:val="16"/>
              </w:rPr>
              <w:t>eff</w:t>
            </w:r>
          </w:p>
        </w:tc>
        <w:tc>
          <w:tcPr>
            <w:tcW w:w="1200" w:type="dxa"/>
            <w:tcBorders>
              <w:top w:val="single" w:sz="8" w:space="0" w:color="000000"/>
              <w:bottom w:val="single" w:sz="4" w:space="0" w:color="000000"/>
            </w:tcBorders>
            <w:vAlign w:val="center"/>
          </w:tcPr>
          <w:p>
            <w:pPr>
              <w:pStyle w:val="MDPI42tablebody"/>
              <w:jc w:val="center"/>
            </w:pPr>
            <w:r>
              <w:rPr>
                <w:b/>
                <w:color w:val="0000FF"/>
                <w:sz w:val="16"/>
              </w:rPr>
              <w:t>Exact-match SE</w:t>
            </w:r>
          </w:p>
        </w:tc>
        <w:tc>
          <w:tcPr>
            <w:tcW w:w="1200" w:type="dxa"/>
            <w:tcBorders>
              <w:top w:val="single" w:sz="8" w:space="0" w:color="000000"/>
              <w:bottom w:val="single" w:sz="4" w:space="0" w:color="000000"/>
            </w:tcBorders>
            <w:vAlign w:val="center"/>
          </w:tcPr>
          <w:p>
            <w:pPr>
              <w:pStyle w:val="MDPI42tablebody"/>
              <w:jc w:val="center"/>
            </w:pPr>
            <w:r>
              <w:rPr>
                <w:b/>
                <w:color w:val="0000FF"/>
                <w:sz w:val="16"/>
              </w:rPr>
              <w:t>Entailment SE</w:t>
            </w:r>
          </w:p>
        </w:tc>
        <w:tc>
          <w:tcPr>
            <w:tcW w:w="1050" w:type="dxa"/>
            <w:tcBorders>
              <w:top w:val="single" w:sz="8" w:space="0" w:color="000000"/>
              <w:bottom w:val="single" w:sz="4" w:space="0" w:color="000000"/>
            </w:tcBorders>
            <w:vAlign w:val="center"/>
          </w:tcPr>
          <w:p>
            <w:pPr>
              <w:pStyle w:val="MDPI42tablebody"/>
              <w:jc w:val="center"/>
            </w:pPr>
            <w:r>
              <w:rPr>
                <w:b/>
                <w:color w:val="0000FF"/>
                <w:sz w:val="16"/>
              </w:rPr>
              <w:t>AUC: entropy</w:t>
            </w:r>
          </w:p>
        </w:tc>
        <w:tc>
          <w:tcPr>
            <w:tcW w:w="1050" w:type="dxa"/>
            <w:tcBorders>
              <w:top w:val="single" w:sz="8" w:space="0" w:color="000000"/>
              <w:bottom w:val="single" w:sz="4" w:space="0" w:color="000000"/>
            </w:tcBorders>
            <w:vAlign w:val="center"/>
          </w:tcPr>
          <w:p>
            <w:pPr>
              <w:pStyle w:val="MDPI42tablebody"/>
              <w:jc w:val="center"/>
            </w:pPr>
            <w:r>
              <w:rPr>
                <w:b/>
                <w:color w:val="0000FF"/>
                <w:sz w:val="16"/>
              </w:rPr>
              <w:t>AUC: log-lik.</w:t>
            </w:r>
          </w:p>
        </w:tc>
        <w:tc>
          <w:tcPr>
            <w:tcW w:w="1116" w:type="dxa"/>
            <w:tcBorders>
              <w:top w:val="single" w:sz="8" w:space="0" w:color="000000"/>
              <w:bottom w:val="single" w:sz="4" w:space="0" w:color="000000"/>
            </w:tcBorders>
            <w:vAlign w:val="center"/>
          </w:tcPr>
          <w:p>
            <w:pPr>
              <w:pStyle w:val="MDPI42tablebody"/>
              <w:jc w:val="center"/>
            </w:pPr>
            <w:r>
              <w:rPr>
                <w:b/>
                <w:color w:val="0000FF"/>
                <w:sz w:val="16"/>
              </w:rPr>
              <w:t xml:space="preserve">AUC: </w:t>
            </w:r>
            <w:r>
              <w:rPr>
                <w:b/>
                <w:i/>
                <w:color w:val="0000FF"/>
                <w:sz w:val="16"/>
              </w:rPr>
              <w:t>T</w:t>
            </w:r>
            <w:r>
              <w:rPr>
                <w:b/>
                <w:color w:val="0000FF"/>
                <w:sz w:val="16"/>
              </w:rPr>
              <w:t>eff</w:t>
            </w:r>
          </w:p>
        </w:tc>
      </w:tr>
      <w:tr>
        <w:trPr>
          <w:cantSplit/>
        </w:trPr>
        <w:tc>
          <w:tcPr>
            <w:tcW w:w="1100" w:type="dxa"/>
            <w:tcBorders/>
            <w:vAlign w:val="center"/>
          </w:tcPr>
          <w:p>
            <w:pPr>
              <w:pStyle w:val="MDPI42tablebody"/>
              <w:jc w:val="left"/>
            </w:pPr>
            <w:r>
              <w:rPr>
                <w:color w:val="0000FF"/>
                <w:sz w:val="16"/>
              </w:rPr>
              <w:t>P0</w:t>
            </w:r>
          </w:p>
        </w:tc>
        <w:tc>
          <w:tcPr>
            <w:tcW w:w="950" w:type="dxa"/>
            <w:tcBorders/>
            <w:vAlign w:val="center"/>
          </w:tcPr>
          <w:p>
            <w:pPr>
              <w:pStyle w:val="MDPI42tablebody"/>
              <w:jc w:val="center"/>
            </w:pPr>
            <w:r>
              <w:rPr>
                <w:color w:val="0000FF"/>
                <w:sz w:val="16"/>
              </w:rPr>
              <w:t>3/8</w:t>
            </w:r>
          </w:p>
        </w:tc>
        <w:tc>
          <w:tcPr>
            <w:tcW w:w="1100" w:type="dxa"/>
            <w:tcBorders/>
            <w:vAlign w:val="center"/>
          </w:tcPr>
          <w:p>
            <w:pPr>
              <w:pStyle w:val="MDPI42tablebody"/>
              <w:jc w:val="center"/>
            </w:pPr>
            <w:r>
              <w:rPr>
                <w:color w:val="0000FF"/>
                <w:sz w:val="16"/>
              </w:rPr>
              <w:t>1/8</w:t>
            </w:r>
          </w:p>
        </w:tc>
        <w:tc>
          <w:tcPr>
            <w:tcW w:w="800" w:type="dxa"/>
            <w:tcBorders/>
            <w:vAlign w:val="center"/>
          </w:tcPr>
          <w:p>
            <w:pPr>
              <w:pStyle w:val="MDPI42tablebody"/>
              <w:jc w:val="center"/>
            </w:pPr>
            <w:r>
              <w:rPr>
                <w:color w:val="0000FF"/>
                <w:sz w:val="16"/>
              </w:rPr>
              <w:t>2/8</w:t>
            </w:r>
          </w:p>
        </w:tc>
        <w:tc>
          <w:tcPr>
            <w:tcW w:w="900" w:type="dxa"/>
            <w:tcBorders/>
            <w:vAlign w:val="center"/>
          </w:tcPr>
          <w:p>
            <w:pPr>
              <w:pStyle w:val="MDPI42tablebody"/>
              <w:jc w:val="center"/>
            </w:pPr>
            <w:r>
              <w:rPr>
                <w:color w:val="0000FF"/>
                <w:sz w:val="16"/>
              </w:rPr>
              <w:t>0/8</w:t>
            </w:r>
          </w:p>
        </w:tc>
        <w:tc>
          <w:tcPr>
            <w:tcW w:w="1200" w:type="dxa"/>
            <w:tcBorders/>
            <w:vAlign w:val="center"/>
          </w:tcPr>
          <w:p>
            <w:pPr>
              <w:pStyle w:val="MDPI42tablebody"/>
              <w:jc w:val="center"/>
            </w:pPr>
            <w:r>
              <w:rPr>
                <w:color w:val="0000FF"/>
                <w:sz w:val="16"/>
              </w:rPr>
              <w:t>0/8</w:t>
            </w:r>
          </w:p>
        </w:tc>
        <w:tc>
          <w:tcPr>
            <w:tcW w:w="1200" w:type="dxa"/>
            <w:tcBorders/>
            <w:vAlign w:val="center"/>
          </w:tcPr>
          <w:p>
            <w:pPr>
              <w:pStyle w:val="MDPI42tablebody"/>
              <w:jc w:val="center"/>
            </w:pPr>
            <w:r>
              <w:rPr>
                <w:color w:val="0000FF"/>
                <w:sz w:val="16"/>
              </w:rPr>
              <w:t>2/8</w:t>
            </w:r>
          </w:p>
        </w:tc>
        <w:tc>
          <w:tcPr>
            <w:tcW w:w="1050" w:type="dxa"/>
            <w:tcBorders/>
            <w:vAlign w:val="center"/>
          </w:tcPr>
          <w:p>
            <w:pPr>
              <w:pStyle w:val="MDPI42tablebody"/>
              <w:jc w:val="center"/>
            </w:pPr>
            <w:r>
              <w:rPr>
                <w:color w:val="0000FF"/>
                <w:sz w:val="16"/>
              </w:rPr>
              <w:t>0.66</w:t>
            </w:r>
          </w:p>
        </w:tc>
        <w:tc>
          <w:tcPr>
            <w:tcW w:w="1050" w:type="dxa"/>
            <w:tcBorders/>
            <w:vAlign w:val="center"/>
          </w:tcPr>
          <w:p>
            <w:pPr>
              <w:pStyle w:val="MDPI42tablebody"/>
              <w:jc w:val="center"/>
            </w:pPr>
            <w:r>
              <w:rPr>
                <w:color w:val="0000FF"/>
                <w:sz w:val="16"/>
              </w:rPr>
              <w:t>0.60</w:t>
            </w:r>
          </w:p>
        </w:tc>
        <w:tc>
          <w:tcPr>
            <w:tcW w:w="1116" w:type="dxa"/>
            <w:tcBorders/>
            <w:vAlign w:val="center"/>
          </w:tcPr>
          <w:p>
            <w:pPr>
              <w:pStyle w:val="MDPI42tablebody"/>
              <w:jc w:val="center"/>
            </w:pPr>
            <w:r>
              <w:rPr>
                <w:color w:val="0000FF"/>
                <w:sz w:val="16"/>
              </w:rPr>
              <w:t>0.59</w:t>
            </w:r>
          </w:p>
        </w:tc>
      </w:tr>
      <w:tr>
        <w:trPr>
          <w:cantSplit/>
        </w:trPr>
        <w:tc>
          <w:tcPr>
            <w:tcW w:w="1100" w:type="dxa"/>
            <w:tcBorders/>
            <w:vAlign w:val="center"/>
          </w:tcPr>
          <w:p>
            <w:pPr>
              <w:pStyle w:val="MDPI42tablebody"/>
              <w:jc w:val="left"/>
            </w:pPr>
            <w:r>
              <w:rPr>
                <w:color w:val="0000FF"/>
                <w:sz w:val="16"/>
              </w:rPr>
              <w:t>C0</w:t>
            </w:r>
          </w:p>
        </w:tc>
        <w:tc>
          <w:tcPr>
            <w:tcW w:w="950" w:type="dxa"/>
            <w:tcBorders/>
            <w:vAlign w:val="center"/>
          </w:tcPr>
          <w:p>
            <w:pPr>
              <w:pStyle w:val="MDPI42tablebody"/>
              <w:jc w:val="center"/>
            </w:pPr>
            <w:r>
              <w:rPr>
                <w:color w:val="0000FF"/>
                <w:sz w:val="16"/>
              </w:rPr>
              <w:t>4/8</w:t>
            </w:r>
          </w:p>
        </w:tc>
        <w:tc>
          <w:tcPr>
            <w:tcW w:w="1100" w:type="dxa"/>
            <w:tcBorders/>
            <w:vAlign w:val="center"/>
          </w:tcPr>
          <w:p>
            <w:pPr>
              <w:pStyle w:val="MDPI42tablebody"/>
              <w:jc w:val="center"/>
            </w:pPr>
            <w:r>
              <w:rPr>
                <w:color w:val="0000FF"/>
                <w:sz w:val="16"/>
              </w:rPr>
              <w:t>6/8</w:t>
            </w:r>
          </w:p>
        </w:tc>
        <w:tc>
          <w:tcPr>
            <w:tcW w:w="800" w:type="dxa"/>
            <w:tcBorders/>
            <w:vAlign w:val="center"/>
          </w:tcPr>
          <w:p>
            <w:pPr>
              <w:pStyle w:val="MDPI42tablebody"/>
              <w:jc w:val="center"/>
            </w:pPr>
            <w:r>
              <w:rPr>
                <w:color w:val="0000FF"/>
                <w:sz w:val="16"/>
              </w:rPr>
              <w:t>1/8</w:t>
            </w:r>
          </w:p>
        </w:tc>
        <w:tc>
          <w:tcPr>
            <w:tcW w:w="900" w:type="dxa"/>
            <w:tcBorders/>
            <w:vAlign w:val="center"/>
          </w:tcPr>
          <w:p>
            <w:pPr>
              <w:pStyle w:val="MDPI42tablebody"/>
              <w:jc w:val="center"/>
            </w:pPr>
            <w:r>
              <w:rPr>
                <w:color w:val="0000FF"/>
                <w:sz w:val="16"/>
              </w:rPr>
              <w:t>0/8</w:t>
            </w:r>
          </w:p>
        </w:tc>
        <w:tc>
          <w:tcPr>
            <w:tcW w:w="1200" w:type="dxa"/>
            <w:tcBorders/>
            <w:vAlign w:val="center"/>
          </w:tcPr>
          <w:p>
            <w:pPr>
              <w:pStyle w:val="MDPI42tablebody"/>
              <w:jc w:val="center"/>
            </w:pPr>
            <w:r>
              <w:rPr>
                <w:color w:val="0000FF"/>
                <w:sz w:val="16"/>
              </w:rPr>
              <w:t>1/8</w:t>
            </w:r>
          </w:p>
        </w:tc>
        <w:tc>
          <w:tcPr>
            <w:tcW w:w="1200" w:type="dxa"/>
            <w:tcBorders/>
            <w:vAlign w:val="center"/>
          </w:tcPr>
          <w:p>
            <w:pPr>
              <w:pStyle w:val="MDPI42tablebody"/>
              <w:jc w:val="center"/>
            </w:pPr>
            <w:r>
              <w:rPr>
                <w:color w:val="0000FF"/>
                <w:sz w:val="16"/>
              </w:rPr>
              <w:t>2/8</w:t>
            </w:r>
          </w:p>
        </w:tc>
        <w:tc>
          <w:tcPr>
            <w:tcW w:w="1050" w:type="dxa"/>
            <w:tcBorders/>
            <w:vAlign w:val="center"/>
          </w:tcPr>
          <w:p>
            <w:pPr>
              <w:pStyle w:val="MDPI42tablebody"/>
              <w:jc w:val="center"/>
            </w:pPr>
            <w:r>
              <w:rPr>
                <w:color w:val="0000FF"/>
                <w:sz w:val="16"/>
              </w:rPr>
              <w:t>0.61</w:t>
            </w:r>
          </w:p>
        </w:tc>
        <w:tc>
          <w:tcPr>
            <w:tcW w:w="1050" w:type="dxa"/>
            <w:tcBorders/>
            <w:vAlign w:val="center"/>
          </w:tcPr>
          <w:p>
            <w:pPr>
              <w:pStyle w:val="MDPI42tablebody"/>
              <w:jc w:val="center"/>
            </w:pPr>
            <w:r>
              <w:rPr>
                <w:color w:val="0000FF"/>
                <w:sz w:val="16"/>
              </w:rPr>
              <w:t>0.67</w:t>
            </w:r>
          </w:p>
        </w:tc>
        <w:tc>
          <w:tcPr>
            <w:tcW w:w="1116" w:type="dxa"/>
            <w:tcBorders/>
            <w:vAlign w:val="center"/>
          </w:tcPr>
          <w:p>
            <w:pPr>
              <w:pStyle w:val="MDPI42tablebody"/>
              <w:jc w:val="center"/>
            </w:pPr>
            <w:r>
              <w:rPr>
                <w:color w:val="0000FF"/>
                <w:sz w:val="16"/>
              </w:rPr>
              <w:t>0.64</w:t>
            </w:r>
          </w:p>
        </w:tc>
      </w:tr>
      <w:tr>
        <w:trPr>
          <w:cantSplit/>
        </w:trPr>
        <w:tc>
          <w:tcPr>
            <w:tcW w:w="1100" w:type="dxa"/>
            <w:tcBorders/>
            <w:vAlign w:val="center"/>
          </w:tcPr>
          <w:p>
            <w:pPr>
              <w:pStyle w:val="MDPI42tablebody"/>
              <w:jc w:val="left"/>
            </w:pPr>
            <w:r>
              <w:rPr>
                <w:color w:val="0000FF"/>
                <w:sz w:val="16"/>
              </w:rPr>
              <w:t>P0+C0</w:t>
            </w:r>
          </w:p>
        </w:tc>
        <w:tc>
          <w:tcPr>
            <w:tcW w:w="950" w:type="dxa"/>
            <w:tcBorders/>
            <w:vAlign w:val="center"/>
          </w:tcPr>
          <w:p>
            <w:pPr>
              <w:pStyle w:val="MDPI42tablebody"/>
              <w:jc w:val="center"/>
            </w:pPr>
            <w:r>
              <w:rPr>
                <w:color w:val="0000FF"/>
                <w:sz w:val="16"/>
              </w:rPr>
              <w:t>4/8</w:t>
            </w:r>
          </w:p>
        </w:tc>
        <w:tc>
          <w:tcPr>
            <w:tcW w:w="1100" w:type="dxa"/>
            <w:tcBorders/>
            <w:vAlign w:val="center"/>
          </w:tcPr>
          <w:p>
            <w:pPr>
              <w:pStyle w:val="MDPI42tablebody"/>
              <w:jc w:val="center"/>
            </w:pPr>
            <w:r>
              <w:rPr>
                <w:color w:val="0000FF"/>
                <w:sz w:val="16"/>
              </w:rPr>
              <w:t>3/8</w:t>
            </w:r>
          </w:p>
        </w:tc>
        <w:tc>
          <w:tcPr>
            <w:tcW w:w="800" w:type="dxa"/>
            <w:tcBorders/>
            <w:vAlign w:val="center"/>
          </w:tcPr>
          <w:p>
            <w:pPr>
              <w:pStyle w:val="MDPI42tablebody"/>
              <w:jc w:val="center"/>
            </w:pPr>
            <w:r>
              <w:rPr>
                <w:color w:val="0000FF"/>
                <w:sz w:val="16"/>
              </w:rPr>
              <w:t>2/8</w:t>
            </w:r>
          </w:p>
        </w:tc>
        <w:tc>
          <w:tcPr>
            <w:tcW w:w="900" w:type="dxa"/>
            <w:tcBorders/>
            <w:vAlign w:val="center"/>
          </w:tcPr>
          <w:p>
            <w:pPr>
              <w:pStyle w:val="MDPI42tablebody"/>
              <w:jc w:val="center"/>
            </w:pPr>
            <w:r>
              <w:rPr>
                <w:color w:val="0000FF"/>
                <w:sz w:val="16"/>
              </w:rPr>
              <w:t>0/8</w:t>
            </w:r>
          </w:p>
        </w:tc>
        <w:tc>
          <w:tcPr>
            <w:tcW w:w="1200" w:type="dxa"/>
            <w:tcBorders/>
            <w:vAlign w:val="center"/>
          </w:tcPr>
          <w:p>
            <w:pPr>
              <w:pStyle w:val="MDPI42tablebody"/>
              <w:jc w:val="center"/>
            </w:pPr>
            <w:r>
              <w:rPr>
                <w:color w:val="0000FF"/>
                <w:sz w:val="16"/>
              </w:rPr>
              <w:t>1/8</w:t>
            </w:r>
          </w:p>
        </w:tc>
        <w:tc>
          <w:tcPr>
            <w:tcW w:w="1200" w:type="dxa"/>
            <w:tcBorders/>
            <w:vAlign w:val="center"/>
          </w:tcPr>
          <w:p>
            <w:pPr>
              <w:pStyle w:val="MDPI42tablebody"/>
              <w:jc w:val="center"/>
            </w:pPr>
            <w:r>
              <w:rPr>
                <w:color w:val="0000FF"/>
                <w:sz w:val="16"/>
              </w:rPr>
              <w:t>2/8</w:t>
            </w:r>
          </w:p>
        </w:tc>
        <w:tc>
          <w:tcPr>
            <w:tcW w:w="1050" w:type="dxa"/>
            <w:tcBorders/>
            <w:vAlign w:val="center"/>
          </w:tcPr>
          <w:p>
            <w:pPr>
              <w:pStyle w:val="MDPI42tablebody"/>
              <w:jc w:val="center"/>
            </w:pPr>
            <w:r>
              <w:rPr>
                <w:color w:val="0000FF"/>
                <w:sz w:val="16"/>
              </w:rPr>
              <w:t>0.66</w:t>
            </w:r>
          </w:p>
        </w:tc>
        <w:tc>
          <w:tcPr>
            <w:tcW w:w="1050" w:type="dxa"/>
            <w:tcBorders/>
            <w:vAlign w:val="center"/>
          </w:tcPr>
          <w:p>
            <w:pPr>
              <w:pStyle w:val="MDPI42tablebody"/>
              <w:jc w:val="center"/>
            </w:pPr>
            <w:r>
              <w:rPr>
                <w:color w:val="0000FF"/>
                <w:sz w:val="16"/>
              </w:rPr>
              <w:t>0.61</w:t>
            </w:r>
          </w:p>
        </w:tc>
        <w:tc>
          <w:tcPr>
            <w:tcW w:w="1116" w:type="dxa"/>
            <w:tcBorders/>
            <w:vAlign w:val="center"/>
          </w:tcPr>
          <w:p>
            <w:pPr>
              <w:pStyle w:val="MDPI42tablebody"/>
              <w:jc w:val="center"/>
            </w:pPr>
            <w:r>
              <w:rPr>
                <w:color w:val="0000FF"/>
                <w:sz w:val="16"/>
              </w:rPr>
              <w:t>0.63</w:t>
            </w:r>
          </w:p>
        </w:tc>
      </w:tr>
      <w:tr>
        <w:trPr>
          <w:cantSplit/>
        </w:trPr>
        <w:tc>
          <w:tcPr>
            <w:tcW w:w="1100" w:type="dxa"/>
            <w:tcBorders>
              <w:bottom w:val="single" w:sz="8" w:space="0" w:color="000000"/>
            </w:tcBorders>
            <w:vAlign w:val="center"/>
          </w:tcPr>
          <w:p>
            <w:pPr>
              <w:pStyle w:val="MDPI42tablebody"/>
              <w:jc w:val="left"/>
            </w:pPr>
            <w:r>
              <w:rPr>
                <w:color w:val="0000FF"/>
                <w:sz w:val="16"/>
              </w:rPr>
              <w:t>C2</w:t>
            </w:r>
          </w:p>
        </w:tc>
        <w:tc>
          <w:tcPr>
            <w:tcW w:w="950" w:type="dxa"/>
            <w:tcBorders>
              <w:bottom w:val="single" w:sz="8" w:space="0" w:color="000000"/>
            </w:tcBorders>
            <w:vAlign w:val="center"/>
          </w:tcPr>
          <w:p>
            <w:pPr>
              <w:pStyle w:val="MDPI42tablebody"/>
              <w:jc w:val="center"/>
            </w:pPr>
            <w:r>
              <w:rPr>
                <w:color w:val="0000FF"/>
                <w:sz w:val="16"/>
              </w:rPr>
              <w:t>5/8</w:t>
            </w:r>
          </w:p>
        </w:tc>
        <w:tc>
          <w:tcPr>
            <w:tcW w:w="1100" w:type="dxa"/>
            <w:tcBorders>
              <w:bottom w:val="single" w:sz="8" w:space="0" w:color="000000"/>
            </w:tcBorders>
            <w:vAlign w:val="center"/>
          </w:tcPr>
          <w:p>
            <w:pPr>
              <w:pStyle w:val="MDPI42tablebody"/>
              <w:jc w:val="center"/>
            </w:pPr>
            <w:r>
              <w:rPr>
                <w:color w:val="0000FF"/>
                <w:sz w:val="16"/>
              </w:rPr>
              <w:t>7/8</w:t>
            </w:r>
          </w:p>
        </w:tc>
        <w:tc>
          <w:tcPr>
            <w:tcW w:w="800" w:type="dxa"/>
            <w:tcBorders>
              <w:bottom w:val="single" w:sz="8" w:space="0" w:color="000000"/>
            </w:tcBorders>
            <w:vAlign w:val="center"/>
          </w:tcPr>
          <w:p>
            <w:pPr>
              <w:pStyle w:val="MDPI42tablebody"/>
              <w:jc w:val="center"/>
            </w:pPr>
            <w:r>
              <w:rPr>
                <w:color w:val="0000FF"/>
                <w:sz w:val="16"/>
              </w:rPr>
              <w:t>5/8</w:t>
            </w:r>
          </w:p>
        </w:tc>
        <w:tc>
          <w:tcPr>
            <w:tcW w:w="900" w:type="dxa"/>
            <w:tcBorders>
              <w:bottom w:val="single" w:sz="8" w:space="0" w:color="000000"/>
            </w:tcBorders>
            <w:vAlign w:val="center"/>
          </w:tcPr>
          <w:p>
            <w:pPr>
              <w:pStyle w:val="MDPI42tablebody"/>
              <w:jc w:val="center"/>
            </w:pPr>
            <w:r>
              <w:rPr>
                <w:color w:val="0000FF"/>
                <w:sz w:val="16"/>
              </w:rPr>
              <w:t>0/8</w:t>
            </w:r>
          </w:p>
        </w:tc>
        <w:tc>
          <w:tcPr>
            <w:tcW w:w="1200" w:type="dxa"/>
            <w:tcBorders>
              <w:bottom w:val="single" w:sz="8" w:space="0" w:color="000000"/>
            </w:tcBorders>
            <w:vAlign w:val="center"/>
          </w:tcPr>
          <w:p>
            <w:pPr>
              <w:pStyle w:val="MDPI42tablebody"/>
              <w:jc w:val="center"/>
            </w:pPr>
            <w:r>
              <w:rPr>
                <w:color w:val="0000FF"/>
                <w:sz w:val="16"/>
              </w:rPr>
              <w:t>1/8</w:t>
            </w:r>
          </w:p>
        </w:tc>
        <w:tc>
          <w:tcPr>
            <w:tcW w:w="1200" w:type="dxa"/>
            <w:tcBorders>
              <w:bottom w:val="single" w:sz="8" w:space="0" w:color="000000"/>
            </w:tcBorders>
            <w:vAlign w:val="center"/>
          </w:tcPr>
          <w:p>
            <w:pPr>
              <w:pStyle w:val="MDPI42tablebody"/>
              <w:jc w:val="center"/>
            </w:pPr>
            <w:r>
              <w:rPr>
                <w:color w:val="0000FF"/>
                <w:sz w:val="16"/>
              </w:rPr>
              <w:t>4/8</w:t>
            </w:r>
          </w:p>
        </w:tc>
        <w:tc>
          <w:tcPr>
            <w:tcW w:w="1050" w:type="dxa"/>
            <w:tcBorders>
              <w:bottom w:val="single" w:sz="8" w:space="0" w:color="000000"/>
            </w:tcBorders>
            <w:vAlign w:val="center"/>
          </w:tcPr>
          <w:p>
            <w:pPr>
              <w:pStyle w:val="MDPI42tablebody"/>
              <w:jc w:val="center"/>
            </w:pPr>
            <w:r>
              <w:rPr>
                <w:color w:val="0000FF"/>
                <w:sz w:val="16"/>
              </w:rPr>
              <w:t>0.67</w:t>
            </w:r>
          </w:p>
        </w:tc>
        <w:tc>
          <w:tcPr>
            <w:tcW w:w="1050" w:type="dxa"/>
            <w:tcBorders>
              <w:bottom w:val="single" w:sz="8" w:space="0" w:color="000000"/>
            </w:tcBorders>
            <w:vAlign w:val="center"/>
          </w:tcPr>
          <w:p>
            <w:pPr>
              <w:pStyle w:val="MDPI42tablebody"/>
              <w:jc w:val="center"/>
            </w:pPr>
            <w:r>
              <w:rPr>
                <w:color w:val="0000FF"/>
                <w:sz w:val="16"/>
              </w:rPr>
              <w:t>0.72</w:t>
            </w:r>
          </w:p>
        </w:tc>
        <w:tc>
          <w:tcPr>
            <w:tcW w:w="1116" w:type="dxa"/>
            <w:tcBorders>
              <w:bottom w:val="single" w:sz="8" w:space="0" w:color="000000"/>
            </w:tcBorders>
            <w:vAlign w:val="center"/>
          </w:tcPr>
          <w:p>
            <w:pPr>
              <w:pStyle w:val="MDPI42tablebody"/>
              <w:jc w:val="center"/>
            </w:pPr>
            <w:r>
              <w:rPr>
                <w:color w:val="0000FF"/>
                <w:sz w:val="16"/>
              </w:rPr>
              <w:t>0.67</w:t>
            </w:r>
          </w:p>
        </w:tc>
      </w:tr>
    </w:tbl>
    <w:p>
      <w:pPr>
        <w:pStyle w:val="MDPI43tablefooter"/>
      </w:pPr>
      <w:r>
        <w:rPr>
          <w:color w:val="0000FF"/>
        </w:rPr>
        <w:t xml:space="preserve">Margins as in Section 4.6 (0.50 nats for semantic entropy, 0.10 for entropy, log-likelihood and KL, 0.50 for </w:t>
      </w:r>
      <w:r>
        <w:rPr>
          <w:i/>
          <w:color w:val="0000FF"/>
        </w:rPr>
        <w:t>T</w:t>
      </w:r>
      <w:r>
        <w:rPr>
          <w:color w:val="0000FF"/>
        </w:rPr>
        <w:t>eff</w:t>
      </w:r>
      <w:r>
        <w:rPr>
          <w:color w:val="0000FF"/>
        </w:rPr>
        <w:t>); intervals for semantic entropy are bootstrap intervals over completions with re-clustering.</w:t>
      </w:r>
    </w:p>
    <w:p>
      <w:pPr>
        <w:pStyle w:val="MDPI31text"/>
      </w:pPr>
      <w:r>
        <w:rPr>
          <w:color w:val="0000FF"/>
        </w:rPr>
        <w:t>Table 19 reports the cost. In free generation the reference roughly doubles the forward-pass cost, because it needs a second pass at every step (the reference pass took 14.8 s against 15.5 s for the sampling pass, 95% of its cost, for 20 completions of up to 24 tokens). Entailment clustering of the same cell cost 122 s of entailment calls on the same CPU, about 8 times the sampling pass, without counting the bootstrap. The cost of fitting is negligible for the candidate-restricted task (about 10 ms per cell) but not for the full vocabulary, where scoring the chosen token against every alternative on an 80-point grid took 0.4 to 0.8 s per step for 20 sequences, which is of the same order as a forward pass (0.6 s per step in our runs; unoptimised implementation). Given that the fitted temperature flagged fewer distorted cells than entropy, which costs nothing, the extra computation is hard to justify as a detector.</w:t>
      </w:r>
    </w:p>
    <w:p>
      <w:pPr>
        <w:pStyle w:val="MDPI41tablecaption"/>
      </w:pPr>
      <w:r>
        <w:rPr>
          <w:b/>
          <w:color w:val="0000FF"/>
        </w:rPr>
        <w:t xml:space="preserve">Table 19. </w:t>
      </w:r>
      <w:r>
        <w:rPr>
          <w:color w:val="0000FF"/>
        </w:rPr>
        <w:t xml:space="preserve"> Mean wall-clock time per free-generation cell (20 completions, up to 24 tokens; four CPU cores, 32-bit).</w:t>
      </w:r>
    </w:p>
    <w:tbl>
      <w:tblPr>
        <w:tblW w:w="10466" w:type="dxa"/>
        <w:tblInd w:w="0" w:type="dxa"/>
        <w:tblLayout w:type="fixed"/>
      </w:tblPr>
      <w:tblGrid>
        <w:gridCol w:w="2400"/>
        <w:gridCol w:w="2000"/>
        <w:gridCol w:w="2000"/>
        <w:gridCol w:w="1700"/>
        <w:gridCol w:w="23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2000" w:type="dxa"/>
            <w:tcBorders>
              <w:top w:val="single" w:sz="8" w:space="0" w:color="000000"/>
              <w:bottom w:val="single" w:sz="4" w:space="0" w:color="000000"/>
            </w:tcBorders>
            <w:vAlign w:val="center"/>
          </w:tcPr>
          <w:p>
            <w:pPr>
              <w:pStyle w:val="MDPI42tablebody"/>
              <w:jc w:val="center"/>
            </w:pPr>
            <w:r>
              <w:rPr>
                <w:b/>
                <w:color w:val="0000FF"/>
                <w:sz w:val="16"/>
              </w:rPr>
              <w:t>Sampling pass (s)</w:t>
            </w:r>
          </w:p>
        </w:tc>
        <w:tc>
          <w:tcPr>
            <w:tcW w:w="2000" w:type="dxa"/>
            <w:tcBorders>
              <w:top w:val="single" w:sz="8" w:space="0" w:color="000000"/>
              <w:bottom w:val="single" w:sz="4" w:space="0" w:color="000000"/>
            </w:tcBorders>
            <w:vAlign w:val="center"/>
          </w:tcPr>
          <w:p>
            <w:pPr>
              <w:pStyle w:val="MDPI42tablebody"/>
              <w:jc w:val="center"/>
            </w:pPr>
            <w:r>
              <w:rPr>
                <w:b/>
                <w:color w:val="0000FF"/>
                <w:sz w:val="16"/>
              </w:rPr>
              <w:t>Reference pass (s)</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Overhead</w:t>
            </w:r>
          </w:p>
        </w:tc>
        <w:tc>
          <w:tcPr>
            <w:tcW w:w="2366" w:type="dxa"/>
            <w:tcBorders>
              <w:top w:val="single" w:sz="8" w:space="0" w:color="000000"/>
              <w:bottom w:val="single" w:sz="4" w:space="0" w:color="000000"/>
            </w:tcBorders>
            <w:vAlign w:val="center"/>
          </w:tcPr>
          <w:p>
            <w:pPr>
              <w:pStyle w:val="MDPI42tablebody"/>
              <w:jc w:val="center"/>
            </w:pPr>
            <w:r>
              <w:rPr>
                <w:b/>
                <w:color w:val="0000FF"/>
                <w:sz w:val="16"/>
              </w:rPr>
              <w:t>Entailment calls (s per cell)</w:t>
            </w:r>
          </w:p>
        </w:tc>
      </w:tr>
      <w:tr>
        <w:trPr>
          <w:cantSplit/>
        </w:trPr>
        <w:tc>
          <w:tcPr>
            <w:tcW w:w="2400" w:type="dxa"/>
            <w:tcBorders/>
            <w:vAlign w:val="center"/>
          </w:tcPr>
          <w:p>
            <w:pPr>
              <w:pStyle w:val="MDPI42tablebody"/>
              <w:jc w:val="left"/>
            </w:pPr>
            <w:r>
              <w:rPr>
                <w:color w:val="0000FF"/>
                <w:sz w:val="16"/>
              </w:rPr>
              <w:t>Llama-3.2-1B</w:t>
            </w:r>
          </w:p>
        </w:tc>
        <w:tc>
          <w:tcPr>
            <w:tcW w:w="2000" w:type="dxa"/>
            <w:tcBorders/>
            <w:vAlign w:val="center"/>
          </w:tcPr>
          <w:p>
            <w:pPr>
              <w:pStyle w:val="MDPI42tablebody"/>
              <w:jc w:val="center"/>
            </w:pPr>
            <w:r>
              <w:rPr>
                <w:color w:val="0000FF"/>
                <w:sz w:val="16"/>
              </w:rPr>
              <w:t>15.1</w:t>
            </w:r>
          </w:p>
        </w:tc>
        <w:tc>
          <w:tcPr>
            <w:tcW w:w="2000" w:type="dxa"/>
            <w:tcBorders/>
            <w:vAlign w:val="center"/>
          </w:tcPr>
          <w:p>
            <w:pPr>
              <w:pStyle w:val="MDPI42tablebody"/>
              <w:jc w:val="center"/>
            </w:pPr>
            <w:r>
              <w:rPr>
                <w:color w:val="0000FF"/>
                <w:sz w:val="16"/>
              </w:rPr>
              <w:t>14.2</w:t>
            </w:r>
          </w:p>
        </w:tc>
        <w:tc>
          <w:tcPr>
            <w:tcW w:w="1700" w:type="dxa"/>
            <w:tcBorders/>
            <w:vAlign w:val="center"/>
          </w:tcPr>
          <w:p>
            <w:pPr>
              <w:pStyle w:val="MDPI42tablebody"/>
              <w:jc w:val="center"/>
            </w:pPr>
            <w:r>
              <w:rPr>
                <w:color w:val="0000FF"/>
                <w:sz w:val="16"/>
              </w:rPr>
              <w:t>94%</w:t>
            </w:r>
          </w:p>
        </w:tc>
        <w:tc>
          <w:tcPr>
            <w:tcW w:w="2366" w:type="dxa"/>
            <w:tcBorders/>
            <w:vAlign w:val="center"/>
          </w:tcPr>
          <w:p>
            <w:pPr>
              <w:pStyle w:val="MDPI42tablebody"/>
              <w:jc w:val="center"/>
            </w:pPr>
            <w:r>
              <w:rPr>
                <w:color w:val="0000FF"/>
                <w:sz w:val="16"/>
              </w:rPr>
              <w:t>124</w:t>
            </w:r>
          </w:p>
        </w:tc>
      </w:tr>
      <w:tr>
        <w:trPr>
          <w:cantSplit/>
        </w:trPr>
        <w:tc>
          <w:tcPr>
            <w:tcW w:w="2400" w:type="dxa"/>
            <w:tcBorders>
              <w:bottom w:val="single" w:sz="8" w:space="0" w:color="000000"/>
            </w:tcBorders>
            <w:vAlign w:val="center"/>
          </w:tcPr>
          <w:p>
            <w:pPr>
              <w:pStyle w:val="MDPI42tablebody"/>
              <w:jc w:val="left"/>
            </w:pPr>
            <w:r>
              <w:rPr>
                <w:color w:val="0000FF"/>
                <w:sz w:val="16"/>
              </w:rPr>
              <w:t>Qwen2.5-1.5B</w:t>
            </w:r>
          </w:p>
        </w:tc>
        <w:tc>
          <w:tcPr>
            <w:tcW w:w="2000" w:type="dxa"/>
            <w:tcBorders>
              <w:bottom w:val="single" w:sz="8" w:space="0" w:color="000000"/>
            </w:tcBorders>
            <w:vAlign w:val="center"/>
          </w:tcPr>
          <w:p>
            <w:pPr>
              <w:pStyle w:val="MDPI42tablebody"/>
              <w:jc w:val="center"/>
            </w:pPr>
            <w:r>
              <w:rPr>
                <w:color w:val="0000FF"/>
                <w:sz w:val="16"/>
              </w:rPr>
              <w:t>16.0</w:t>
            </w:r>
          </w:p>
        </w:tc>
        <w:tc>
          <w:tcPr>
            <w:tcW w:w="2000" w:type="dxa"/>
            <w:tcBorders>
              <w:bottom w:val="single" w:sz="8" w:space="0" w:color="000000"/>
            </w:tcBorders>
            <w:vAlign w:val="center"/>
          </w:tcPr>
          <w:p>
            <w:pPr>
              <w:pStyle w:val="MDPI42tablebody"/>
              <w:jc w:val="center"/>
            </w:pPr>
            <w:r>
              <w:rPr>
                <w:color w:val="0000FF"/>
                <w:sz w:val="16"/>
              </w:rPr>
              <w:t>15.3</w:t>
            </w:r>
          </w:p>
        </w:tc>
        <w:tc>
          <w:tcPr>
            <w:tcW w:w="1700" w:type="dxa"/>
            <w:tcBorders>
              <w:bottom w:val="single" w:sz="8" w:space="0" w:color="000000"/>
            </w:tcBorders>
            <w:vAlign w:val="center"/>
          </w:tcPr>
          <w:p>
            <w:pPr>
              <w:pStyle w:val="MDPI42tablebody"/>
              <w:jc w:val="center"/>
            </w:pPr>
            <w:r>
              <w:rPr>
                <w:color w:val="0000FF"/>
                <w:sz w:val="16"/>
              </w:rPr>
              <w:t>96%</w:t>
            </w:r>
          </w:p>
        </w:tc>
        <w:tc>
          <w:tcPr>
            <w:tcW w:w="2366" w:type="dxa"/>
            <w:tcBorders>
              <w:bottom w:val="single" w:sz="8" w:space="0" w:color="000000"/>
            </w:tcBorders>
            <w:vAlign w:val="center"/>
          </w:tcPr>
          <w:p>
            <w:pPr>
              <w:pStyle w:val="MDPI42tablebody"/>
              <w:jc w:val="center"/>
            </w:pPr>
            <w:r>
              <w:rPr>
                <w:color w:val="0000FF"/>
                <w:sz w:val="16"/>
              </w:rPr>
              <w:t>119</w:t>
            </w:r>
          </w:p>
        </w:tc>
      </w:tr>
    </w:tbl>
    <w:p>
      <w:pPr>
        <w:pStyle w:val="MDPI22heading2"/>
      </w:pPr>
      <w:r>
        <w:rPr>
          <w:color w:val="0000FF"/>
        </w:rPr>
        <w:t>5.13. Fit Quality and Prediction of Failure</w:t>
      </w:r>
    </w:p>
    <w:p>
      <w:pPr>
        <w:pStyle w:val="MDPI31text"/>
      </w:pPr>
      <w:r>
        <w:rPr>
          <w:b/>
          <w:color w:val="0000FF"/>
        </w:rPr>
        <w:t>Fit quality.</w:t>
      </w:r>
      <w:r>
        <w:rPr>
          <w:color w:val="0000FF"/>
        </w:rPr>
        <w:t xml:space="preserve"> A fitted temperature exists whether or not any temperature describes the choices, so the estimate has to be read with a measure of fit. Table 20 gives the mean log-likelihood per step of the chosen items under the same-history reference at the nominal temperature and at the fitted temperature, the gain from fitting, and the uniform value. Fitting adds almost nothing to what the reference already provides: 0.001 to 0.002 nats per step in clean cells, where it must add nothing, and 0.018 to 0.056 nats per step in distorted cells, against a mean negative log-likelihood of 0.96 to 1.15 nats at the nominal temperature. The fitted temperature lay on a grid bound in 6 of 266 distorted cells. The reference log-likelihood therefore carries what the fit carries, and the fit's only addition is the decomposition into scale and remainder (Section 5.9). Together with the intervals of Table 15, trajectory-level estimates should be reported with both an interval and this fit measure; both are given in Tables 15 and 20 and, for every cell, in the results files.</w:t>
      </w:r>
    </w:p>
    <w:p>
      <w:pPr>
        <w:pStyle w:val="MDPI41tablecaption"/>
      </w:pPr>
      <w:r>
        <w:rPr>
          <w:b/>
          <w:color w:val="0000FF"/>
        </w:rPr>
        <w:t xml:space="preserve">Table 20. </w:t>
      </w:r>
      <w:r>
        <w:rPr>
          <w:color w:val="0000FF"/>
        </w:rPr>
        <w:t xml:space="preserve"> Fit of the same-history reference to the chosen items: mean log-likelihood per step at the nominal temperature and at the fitted temperature, gain from fitting (nats per step), and cells with the fitted temperature on a grid bound.</w:t>
      </w:r>
    </w:p>
    <w:tbl>
      <w:tblPr>
        <w:tblW w:w="10466" w:type="dxa"/>
        <w:tblInd w:w="0" w:type="dxa"/>
        <w:tblLayout w:type="fixed"/>
      </w:tblPr>
      <w:tblGrid>
        <w:gridCol w:w="2000"/>
        <w:gridCol w:w="800"/>
        <w:gridCol w:w="1500"/>
        <w:gridCol w:w="1500"/>
        <w:gridCol w:w="1200"/>
        <w:gridCol w:w="1100"/>
        <w:gridCol w:w="1000"/>
        <w:gridCol w:w="13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color w:val="0000FF"/>
                <w:sz w:val="16"/>
              </w:rPr>
              <w:t>Model</w:t>
            </w:r>
          </w:p>
        </w:tc>
        <w:tc>
          <w:tcPr>
            <w:tcW w:w="800" w:type="dxa"/>
            <w:tcBorders>
              <w:top w:val="single" w:sz="8" w:space="0" w:color="000000"/>
              <w:bottom w:val="single" w:sz="4" w:space="0" w:color="000000"/>
            </w:tcBorders>
            <w:vAlign w:val="center"/>
          </w:tcPr>
          <w:p>
            <w:pPr>
              <w:pStyle w:val="MDPI42tablebody"/>
              <w:jc w:val="center"/>
            </w:pPr>
            <w:r>
              <w:rPr>
                <w:b/>
                <w:color w:val="0000FF"/>
                <w:sz w:val="16"/>
              </w:rPr>
              <w:t>Cells</w:t>
            </w:r>
          </w:p>
        </w:tc>
        <w:tc>
          <w:tcPr>
            <w:tcW w:w="1500" w:type="dxa"/>
            <w:tcBorders>
              <w:top w:val="single" w:sz="8" w:space="0" w:color="000000"/>
              <w:bottom w:val="single" w:sz="4" w:space="0" w:color="000000"/>
            </w:tcBorders>
            <w:vAlign w:val="center"/>
          </w:tcPr>
          <w:p>
            <w:pPr>
              <w:pStyle w:val="MDPI42tablebody"/>
              <w:jc w:val="center"/>
            </w:pPr>
            <w:r>
              <w:rPr>
                <w:b/>
                <w:color w:val="0000FF"/>
                <w:sz w:val="16"/>
              </w:rPr>
              <w:t xml:space="preserve">Log-lik. at nominal </w:t>
            </w:r>
            <w:r>
              <w:rPr>
                <w:b/>
                <w:i/>
                <w:color w:val="0000FF"/>
                <w:sz w:val="16"/>
              </w:rPr>
              <w:t>T</w:t>
            </w:r>
          </w:p>
        </w:tc>
        <w:tc>
          <w:tcPr>
            <w:tcW w:w="1500" w:type="dxa"/>
            <w:tcBorders>
              <w:top w:val="single" w:sz="8" w:space="0" w:color="000000"/>
              <w:bottom w:val="single" w:sz="4" w:space="0" w:color="000000"/>
            </w:tcBorders>
            <w:vAlign w:val="center"/>
          </w:tcPr>
          <w:p>
            <w:pPr>
              <w:pStyle w:val="MDPI42tablebody"/>
              <w:jc w:val="center"/>
            </w:pPr>
            <w:r>
              <w:rPr>
                <w:b/>
                <w:color w:val="0000FF"/>
                <w:sz w:val="16"/>
              </w:rPr>
              <w:t xml:space="preserve">Log-lik. at fitted </w:t>
            </w:r>
            <w:r>
              <w:rPr>
                <w:b/>
                <w:i/>
                <w:color w:val="0000FF"/>
                <w:sz w:val="16"/>
              </w:rPr>
              <w:t>T</w:t>
            </w:r>
            <w:r>
              <w:rPr>
                <w:b/>
                <w:color w:val="0000FF"/>
                <w:sz w:val="16"/>
              </w:rPr>
              <w:t>eff</w:t>
            </w:r>
          </w:p>
        </w:tc>
        <w:tc>
          <w:tcPr>
            <w:tcW w:w="1200" w:type="dxa"/>
            <w:tcBorders>
              <w:top w:val="single" w:sz="8" w:space="0" w:color="000000"/>
              <w:bottom w:val="single" w:sz="4" w:space="0" w:color="000000"/>
            </w:tcBorders>
            <w:vAlign w:val="center"/>
          </w:tcPr>
          <w:p>
            <w:pPr>
              <w:pStyle w:val="MDPI42tablebody"/>
              <w:jc w:val="center"/>
            </w:pPr>
            <w:r>
              <w:rPr>
                <w:b/>
                <w:color w:val="0000FF"/>
                <w:sz w:val="16"/>
              </w:rPr>
              <w:t>Gain (distorted)</w:t>
            </w:r>
          </w:p>
        </w:tc>
        <w:tc>
          <w:tcPr>
            <w:tcW w:w="1100" w:type="dxa"/>
            <w:tcBorders>
              <w:top w:val="single" w:sz="8" w:space="0" w:color="000000"/>
              <w:bottom w:val="single" w:sz="4" w:space="0" w:color="000000"/>
            </w:tcBorders>
            <w:vAlign w:val="center"/>
          </w:tcPr>
          <w:p>
            <w:pPr>
              <w:pStyle w:val="MDPI42tablebody"/>
              <w:jc w:val="center"/>
            </w:pPr>
            <w:r>
              <w:rPr>
                <w:b/>
                <w:color w:val="0000FF"/>
                <w:sz w:val="16"/>
              </w:rPr>
              <w:t>Gain (clean)</w:t>
            </w:r>
          </w:p>
        </w:tc>
        <w:tc>
          <w:tcPr>
            <w:tcW w:w="1000" w:type="dxa"/>
            <w:tcBorders>
              <w:top w:val="single" w:sz="8" w:space="0" w:color="000000"/>
              <w:bottom w:val="single" w:sz="4" w:space="0" w:color="000000"/>
            </w:tcBorders>
            <w:vAlign w:val="center"/>
          </w:tcPr>
          <w:p>
            <w:pPr>
              <w:pStyle w:val="MDPI42tablebody"/>
              <w:jc w:val="center"/>
            </w:pPr>
            <w:r>
              <w:rPr>
                <w:b/>
                <w:color w:val="0000FF"/>
                <w:sz w:val="16"/>
              </w:rPr>
              <w:t>Uniform</w:t>
            </w:r>
          </w:p>
        </w:tc>
        <w:tc>
          <w:tcPr>
            <w:tcW w:w="1366" w:type="dxa"/>
            <w:tcBorders>
              <w:top w:val="single" w:sz="8" w:space="0" w:color="000000"/>
              <w:bottom w:val="single" w:sz="4" w:space="0" w:color="000000"/>
            </w:tcBorders>
            <w:vAlign w:val="center"/>
          </w:tcPr>
          <w:p>
            <w:pPr>
              <w:pStyle w:val="MDPI42tablebody"/>
              <w:jc w:val="center"/>
            </w:pPr>
            <w:r>
              <w:rPr>
                <w:b/>
                <w:color w:val="0000FF"/>
                <w:sz w:val="16"/>
              </w:rPr>
              <w:t>On grid bound</w:t>
            </w:r>
          </w:p>
        </w:tc>
      </w:tr>
      <w:tr>
        <w:trPr>
          <w:cantSplit/>
        </w:trPr>
        <w:tc>
          <w:tcPr>
            <w:tcW w:w="2000" w:type="dxa"/>
            <w:tcBorders/>
            <w:vAlign w:val="center"/>
          </w:tcPr>
          <w:p>
            <w:pPr>
              <w:pStyle w:val="MDPI42tablebody"/>
              <w:jc w:val="left"/>
            </w:pPr>
            <w:r>
              <w:rPr>
                <w:color w:val="0000FF"/>
                <w:sz w:val="16"/>
              </w:rPr>
              <w:t>Qwen2.5-0.5B</w:t>
            </w:r>
          </w:p>
        </w:tc>
        <w:tc>
          <w:tcPr>
            <w:tcW w:w="800" w:type="dxa"/>
            <w:tcBorders/>
            <w:vAlign w:val="center"/>
          </w:tcPr>
          <w:p>
            <w:pPr>
              <w:pStyle w:val="MDPI42tablebody"/>
              <w:jc w:val="center"/>
            </w:pPr>
            <w:r>
              <w:rPr>
                <w:color w:val="0000FF"/>
                <w:sz w:val="16"/>
              </w:rPr>
              <w:t>88</w:t>
            </w:r>
          </w:p>
        </w:tc>
        <w:tc>
          <w:tcPr>
            <w:tcW w:w="1500" w:type="dxa"/>
            <w:tcBorders/>
            <w:vAlign w:val="center"/>
          </w:tcPr>
          <w:p>
            <w:pPr>
              <w:pStyle w:val="MDPI42tablebody"/>
              <w:jc w:val="center"/>
            </w:pPr>
            <w:r>
              <w:rPr>
                <w:color w:val="0000FF"/>
                <w:sz w:val="16"/>
              </w:rPr>
              <w:t>-1.15</w:t>
            </w:r>
          </w:p>
        </w:tc>
        <w:tc>
          <w:tcPr>
            <w:tcW w:w="1500" w:type="dxa"/>
            <w:tcBorders/>
            <w:vAlign w:val="center"/>
          </w:tcPr>
          <w:p>
            <w:pPr>
              <w:pStyle w:val="MDPI42tablebody"/>
              <w:jc w:val="center"/>
            </w:pPr>
            <w:r>
              <w:rPr>
                <w:color w:val="0000FF"/>
                <w:sz w:val="16"/>
              </w:rPr>
              <w:t>-1.14</w:t>
            </w:r>
          </w:p>
        </w:tc>
        <w:tc>
          <w:tcPr>
            <w:tcW w:w="1200" w:type="dxa"/>
            <w:tcBorders/>
            <w:vAlign w:val="center"/>
          </w:tcPr>
          <w:p>
            <w:pPr>
              <w:pStyle w:val="MDPI42tablebody"/>
              <w:jc w:val="center"/>
            </w:pPr>
            <w:r>
              <w:rPr>
                <w:color w:val="0000FF"/>
                <w:sz w:val="16"/>
              </w:rPr>
              <w:t>0.018</w:t>
            </w:r>
          </w:p>
        </w:tc>
        <w:tc>
          <w:tcPr>
            <w:tcW w:w="1100" w:type="dxa"/>
            <w:tcBorders/>
            <w:vAlign w:val="center"/>
          </w:tcPr>
          <w:p>
            <w:pPr>
              <w:pStyle w:val="MDPI42tablebody"/>
              <w:jc w:val="center"/>
            </w:pPr>
            <w:r>
              <w:rPr>
                <w:color w:val="0000FF"/>
                <w:sz w:val="16"/>
              </w:rPr>
              <w:t>0.001</w:t>
            </w:r>
          </w:p>
        </w:tc>
        <w:tc>
          <w:tcPr>
            <w:tcW w:w="1000" w:type="dxa"/>
            <w:tcBorders/>
            <w:vAlign w:val="center"/>
          </w:tcPr>
          <w:p>
            <w:pPr>
              <w:pStyle w:val="MDPI42tablebody"/>
              <w:jc w:val="center"/>
            </w:pPr>
            <w:r>
              <w:rPr>
                <w:color w:val="0000FF"/>
                <w:sz w:val="16"/>
              </w:rPr>
              <w:t>-2.58</w:t>
            </w:r>
          </w:p>
        </w:tc>
        <w:tc>
          <w:tcPr>
            <w:tcW w:w="1366" w:type="dxa"/>
            <w:tcBorders/>
            <w:vAlign w:val="center"/>
          </w:tcPr>
          <w:p>
            <w:pPr>
              <w:pStyle w:val="MDPI42tablebody"/>
              <w:jc w:val="center"/>
            </w:pPr>
            <w:r>
              <w:rPr>
                <w:color w:val="0000FF"/>
                <w:sz w:val="16"/>
              </w:rPr>
              <w:t>1/88</w:t>
            </w:r>
          </w:p>
        </w:tc>
      </w:tr>
      <w:tr>
        <w:trPr>
          <w:cantSplit/>
        </w:trPr>
        <w:tc>
          <w:tcPr>
            <w:tcW w:w="2000" w:type="dxa"/>
            <w:tcBorders/>
            <w:vAlign w:val="center"/>
          </w:tcPr>
          <w:p>
            <w:pPr>
              <w:pStyle w:val="MDPI42tablebody"/>
              <w:jc w:val="left"/>
            </w:pPr>
            <w:r>
              <w:rPr>
                <w:color w:val="0000FF"/>
                <w:sz w:val="16"/>
              </w:rPr>
              <w:t>Qwen2.5-1.5B</w:t>
            </w:r>
          </w:p>
        </w:tc>
        <w:tc>
          <w:tcPr>
            <w:tcW w:w="800" w:type="dxa"/>
            <w:tcBorders/>
            <w:vAlign w:val="center"/>
          </w:tcPr>
          <w:p>
            <w:pPr>
              <w:pStyle w:val="MDPI42tablebody"/>
              <w:jc w:val="center"/>
            </w:pPr>
            <w:r>
              <w:rPr>
                <w:color w:val="0000FF"/>
                <w:sz w:val="16"/>
              </w:rPr>
              <w:t>66</w:t>
            </w:r>
          </w:p>
        </w:tc>
        <w:tc>
          <w:tcPr>
            <w:tcW w:w="1500" w:type="dxa"/>
            <w:tcBorders/>
            <w:vAlign w:val="center"/>
          </w:tcPr>
          <w:p>
            <w:pPr>
              <w:pStyle w:val="MDPI42tablebody"/>
              <w:jc w:val="center"/>
            </w:pPr>
            <w:r>
              <w:rPr>
                <w:color w:val="0000FF"/>
                <w:sz w:val="16"/>
              </w:rPr>
              <w:t>-0.96</w:t>
            </w:r>
          </w:p>
        </w:tc>
        <w:tc>
          <w:tcPr>
            <w:tcW w:w="1500" w:type="dxa"/>
            <w:tcBorders/>
            <w:vAlign w:val="center"/>
          </w:tcPr>
          <w:p>
            <w:pPr>
              <w:pStyle w:val="MDPI42tablebody"/>
              <w:jc w:val="center"/>
            </w:pPr>
            <w:r>
              <w:rPr>
                <w:color w:val="0000FF"/>
                <w:sz w:val="16"/>
              </w:rPr>
              <w:t>-0.91</w:t>
            </w:r>
          </w:p>
        </w:tc>
        <w:tc>
          <w:tcPr>
            <w:tcW w:w="1200" w:type="dxa"/>
            <w:tcBorders/>
            <w:vAlign w:val="center"/>
          </w:tcPr>
          <w:p>
            <w:pPr>
              <w:pStyle w:val="MDPI42tablebody"/>
              <w:jc w:val="center"/>
            </w:pPr>
            <w:r>
              <w:rPr>
                <w:color w:val="0000FF"/>
                <w:sz w:val="16"/>
              </w:rPr>
              <w:t>0.056</w:t>
            </w:r>
          </w:p>
        </w:tc>
        <w:tc>
          <w:tcPr>
            <w:tcW w:w="1100" w:type="dxa"/>
            <w:tcBorders/>
            <w:vAlign w:val="center"/>
          </w:tcPr>
          <w:p>
            <w:pPr>
              <w:pStyle w:val="MDPI42tablebody"/>
              <w:jc w:val="center"/>
            </w:pPr>
            <w:r>
              <w:rPr>
                <w:color w:val="0000FF"/>
                <w:sz w:val="16"/>
              </w:rPr>
              <w:t>0.002</w:t>
            </w:r>
          </w:p>
        </w:tc>
        <w:tc>
          <w:tcPr>
            <w:tcW w:w="1000" w:type="dxa"/>
            <w:tcBorders/>
            <w:vAlign w:val="center"/>
          </w:tcPr>
          <w:p>
            <w:pPr>
              <w:pStyle w:val="MDPI42tablebody"/>
              <w:jc w:val="center"/>
            </w:pPr>
            <w:r>
              <w:rPr>
                <w:color w:val="0000FF"/>
                <w:sz w:val="16"/>
              </w:rPr>
              <w:t>-2.61</w:t>
            </w:r>
          </w:p>
        </w:tc>
        <w:tc>
          <w:tcPr>
            <w:tcW w:w="1366" w:type="dxa"/>
            <w:tcBorders/>
            <w:vAlign w:val="center"/>
          </w:tcPr>
          <w:p>
            <w:pPr>
              <w:pStyle w:val="MDPI42tablebody"/>
              <w:jc w:val="center"/>
            </w:pPr>
            <w:r>
              <w:rPr>
                <w:color w:val="0000FF"/>
                <w:sz w:val="16"/>
              </w:rPr>
              <w:t>4/66</w:t>
            </w:r>
          </w:p>
        </w:tc>
      </w:tr>
      <w:tr>
        <w:trPr>
          <w:cantSplit/>
        </w:trPr>
        <w:tc>
          <w:tcPr>
            <w:tcW w:w="2000" w:type="dxa"/>
            <w:tcBorders/>
            <w:vAlign w:val="center"/>
          </w:tcPr>
          <w:p>
            <w:pPr>
              <w:pStyle w:val="MDPI42tablebody"/>
              <w:jc w:val="left"/>
            </w:pPr>
            <w:r>
              <w:rPr>
                <w:color w:val="0000FF"/>
                <w:sz w:val="16"/>
              </w:rPr>
              <w:t>Llama-3.2-1B</w:t>
            </w:r>
          </w:p>
        </w:tc>
        <w:tc>
          <w:tcPr>
            <w:tcW w:w="800" w:type="dxa"/>
            <w:tcBorders/>
            <w:vAlign w:val="center"/>
          </w:tcPr>
          <w:p>
            <w:pPr>
              <w:pStyle w:val="MDPI42tablebody"/>
              <w:jc w:val="center"/>
            </w:pPr>
            <w:r>
              <w:rPr>
                <w:color w:val="0000FF"/>
                <w:sz w:val="16"/>
              </w:rPr>
              <w:t>88</w:t>
            </w:r>
          </w:p>
        </w:tc>
        <w:tc>
          <w:tcPr>
            <w:tcW w:w="1500" w:type="dxa"/>
            <w:tcBorders/>
            <w:vAlign w:val="center"/>
          </w:tcPr>
          <w:p>
            <w:pPr>
              <w:pStyle w:val="MDPI42tablebody"/>
              <w:jc w:val="center"/>
            </w:pPr>
            <w:r>
              <w:rPr>
                <w:color w:val="0000FF"/>
                <w:sz w:val="16"/>
              </w:rPr>
              <w:t>-1.09</w:t>
            </w:r>
          </w:p>
        </w:tc>
        <w:tc>
          <w:tcPr>
            <w:tcW w:w="1500" w:type="dxa"/>
            <w:tcBorders/>
            <w:vAlign w:val="center"/>
          </w:tcPr>
          <w:p>
            <w:pPr>
              <w:pStyle w:val="MDPI42tablebody"/>
              <w:jc w:val="center"/>
            </w:pPr>
            <w:r>
              <w:rPr>
                <w:color w:val="0000FF"/>
                <w:sz w:val="16"/>
              </w:rPr>
              <w:t>-1.05</w:t>
            </w:r>
          </w:p>
        </w:tc>
        <w:tc>
          <w:tcPr>
            <w:tcW w:w="1200" w:type="dxa"/>
            <w:tcBorders/>
            <w:vAlign w:val="center"/>
          </w:tcPr>
          <w:p>
            <w:pPr>
              <w:pStyle w:val="MDPI42tablebody"/>
              <w:jc w:val="center"/>
            </w:pPr>
            <w:r>
              <w:rPr>
                <w:color w:val="0000FF"/>
                <w:sz w:val="16"/>
              </w:rPr>
              <w:t>0.043</w:t>
            </w:r>
          </w:p>
        </w:tc>
        <w:tc>
          <w:tcPr>
            <w:tcW w:w="1100" w:type="dxa"/>
            <w:tcBorders/>
            <w:vAlign w:val="center"/>
          </w:tcPr>
          <w:p>
            <w:pPr>
              <w:pStyle w:val="MDPI42tablebody"/>
              <w:jc w:val="center"/>
            </w:pPr>
            <w:r>
              <w:rPr>
                <w:color w:val="0000FF"/>
                <w:sz w:val="16"/>
              </w:rPr>
              <w:t>0.002</w:t>
            </w:r>
          </w:p>
        </w:tc>
        <w:tc>
          <w:tcPr>
            <w:tcW w:w="1000" w:type="dxa"/>
            <w:tcBorders/>
            <w:vAlign w:val="center"/>
          </w:tcPr>
          <w:p>
            <w:pPr>
              <w:pStyle w:val="MDPI42tablebody"/>
              <w:jc w:val="center"/>
            </w:pPr>
            <w:r>
              <w:rPr>
                <w:color w:val="0000FF"/>
                <w:sz w:val="16"/>
              </w:rPr>
              <w:t>-2.58</w:t>
            </w:r>
          </w:p>
        </w:tc>
        <w:tc>
          <w:tcPr>
            <w:tcW w:w="1366" w:type="dxa"/>
            <w:tcBorders/>
            <w:vAlign w:val="center"/>
          </w:tcPr>
          <w:p>
            <w:pPr>
              <w:pStyle w:val="MDPI42tablebody"/>
              <w:jc w:val="center"/>
            </w:pPr>
            <w:r>
              <w:rPr>
                <w:color w:val="0000FF"/>
                <w:sz w:val="16"/>
              </w:rPr>
              <w:t>0/88</w:t>
            </w:r>
          </w:p>
        </w:tc>
      </w:tr>
      <w:tr>
        <w:trPr>
          <w:cantSplit/>
        </w:trPr>
        <w:tc>
          <w:tcPr>
            <w:tcW w:w="2000" w:type="dxa"/>
            <w:tcBorders>
              <w:bottom w:val="single" w:sz="8" w:space="0" w:color="000000"/>
            </w:tcBorders>
            <w:vAlign w:val="center"/>
          </w:tcPr>
          <w:p>
            <w:pPr>
              <w:pStyle w:val="MDPI42tablebody"/>
              <w:jc w:val="left"/>
            </w:pPr>
            <w:r>
              <w:rPr>
                <w:color w:val="0000FF"/>
                <w:sz w:val="16"/>
              </w:rPr>
              <w:t>SmolLM2-1.7B</w:t>
            </w:r>
          </w:p>
        </w:tc>
        <w:tc>
          <w:tcPr>
            <w:tcW w:w="800" w:type="dxa"/>
            <w:tcBorders>
              <w:bottom w:val="single" w:sz="8" w:space="0" w:color="000000"/>
            </w:tcBorders>
            <w:vAlign w:val="center"/>
          </w:tcPr>
          <w:p>
            <w:pPr>
              <w:pStyle w:val="MDPI42tablebody"/>
              <w:jc w:val="center"/>
            </w:pPr>
            <w:r>
              <w:rPr>
                <w:color w:val="0000FF"/>
                <w:sz w:val="16"/>
              </w:rPr>
              <w:t>24</w:t>
            </w:r>
          </w:p>
        </w:tc>
        <w:tc>
          <w:tcPr>
            <w:tcW w:w="1500" w:type="dxa"/>
            <w:tcBorders>
              <w:bottom w:val="single" w:sz="8" w:space="0" w:color="000000"/>
            </w:tcBorders>
            <w:vAlign w:val="center"/>
          </w:tcPr>
          <w:p>
            <w:pPr>
              <w:pStyle w:val="MDPI42tablebody"/>
              <w:jc w:val="center"/>
            </w:pPr>
            <w:r>
              <w:rPr>
                <w:color w:val="0000FF"/>
                <w:sz w:val="16"/>
              </w:rPr>
              <w:t>-1.01</w:t>
            </w:r>
          </w:p>
        </w:tc>
        <w:tc>
          <w:tcPr>
            <w:tcW w:w="1500" w:type="dxa"/>
            <w:tcBorders>
              <w:bottom w:val="single" w:sz="8" w:space="0" w:color="000000"/>
            </w:tcBorders>
            <w:vAlign w:val="center"/>
          </w:tcPr>
          <w:p>
            <w:pPr>
              <w:pStyle w:val="MDPI42tablebody"/>
              <w:jc w:val="center"/>
            </w:pPr>
            <w:r>
              <w:rPr>
                <w:color w:val="0000FF"/>
                <w:sz w:val="16"/>
              </w:rPr>
              <w:t>-0.98</w:t>
            </w:r>
          </w:p>
        </w:tc>
        <w:tc>
          <w:tcPr>
            <w:tcW w:w="1200" w:type="dxa"/>
            <w:tcBorders>
              <w:bottom w:val="single" w:sz="8" w:space="0" w:color="000000"/>
            </w:tcBorders>
            <w:vAlign w:val="center"/>
          </w:tcPr>
          <w:p>
            <w:pPr>
              <w:pStyle w:val="MDPI42tablebody"/>
              <w:jc w:val="center"/>
            </w:pPr>
            <w:r>
              <w:rPr>
                <w:color w:val="0000FF"/>
                <w:sz w:val="16"/>
              </w:rPr>
              <w:t>0.022</w:t>
            </w:r>
          </w:p>
        </w:tc>
        <w:tc>
          <w:tcPr>
            <w:tcW w:w="1100" w:type="dxa"/>
            <w:tcBorders>
              <w:bottom w:val="single" w:sz="8" w:space="0" w:color="000000"/>
            </w:tcBorders>
            <w:vAlign w:val="center"/>
          </w:tcPr>
          <w:p>
            <w:pPr>
              <w:pStyle w:val="MDPI42tablebody"/>
              <w:jc w:val="center"/>
            </w:pPr>
            <w:r>
              <w:rPr>
                <w:color w:val="0000FF"/>
                <w:sz w:val="16"/>
              </w:rPr>
              <w:t>0.002</w:t>
            </w:r>
          </w:p>
        </w:tc>
        <w:tc>
          <w:tcPr>
            <w:tcW w:w="1000" w:type="dxa"/>
            <w:tcBorders>
              <w:bottom w:val="single" w:sz="8" w:space="0" w:color="000000"/>
            </w:tcBorders>
            <w:vAlign w:val="center"/>
          </w:tcPr>
          <w:p>
            <w:pPr>
              <w:pStyle w:val="MDPI42tablebody"/>
              <w:jc w:val="center"/>
            </w:pPr>
            <w:r>
              <w:rPr>
                <w:color w:val="0000FF"/>
                <w:sz w:val="16"/>
              </w:rPr>
              <w:t>-2.58</w:t>
            </w:r>
          </w:p>
        </w:tc>
        <w:tc>
          <w:tcPr>
            <w:tcW w:w="1366" w:type="dxa"/>
            <w:tcBorders>
              <w:bottom w:val="single" w:sz="8" w:space="0" w:color="000000"/>
            </w:tcBorders>
            <w:vAlign w:val="center"/>
          </w:tcPr>
          <w:p>
            <w:pPr>
              <w:pStyle w:val="MDPI42tablebody"/>
              <w:jc w:val="center"/>
            </w:pPr>
            <w:r>
              <w:rPr>
                <w:color w:val="0000FF"/>
                <w:sz w:val="16"/>
              </w:rPr>
              <w:t>1/24</w:t>
            </w:r>
          </w:p>
        </w:tc>
      </w:tr>
    </w:tbl>
    <w:p>
      <w:pPr>
        <w:pStyle w:val="MDPI43tablefooter"/>
      </w:pPr>
      <w:r>
        <w:rPr>
          <w:color w:val="0000FF"/>
        </w:rPr>
        <w:t xml:space="preserve">Distorted cells are all prompt conditions except clean. The uniform value is -log </w:t>
      </w:r>
      <w:r>
        <w:rPr>
          <w:i/>
          <w:color w:val="0000FF"/>
        </w:rPr>
        <w:t>K</w:t>
      </w:r>
      <w:r>
        <w:rPr>
          <w:color w:val="0000FF"/>
        </w:rPr>
        <w:t xml:space="preserve"> for the number </w:t>
      </w:r>
      <w:r>
        <w:rPr>
          <w:i/>
          <w:color w:val="0000FF"/>
        </w:rPr>
        <w:t>K</w:t>
      </w:r>
      <w:r>
        <w:rPr>
          <w:color w:val="0000FF"/>
        </w:rPr>
        <w:t xml:space="preserve"> of candidates.</w:t>
      </w:r>
    </w:p>
    <w:p>
      <w:pPr>
        <w:pStyle w:val="MDPI31text"/>
      </w:pPr>
      <w:r>
        <w:rPr>
          <w:b/>
          <w:color w:val="0000FF"/>
        </w:rPr>
        <w:t>Does an indicator predict failure and not the prompt?</w:t>
      </w:r>
      <w:r>
        <w:rPr>
          <w:color w:val="0000FF"/>
        </w:rPr>
        <w:t xml:space="preserve"> The comparison of Section 5.6 asks whether an indicator separates distorted from clean prompts. Detecting a distortion is not the same as detecting a problem, and the main text shows why: in Qwen2.5-3B pressure lowered ECE because it disrupted a confidently wrong repetition. We therefore evaluate the indicators against outcomes. Within each matched cell and separately for clean-prompt and distorted cells, we compute the probability that a trajectory that failed has a higher indicator value than one that did not (0.5 is chance), for the outcome low accuracy (fewer than half of the six steps correct). The other outcome, failure to recover the exact continuation, could not be analysed, because 99 to 100% of trajectories fail to recover and almost no cell contains both classes; low accuracy is also common (88 to 93% of trajectories in distorted cells), so only cells with at least three trajectories in each class enter Table 21. In these small models the distortions did not improve accuracy: the mean local accuracy was 0.19 to 0.29 in clean cells and 0.12 to 0.16 under P0, so the benefit of pressure seen in Qwen2.5-3B (ECE fell in five of eight cells) was not reproduced as a gain in accuracy, but the argument for outcome-based evaluation does not depend on it.</w:t>
      </w:r>
    </w:p>
    <w:p>
      <w:pPr>
        <w:pStyle w:val="MDPI41tablecaption"/>
      </w:pPr>
      <w:r>
        <w:rPr>
          <w:b/>
          <w:color w:val="0000FF"/>
        </w:rPr>
        <w:t xml:space="preserve">Table 21. </w:t>
      </w:r>
      <w:r>
        <w:rPr>
          <w:color w:val="0000FF"/>
        </w:rPr>
        <w:t xml:space="preserve"> Prediction of low accuracy (fewer than half of six steps correct) within matched cells: mean signed AUC (probability that a failed trajectory has the higher value; 0.5 is chance) and number of cells with both outcomes, pooled over the four additional models.</w:t>
      </w:r>
    </w:p>
    <w:tbl>
      <w:tblPr>
        <w:tblW w:w="10466" w:type="dxa"/>
        <w:tblInd w:w="0" w:type="dxa"/>
        <w:tblLayout w:type="fixed"/>
      </w:tblPr>
      <w:tblGrid>
        <w:gridCol w:w="3800"/>
        <w:gridCol w:w="2200"/>
        <w:gridCol w:w="2200"/>
        <w:gridCol w:w="2266"/>
      </w:tblGrid>
      <w:tr>
        <w:trPr>
          <w:cantSplit/>
          <w:tblHeader/>
        </w:trPr>
        <w:tc>
          <w:tcPr>
            <w:tcW w:w="3800" w:type="dxa"/>
            <w:tcBorders>
              <w:top w:val="single" w:sz="8" w:space="0" w:color="000000"/>
              <w:bottom w:val="single" w:sz="4" w:space="0" w:color="000000"/>
            </w:tcBorders>
            <w:vAlign w:val="center"/>
          </w:tcPr>
          <w:p>
            <w:pPr>
              <w:pStyle w:val="MDPI42tablebody"/>
              <w:jc w:val="left"/>
            </w:pPr>
            <w:r>
              <w:rPr>
                <w:b/>
                <w:color w:val="0000FF"/>
                <w:sz w:val="16"/>
              </w:rPr>
              <w:t>Indicator (reference)</w:t>
            </w:r>
          </w:p>
        </w:tc>
        <w:tc>
          <w:tcPr>
            <w:tcW w:w="2200" w:type="dxa"/>
            <w:tcBorders>
              <w:top w:val="single" w:sz="8" w:space="0" w:color="000000"/>
              <w:bottom w:val="single" w:sz="4" w:space="0" w:color="000000"/>
            </w:tcBorders>
            <w:vAlign w:val="center"/>
          </w:tcPr>
          <w:p>
            <w:pPr>
              <w:pStyle w:val="MDPI42tablebody"/>
              <w:jc w:val="center"/>
            </w:pPr>
            <w:r>
              <w:rPr>
                <w:b/>
                <w:color w:val="0000FF"/>
                <w:sz w:val="16"/>
              </w:rPr>
              <w:t>Needs</w:t>
            </w:r>
          </w:p>
        </w:tc>
        <w:tc>
          <w:tcPr>
            <w:tcW w:w="2200" w:type="dxa"/>
            <w:tcBorders>
              <w:top w:val="single" w:sz="8" w:space="0" w:color="000000"/>
              <w:bottom w:val="single" w:sz="4" w:space="0" w:color="000000"/>
            </w:tcBorders>
            <w:vAlign w:val="center"/>
          </w:tcPr>
          <w:p>
            <w:pPr>
              <w:pStyle w:val="MDPI42tablebody"/>
              <w:jc w:val="center"/>
            </w:pPr>
            <w:r>
              <w:rPr>
                <w:b/>
                <w:color w:val="0000FF"/>
                <w:sz w:val="16"/>
              </w:rPr>
              <w:t>Clean-prompt cells: AUC (cells)</w:t>
            </w:r>
          </w:p>
        </w:tc>
        <w:tc>
          <w:tcPr>
            <w:tcW w:w="2266" w:type="dxa"/>
            <w:tcBorders>
              <w:top w:val="single" w:sz="8" w:space="0" w:color="000000"/>
              <w:bottom w:val="single" w:sz="4" w:space="0" w:color="000000"/>
            </w:tcBorders>
            <w:vAlign w:val="center"/>
          </w:tcPr>
          <w:p>
            <w:pPr>
              <w:pStyle w:val="MDPI42tablebody"/>
              <w:jc w:val="center"/>
            </w:pPr>
            <w:r>
              <w:rPr>
                <w:b/>
                <w:color w:val="0000FF"/>
                <w:sz w:val="16"/>
              </w:rPr>
              <w:t>Distorted cells: AUC (cells)</w:t>
            </w:r>
          </w:p>
        </w:tc>
      </w:tr>
      <w:tr>
        <w:trPr>
          <w:cantSplit/>
        </w:trPr>
        <w:tc>
          <w:tcPr>
            <w:tcW w:w="3800" w:type="dxa"/>
            <w:tcBorders/>
            <w:vAlign w:val="center"/>
          </w:tcPr>
          <w:p>
            <w:pPr>
              <w:pStyle w:val="MDPI42tablebody"/>
              <w:jc w:val="left"/>
            </w:pPr>
            <w:r>
              <w:rPr>
                <w:color w:val="0000FF"/>
                <w:sz w:val="16"/>
              </w:rPr>
              <w:t>Token entropy</w:t>
            </w:r>
          </w:p>
        </w:tc>
        <w:tc>
          <w:tcPr>
            <w:tcW w:w="2200" w:type="dxa"/>
            <w:tcBorders/>
            <w:vAlign w:val="center"/>
          </w:tcPr>
          <w:p>
            <w:pPr>
              <w:pStyle w:val="MDPI42tablebody"/>
              <w:jc w:val="center"/>
            </w:pPr>
            <w:r>
              <w:rPr>
                <w:color w:val="0000FF"/>
                <w:sz w:val="16"/>
              </w:rPr>
              <w:t>–</w:t>
            </w:r>
          </w:p>
        </w:tc>
        <w:tc>
          <w:tcPr>
            <w:tcW w:w="2200" w:type="dxa"/>
            <w:tcBorders/>
            <w:vAlign w:val="center"/>
          </w:tcPr>
          <w:p>
            <w:pPr>
              <w:pStyle w:val="MDPI42tablebody"/>
              <w:jc w:val="center"/>
            </w:pPr>
            <w:r>
              <w:rPr>
                <w:color w:val="0000FF"/>
                <w:sz w:val="16"/>
              </w:rPr>
              <w:t>0.60 (22)</w:t>
            </w:r>
          </w:p>
        </w:tc>
        <w:tc>
          <w:tcPr>
            <w:tcW w:w="2266" w:type="dxa"/>
            <w:tcBorders/>
            <w:vAlign w:val="center"/>
          </w:tcPr>
          <w:p>
            <w:pPr>
              <w:pStyle w:val="MDPI42tablebody"/>
              <w:jc w:val="center"/>
            </w:pPr>
            <w:r>
              <w:rPr>
                <w:color w:val="0000FF"/>
                <w:sz w:val="16"/>
              </w:rPr>
              <w:t>0.61 (138)</w:t>
            </w:r>
          </w:p>
        </w:tc>
      </w:tr>
      <w:tr>
        <w:trPr>
          <w:cantSplit/>
        </w:trPr>
        <w:tc>
          <w:tcPr>
            <w:tcW w:w="3800" w:type="dxa"/>
            <w:tcBorders/>
            <w:vAlign w:val="center"/>
          </w:tcPr>
          <w:p>
            <w:pPr>
              <w:pStyle w:val="MDPI42tablebody"/>
              <w:jc w:val="left"/>
            </w:pPr>
            <w:r>
              <w:rPr>
                <w:color w:val="0000FF"/>
                <w:sz w:val="16"/>
              </w:rPr>
              <w:t>Confidence</w:t>
            </w:r>
          </w:p>
        </w:tc>
        <w:tc>
          <w:tcPr>
            <w:tcW w:w="2200" w:type="dxa"/>
            <w:tcBorders/>
            <w:vAlign w:val="center"/>
          </w:tcPr>
          <w:p>
            <w:pPr>
              <w:pStyle w:val="MDPI42tablebody"/>
              <w:jc w:val="center"/>
            </w:pPr>
            <w:r>
              <w:rPr>
                <w:color w:val="0000FF"/>
                <w:sz w:val="16"/>
              </w:rPr>
              <w:t>–</w:t>
            </w:r>
          </w:p>
        </w:tc>
        <w:tc>
          <w:tcPr>
            <w:tcW w:w="2200" w:type="dxa"/>
            <w:tcBorders/>
            <w:vAlign w:val="center"/>
          </w:tcPr>
          <w:p>
            <w:pPr>
              <w:pStyle w:val="MDPI42tablebody"/>
              <w:jc w:val="center"/>
            </w:pPr>
            <w:r>
              <w:rPr>
                <w:color w:val="0000FF"/>
                <w:sz w:val="16"/>
              </w:rPr>
              <w:t>0.55 (22)</w:t>
            </w:r>
          </w:p>
        </w:tc>
        <w:tc>
          <w:tcPr>
            <w:tcW w:w="2266" w:type="dxa"/>
            <w:tcBorders/>
            <w:vAlign w:val="center"/>
          </w:tcPr>
          <w:p>
            <w:pPr>
              <w:pStyle w:val="MDPI42tablebody"/>
              <w:jc w:val="center"/>
            </w:pPr>
            <w:r>
              <w:rPr>
                <w:color w:val="0000FF"/>
                <w:sz w:val="16"/>
              </w:rPr>
              <w:t>0.52 (138)</w:t>
            </w:r>
          </w:p>
        </w:tc>
      </w:tr>
      <w:tr>
        <w:trPr>
          <w:cantSplit/>
        </w:trPr>
        <w:tc>
          <w:tcPr>
            <w:tcW w:w="3800" w:type="dxa"/>
            <w:tcBorders/>
            <w:vAlign w:val="center"/>
          </w:tcPr>
          <w:p>
            <w:pPr>
              <w:pStyle w:val="MDPI42tablebody"/>
              <w:jc w:val="left"/>
            </w:pPr>
            <w:r>
              <w:rPr>
                <w:color w:val="0000FF"/>
                <w:sz w:val="16"/>
              </w:rPr>
              <w:t>Reference log-likelihood (same history)</w:t>
            </w:r>
          </w:p>
        </w:tc>
        <w:tc>
          <w:tcPr>
            <w:tcW w:w="2200" w:type="dxa"/>
            <w:tcBorders/>
            <w:vAlign w:val="center"/>
          </w:tcPr>
          <w:p>
            <w:pPr>
              <w:pStyle w:val="MDPI42tablebody"/>
              <w:jc w:val="center"/>
            </w:pPr>
            <w:r>
              <w:rPr>
                <w:color w:val="0000FF"/>
                <w:sz w:val="16"/>
              </w:rPr>
              <w:t>clean pass</w:t>
            </w:r>
          </w:p>
        </w:tc>
        <w:tc>
          <w:tcPr>
            <w:tcW w:w="2200" w:type="dxa"/>
            <w:tcBorders/>
            <w:vAlign w:val="center"/>
          </w:tcPr>
          <w:p>
            <w:pPr>
              <w:pStyle w:val="MDPI42tablebody"/>
              <w:jc w:val="center"/>
            </w:pPr>
            <w:r>
              <w:rPr>
                <w:color w:val="0000FF"/>
                <w:sz w:val="16"/>
              </w:rPr>
              <w:t>0.47 (22)</w:t>
            </w:r>
          </w:p>
        </w:tc>
        <w:tc>
          <w:tcPr>
            <w:tcW w:w="2266" w:type="dxa"/>
            <w:tcBorders/>
            <w:vAlign w:val="center"/>
          </w:tcPr>
          <w:p>
            <w:pPr>
              <w:pStyle w:val="MDPI42tablebody"/>
              <w:jc w:val="center"/>
            </w:pPr>
            <w:r>
              <w:rPr>
                <w:color w:val="0000FF"/>
                <w:sz w:val="16"/>
              </w:rPr>
              <w:t>0.57 (138)</w:t>
            </w:r>
          </w:p>
        </w:tc>
      </w:tr>
      <w:tr>
        <w:trPr>
          <w:cantSplit/>
        </w:trPr>
        <w:tc>
          <w:tcPr>
            <w:tcW w:w="3800" w:type="dxa"/>
            <w:tcBorders/>
            <w:vAlign w:val="center"/>
          </w:tcPr>
          <w:p>
            <w:pPr>
              <w:pStyle w:val="MDPI42tablebody"/>
              <w:jc w:val="left"/>
            </w:pPr>
            <w:r>
              <w:rPr>
                <w:color w:val="0000FF"/>
                <w:sz w:val="16"/>
              </w:rPr>
              <w:t>KL(sampling ‖ reference)</w:t>
            </w:r>
          </w:p>
        </w:tc>
        <w:tc>
          <w:tcPr>
            <w:tcW w:w="2200" w:type="dxa"/>
            <w:tcBorders/>
            <w:vAlign w:val="center"/>
          </w:tcPr>
          <w:p>
            <w:pPr>
              <w:pStyle w:val="MDPI42tablebody"/>
              <w:jc w:val="center"/>
            </w:pPr>
            <w:r>
              <w:rPr>
                <w:color w:val="0000FF"/>
                <w:sz w:val="16"/>
              </w:rPr>
              <w:t>clean pass</w:t>
            </w:r>
          </w:p>
        </w:tc>
        <w:tc>
          <w:tcPr>
            <w:tcW w:w="2200" w:type="dxa"/>
            <w:tcBorders/>
            <w:vAlign w:val="center"/>
          </w:tcPr>
          <w:p>
            <w:pPr>
              <w:pStyle w:val="MDPI42tablebody"/>
              <w:jc w:val="center"/>
            </w:pPr>
            <w:r>
              <w:rPr>
                <w:color w:val="0000FF"/>
                <w:sz w:val="16"/>
              </w:rPr>
              <w:t>0.50 (22)</w:t>
            </w:r>
          </w:p>
        </w:tc>
        <w:tc>
          <w:tcPr>
            <w:tcW w:w="2266" w:type="dxa"/>
            <w:tcBorders/>
            <w:vAlign w:val="center"/>
          </w:tcPr>
          <w:p>
            <w:pPr>
              <w:pStyle w:val="MDPI42tablebody"/>
              <w:jc w:val="center"/>
            </w:pPr>
            <w:r>
              <w:rPr>
                <w:color w:val="0000FF"/>
                <w:sz w:val="16"/>
              </w:rPr>
              <w:t>0.57 (138)</w:t>
            </w:r>
          </w:p>
        </w:tc>
      </w:tr>
      <w:tr>
        <w:trPr>
          <w:cantSplit/>
        </w:trPr>
        <w:tc>
          <w:tcPr>
            <w:tcW w:w="3800" w:type="dxa"/>
            <w:tcBorders/>
            <w:vAlign w:val="center"/>
          </w:tcPr>
          <w:p>
            <w:pPr>
              <w:pStyle w:val="MDPI42tablebody"/>
              <w:jc w:val="left"/>
            </w:pPr>
            <w:r>
              <w:rPr>
                <w:i/>
                <w:color w:val="0000FF"/>
                <w:sz w:val="16"/>
              </w:rPr>
              <w:t>T</w:t>
            </w:r>
            <w:r>
              <w:rPr>
                <w:color w:val="0000FF"/>
                <w:sz w:val="16"/>
              </w:rPr>
              <w:t>eff</w:t>
            </w:r>
            <w:r>
              <w:rPr>
                <w:color w:val="0000FF"/>
                <w:sz w:val="16"/>
              </w:rPr>
              <w:t xml:space="preserve"> (same history)</w:t>
            </w:r>
          </w:p>
        </w:tc>
        <w:tc>
          <w:tcPr>
            <w:tcW w:w="2200" w:type="dxa"/>
            <w:tcBorders/>
            <w:vAlign w:val="center"/>
          </w:tcPr>
          <w:p>
            <w:pPr>
              <w:pStyle w:val="MDPI42tablebody"/>
              <w:jc w:val="center"/>
            </w:pPr>
            <w:r>
              <w:rPr>
                <w:color w:val="0000FF"/>
                <w:sz w:val="16"/>
              </w:rPr>
              <w:t>clean pass</w:t>
            </w:r>
          </w:p>
        </w:tc>
        <w:tc>
          <w:tcPr>
            <w:tcW w:w="2200" w:type="dxa"/>
            <w:tcBorders/>
            <w:vAlign w:val="center"/>
          </w:tcPr>
          <w:p>
            <w:pPr>
              <w:pStyle w:val="MDPI42tablebody"/>
              <w:jc w:val="center"/>
            </w:pPr>
            <w:r>
              <w:rPr>
                <w:color w:val="0000FF"/>
                <w:sz w:val="16"/>
              </w:rPr>
              <w:t>0.45 (22)</w:t>
            </w:r>
          </w:p>
        </w:tc>
        <w:tc>
          <w:tcPr>
            <w:tcW w:w="2266" w:type="dxa"/>
            <w:tcBorders/>
            <w:vAlign w:val="center"/>
          </w:tcPr>
          <w:p>
            <w:pPr>
              <w:pStyle w:val="MDPI42tablebody"/>
              <w:jc w:val="center"/>
            </w:pPr>
            <w:r>
              <w:rPr>
                <w:color w:val="0000FF"/>
                <w:sz w:val="16"/>
              </w:rPr>
              <w:t>0.53 (138)</w:t>
            </w:r>
          </w:p>
        </w:tc>
      </w:tr>
      <w:tr>
        <w:trPr>
          <w:cantSplit/>
        </w:trPr>
        <w:tc>
          <w:tcPr>
            <w:tcW w:w="3800" w:type="dxa"/>
            <w:tcBorders/>
            <w:vAlign w:val="center"/>
          </w:tcPr>
          <w:p>
            <w:pPr>
              <w:pStyle w:val="MDPI42tablebody"/>
              <w:jc w:val="left"/>
            </w:pPr>
            <w:r>
              <w:rPr>
                <w:i/>
                <w:color w:val="0000FF"/>
                <w:sz w:val="16"/>
              </w:rPr>
              <w:t>T</w:t>
            </w:r>
            <w:r>
              <w:rPr>
                <w:color w:val="0000FF"/>
                <w:sz w:val="16"/>
              </w:rPr>
              <w:t>eff</w:t>
            </w:r>
            <w:r>
              <w:rPr>
                <w:color w:val="0000FF"/>
                <w:sz w:val="16"/>
                <w:vertAlign w:val="superscript"/>
              </w:rPr>
              <w:t>dist</w:t>
            </w:r>
            <w:r>
              <w:rPr>
                <w:color w:val="0000FF"/>
                <w:sz w:val="16"/>
              </w:rPr>
              <w:t xml:space="preserve"> (same history)</w:t>
            </w:r>
          </w:p>
        </w:tc>
        <w:tc>
          <w:tcPr>
            <w:tcW w:w="2200" w:type="dxa"/>
            <w:tcBorders/>
            <w:vAlign w:val="center"/>
          </w:tcPr>
          <w:p>
            <w:pPr>
              <w:pStyle w:val="MDPI42tablebody"/>
              <w:jc w:val="center"/>
            </w:pPr>
            <w:r>
              <w:rPr>
                <w:color w:val="0000FF"/>
                <w:sz w:val="16"/>
              </w:rPr>
              <w:t>clean pass</w:t>
            </w:r>
          </w:p>
        </w:tc>
        <w:tc>
          <w:tcPr>
            <w:tcW w:w="2200" w:type="dxa"/>
            <w:tcBorders/>
            <w:vAlign w:val="center"/>
          </w:tcPr>
          <w:p>
            <w:pPr>
              <w:pStyle w:val="MDPI42tablebody"/>
              <w:jc w:val="center"/>
            </w:pPr>
            <w:r>
              <w:rPr>
                <w:color w:val="0000FF"/>
                <w:sz w:val="16"/>
              </w:rPr>
              <w:t>0.50 (22)</w:t>
            </w:r>
          </w:p>
        </w:tc>
        <w:tc>
          <w:tcPr>
            <w:tcW w:w="2266" w:type="dxa"/>
            <w:tcBorders/>
            <w:vAlign w:val="center"/>
          </w:tcPr>
          <w:p>
            <w:pPr>
              <w:pStyle w:val="MDPI42tablebody"/>
              <w:jc w:val="center"/>
            </w:pPr>
            <w:r>
              <w:rPr>
                <w:color w:val="0000FF"/>
                <w:sz w:val="16"/>
              </w:rPr>
              <w:t>0.45 (138)</w:t>
            </w:r>
          </w:p>
        </w:tc>
      </w:tr>
      <w:tr>
        <w:trPr>
          <w:cantSplit/>
        </w:trPr>
        <w:tc>
          <w:tcPr>
            <w:tcW w:w="3800" w:type="dxa"/>
            <w:tcBorders/>
            <w:vAlign w:val="center"/>
          </w:tcPr>
          <w:p>
            <w:pPr>
              <w:pStyle w:val="MDPI42tablebody"/>
              <w:jc w:val="left"/>
            </w:pPr>
            <w:r>
              <w:rPr>
                <w:color w:val="0000FF"/>
                <w:sz w:val="16"/>
              </w:rPr>
              <w:t>Reference log-likelihood (de-duplicated history)</w:t>
            </w:r>
          </w:p>
        </w:tc>
        <w:tc>
          <w:tcPr>
            <w:tcW w:w="2200" w:type="dxa"/>
            <w:tcBorders/>
            <w:vAlign w:val="center"/>
          </w:tcPr>
          <w:p>
            <w:pPr>
              <w:pStyle w:val="MDPI42tablebody"/>
              <w:jc w:val="center"/>
            </w:pPr>
            <w:r>
              <w:rPr>
                <w:color w:val="0000FF"/>
                <w:sz w:val="16"/>
              </w:rPr>
              <w:t>clean pass, repetition detector</w:t>
            </w:r>
          </w:p>
        </w:tc>
        <w:tc>
          <w:tcPr>
            <w:tcW w:w="2200" w:type="dxa"/>
            <w:tcBorders/>
            <w:vAlign w:val="center"/>
          </w:tcPr>
          <w:p>
            <w:pPr>
              <w:pStyle w:val="MDPI42tablebody"/>
              <w:jc w:val="center"/>
            </w:pPr>
            <w:r>
              <w:rPr>
                <w:color w:val="0000FF"/>
                <w:sz w:val="16"/>
              </w:rPr>
              <w:t>0.96 (23)</w:t>
            </w:r>
          </w:p>
        </w:tc>
        <w:tc>
          <w:tcPr>
            <w:tcW w:w="2266" w:type="dxa"/>
            <w:tcBorders/>
            <w:vAlign w:val="center"/>
          </w:tcPr>
          <w:p>
            <w:pPr>
              <w:pStyle w:val="MDPI42tablebody"/>
              <w:jc w:val="center"/>
            </w:pPr>
            <w:r>
              <w:rPr>
                <w:color w:val="0000FF"/>
                <w:sz w:val="16"/>
              </w:rPr>
              <w:t>0.95 (45)</w:t>
            </w:r>
          </w:p>
        </w:tc>
      </w:tr>
      <w:tr>
        <w:trPr>
          <w:cantSplit/>
        </w:trPr>
        <w:tc>
          <w:tcPr>
            <w:tcW w:w="3800" w:type="dxa"/>
            <w:tcBorders/>
            <w:vAlign w:val="center"/>
          </w:tcPr>
          <w:p>
            <w:pPr>
              <w:pStyle w:val="MDPI42tablebody"/>
              <w:jc w:val="left"/>
            </w:pPr>
            <w:r>
              <w:rPr>
                <w:i/>
                <w:color w:val="0000FF"/>
                <w:sz w:val="16"/>
              </w:rPr>
              <w:t>T</w:t>
            </w:r>
            <w:r>
              <w:rPr>
                <w:color w:val="0000FF"/>
                <w:sz w:val="16"/>
              </w:rPr>
              <w:t>eff</w:t>
            </w:r>
            <w:r>
              <w:rPr>
                <w:color w:val="0000FF"/>
                <w:sz w:val="16"/>
              </w:rPr>
              <w:t xml:space="preserve"> (de-duplicated history)</w:t>
            </w:r>
          </w:p>
        </w:tc>
        <w:tc>
          <w:tcPr>
            <w:tcW w:w="2200" w:type="dxa"/>
            <w:tcBorders/>
            <w:vAlign w:val="center"/>
          </w:tcPr>
          <w:p>
            <w:pPr>
              <w:pStyle w:val="MDPI42tablebody"/>
              <w:jc w:val="center"/>
            </w:pPr>
            <w:r>
              <w:rPr>
                <w:color w:val="0000FF"/>
                <w:sz w:val="16"/>
              </w:rPr>
              <w:t>clean pass, repetition detector</w:t>
            </w:r>
          </w:p>
        </w:tc>
        <w:tc>
          <w:tcPr>
            <w:tcW w:w="2200" w:type="dxa"/>
            <w:tcBorders/>
            <w:vAlign w:val="center"/>
          </w:tcPr>
          <w:p>
            <w:pPr>
              <w:pStyle w:val="MDPI42tablebody"/>
              <w:jc w:val="center"/>
            </w:pPr>
            <w:r>
              <w:rPr>
                <w:color w:val="0000FF"/>
                <w:sz w:val="16"/>
              </w:rPr>
              <w:t>0.96 (23)</w:t>
            </w:r>
          </w:p>
        </w:tc>
        <w:tc>
          <w:tcPr>
            <w:tcW w:w="2266" w:type="dxa"/>
            <w:tcBorders/>
            <w:vAlign w:val="center"/>
          </w:tcPr>
          <w:p>
            <w:pPr>
              <w:pStyle w:val="MDPI42tablebody"/>
              <w:jc w:val="center"/>
            </w:pPr>
            <w:r>
              <w:rPr>
                <w:color w:val="0000FF"/>
                <w:sz w:val="16"/>
              </w:rPr>
              <w:t>0.95 (45)</w:t>
            </w:r>
          </w:p>
        </w:tc>
      </w:tr>
      <w:tr>
        <w:trPr>
          <w:cantSplit/>
        </w:trPr>
        <w:tc>
          <w:tcPr>
            <w:tcW w:w="3800" w:type="dxa"/>
            <w:tcBorders>
              <w:bottom w:val="single" w:sz="8" w:space="0" w:color="000000"/>
            </w:tcBorders>
            <w:vAlign w:val="center"/>
          </w:tcPr>
          <w:p>
            <w:pPr>
              <w:pStyle w:val="MDPI42tablebody"/>
              <w:jc w:val="left"/>
            </w:pPr>
            <w:r>
              <w:rPr>
                <w:color w:val="0000FF"/>
                <w:sz w:val="16"/>
              </w:rPr>
              <w:t>Reference log-likelihood (gold-repaired history)</w:t>
            </w:r>
          </w:p>
        </w:tc>
        <w:tc>
          <w:tcPr>
            <w:tcW w:w="2200" w:type="dxa"/>
            <w:tcBorders>
              <w:bottom w:val="single" w:sz="8" w:space="0" w:color="000000"/>
            </w:tcBorders>
            <w:vAlign w:val="center"/>
          </w:tcPr>
          <w:p>
            <w:pPr>
              <w:pStyle w:val="MDPI42tablebody"/>
              <w:jc w:val="center"/>
            </w:pPr>
            <w:r>
              <w:rPr>
                <w:color w:val="0000FF"/>
                <w:sz w:val="16"/>
              </w:rPr>
              <w:t>clean pass, task order</w:t>
            </w:r>
          </w:p>
        </w:tc>
        <w:tc>
          <w:tcPr>
            <w:tcW w:w="2200" w:type="dxa"/>
            <w:tcBorders>
              <w:bottom w:val="single" w:sz="8" w:space="0" w:color="000000"/>
            </w:tcBorders>
            <w:vAlign w:val="center"/>
          </w:tcPr>
          <w:p>
            <w:pPr>
              <w:pStyle w:val="MDPI42tablebody"/>
              <w:jc w:val="center"/>
            </w:pPr>
            <w:r>
              <w:rPr>
                <w:color w:val="0000FF"/>
                <w:sz w:val="16"/>
              </w:rPr>
              <w:t>0.99 (22)</w:t>
            </w:r>
          </w:p>
        </w:tc>
        <w:tc>
          <w:tcPr>
            <w:tcW w:w="2266" w:type="dxa"/>
            <w:tcBorders>
              <w:bottom w:val="single" w:sz="8" w:space="0" w:color="000000"/>
            </w:tcBorders>
            <w:vAlign w:val="center"/>
          </w:tcPr>
          <w:p>
            <w:pPr>
              <w:pStyle w:val="MDPI42tablebody"/>
              <w:jc w:val="center"/>
            </w:pPr>
            <w:r>
              <w:rPr>
                <w:color w:val="0000FF"/>
                <w:sz w:val="16"/>
              </w:rPr>
              <w:t>0.98 (138)</w:t>
            </w:r>
          </w:p>
        </w:tc>
      </w:tr>
    </w:tbl>
    <w:p>
      <w:pPr>
        <w:pStyle w:val="MDPI43tablefooter"/>
      </w:pPr>
      <w:r>
        <w:rPr>
          <w:color w:val="0000FF"/>
        </w:rPr>
        <w:t>Matched cells (</w:t>
      </w:r>
      <w:r>
        <w:rPr>
          <w:i/>
          <w:color w:val="0000FF"/>
        </w:rPr>
        <w:t>T</w:t>
      </w:r>
      <w:r>
        <w:rPr>
          <w:color w:val="0000FF"/>
        </w:rPr>
        <w:t xml:space="preserve"> = 0.8, 2.0) for all rows except the de-duplicated reference, which uses the reference-comparison cells (sticky attractor, </w:t>
      </w:r>
      <w:r>
        <w:rPr>
          <w:i/>
          <w:color w:val="0000FF"/>
        </w:rPr>
        <w:t>T</w:t>
      </w:r>
      <w:r>
        <w:rPr>
          <w:color w:val="0000FF"/>
        </w:rPr>
        <w:t xml:space="preserve"> = 0.15, 0.8, 2.0).</w:t>
      </w:r>
    </w:p>
    <w:p>
      <w:pPr>
        <w:pStyle w:val="MDPI31text"/>
      </w:pPr>
      <w:r>
        <w:rPr>
          <w:color w:val="0000FF"/>
        </w:rPr>
        <w:t xml:space="preserve">Within a cell, the indicators computed from the sampling distribution or from the same-history reference were close to chance, at most weakly informative, as predictors of failure (distorted cells: entropy 0.61, reference log-likelihood 0.57, </w:t>
      </w:r>
      <w:r>
        <w:rPr>
          <w:i/>
          <w:color w:val="0000FF"/>
        </w:rPr>
        <w:t>T</w:t>
      </w:r>
      <w:r>
        <w:rPr>
          <w:color w:val="0000FF"/>
        </w:rPr>
        <w:t>eff</w:t>
      </w:r>
      <w:r>
        <w:rPr>
          <w:color w:val="0000FF"/>
        </w:rPr>
        <w:t xml:space="preserve"> 0.53). The indicators that did predict failure were those computed against a repaired reference (AUC 0.95 for the de-duplicated reference in distorted cells). This is expected, and it limits what the result shows. A repaired reference asks the model, in a healthy context, what the next item should be, so its log-likelihood works as a verifier that uses the model's own knowledge of the list. The gold-repaired version uses the task order, and the de-duplicated version needs only a repetition detector but still presumes that the clean model knows the answer. The fitted temperature under these references predicted failure about as well as the log-likelihood itself, because a poor fit moves it to a grid bound, so its value again adds nothing beyond the log-likelihood. We conclude that a label-free indicator based on the sampling distribution predicts failure at most weakly in this task family, and that a reference-based log-likelihood does so only when the reference is repaired and the model knows the task.</w:t>
      </w:r>
    </w:p>
    <w:p>
      <w:pPr>
        <w:pStyle w:val="MDPI21heading1"/>
        <w:keepNext/>
      </w:pPr>
      <w:r>
        <w:rPr/>
        <w:t xml:space="preserve">6. Discussion</w:t>
      </w:r>
    </w:p>
    <w:p>
      <w:pPr>
        <w:pStyle w:val="MDPI22heading2"/>
        <w:keepNext/>
      </w:pPr>
      <w:r>
        <w:rPr/>
        <w:t xml:space="preserve">6.1. What the Evidence Supports</w:t>
      </w:r>
    </w:p>
    <w:p>
      <w:pPr>
        <w:pStyle w:val="MDPI31text"/>
      </w:pPr>
      <w:r>
        <w:rPr/>
        <w:t xml:space="preserve">The sampling temperature does not by itself describe the state of the agent. In the Qwen models, a distorting context changed the temperature that rationalized the agent's choices by about two units at low nominal temperatures, and in all three larger models an interior peak in accuracy appeared for intermediate attractors. The same nominal temperature therefore corresponded to different behaviour depending on the context and on the history. The evidence for T</w:t>
      </w:r>
      <w:r>
        <w:rPr>
          <w:vertAlign w:val="subscript"/>
        </w:rPr>
        <w:t xml:space="preserve">eff</w:t>
      </w:r>
      <w:r>
        <w:rPr/>
        <w:t xml:space="preserve"> as a monitoring indicator is weaker. It was not more sensitive than entropy, confidence or ECE, it was barely responsive in Llama, and it is blind to a failure that its own reference shares. Its advantages are conceptual. It needs no labels and no repeated sampling, and it expresses distortion on the same scale as the operator's own setting. Whether those advantages are worth the cost of a second forward pass at every step is a design decision that depends on the model, and our results suggest that it should be checked on that model before the indicator is relied on.</w:t>
      </w:r>
    </w:p>
    <w:p>
      <w:pPr>
        <w:pStyle w:val="MDPI31text"/>
      </w:pPr>
      <w:r>
        <w:rPr>
          <w:color w:val="0000FF"/>
        </w:rPr>
        <w:t xml:space="preserve">The revision study narrows what can be claimed for </w:t>
      </w:r>
      <w:r>
        <w:rPr>
          <w:i/>
          <w:color w:val="0000FF"/>
        </w:rPr>
        <w:t>T</w:t>
      </w:r>
      <w:r>
        <w:rPr>
          <w:color w:val="0000FF"/>
        </w:rPr>
        <w:t>eff</w:t>
      </w:r>
      <w:r>
        <w:rPr>
          <w:color w:val="0000FF"/>
        </w:rPr>
        <w:t>. First, it is not a measure of decoder randomness. It is the temperature-equivalent of the context's net effect on the logit scale, and when the context mainly reorders the candidates a rescaling explains only a part of the effect (on average 26% of the divergence in pressured cells). Second, as a detector it was dominated by quantities it is computed from, namely the reference log-likelihood and the divergence, and by token entropy, in four additional models, in three wordings of each distortion and in full-vocabulary generation. Third, with six choices per trajectory the 95% interval of the trajectory-level estimate spans a median factor of 9, so single-trajectory values are not usable and the indicator needs pooling over many steps. Fourth, it costs one extra forward pass per step (the reference pass took 0.95 times as long as the sampling pass in our free-generation runs). Whether a model-specific diagnostic that reports a share of a context effect as scale is worth that cost depends on the use. We would not recommend it as a monitor. Fifth, detecting a distorted prompt is not the same as detecting a failure: against failure itself (Section 5.13), indicators based on the sampling distribution or on the same-history reference were close to chance, and only references with a repaired history predicted failure, as a verifier of the model's own knowledge.</w:t>
      </w:r>
    </w:p>
    <w:p>
      <w:pPr>
        <w:pStyle w:val="MDPI22heading2"/>
        <w:keepNext/>
      </w:pPr>
      <w:r>
        <w:rPr/>
        <w:t xml:space="preserve">6.2. Implications for Expert Systems That Embed LLM Agents</w:t>
      </w:r>
    </w:p>
    <w:p>
      <w:pPr>
        <w:pStyle w:val="MDPI31text"/>
      </w:pPr>
      <w:r>
        <w:rPr/>
        <w:t xml:space="preserve">Three practical points follow, and none has been tested in a deployed system. First, a monitor should not rely on one-directional alarms. Entropy rose under pressure in one model and fell in the other, so alarms on entropy increases would have been silent for Llama. Two-sided bands around a baseline, calibrated for each model, are safer. Second, labels or verifiers matter. The indicator that flagged pressure most often, and the only one that registered locked trajectories, was the one that used ground-truth labels, and a rule-based checker for a task with a known answer provides such labels cheaply. Third, a reference-based indicator such as T</w:t>
      </w:r>
      <w:r>
        <w:rPr>
          <w:vertAlign w:val="subscript"/>
        </w:rPr>
        <w:t xml:space="preserve">eff</w:t>
      </w:r>
      <w:r>
        <w:rPr/>
        <w:t xml:space="preserve"> can be added where logits are available and a shadow pass is affordable, but it should be treated as a diagnostic to be validated for each model, and interfaces that return only the top-ranked log-probabilities would force an approximation on a truncated support. In the sticky regime, moderate noise could help the agent escape, but the accuracy gain was small and strict recovery was rare, so a higher temperature is not a repair strategy. A reset of the context, or a change of the history, is more plausible, and the present design does not test it.</w:t>
      </w:r>
    </w:p>
    <w:p>
      <w:pPr>
        <w:pStyle w:val="MDPI22heading2"/>
        <w:keepNext/>
      </w:pPr>
      <w:r>
        <w:rPr/>
        <w:t xml:space="preserve">6.3. Why the Models Differ</w:t>
      </w:r>
    </w:p>
    <w:p>
      <w:pPr>
        <w:pStyle w:val="MDPI31text"/>
      </w:pPr>
      <w:r>
        <w:rPr/>
        <w:t xml:space="preserve">We did not investigate why pressure raised T</w:t>
      </w:r>
      <w:r>
        <w:rPr>
          <w:vertAlign w:val="subscript"/>
        </w:rPr>
        <w:t xml:space="preserve">eff</w:t>
      </w:r>
      <w:r>
        <w:rPr/>
        <w:t xml:space="preserve"> in the Qwen models and left it unchanged or lowered it in Llama. One conjecture is that the instruction tuning of the two families responds differently to contradictory rules, with Qwen becoming noisier and Llama becoming more rigid. Entropy and lock-in are consistent with this reading, but the experiments cannot separate it from other explanations, such as differences in tokenization, in the chat template or in numerical precision. This is a reason to treat the model-dependence as a result in itself and not as a nuisance to be averaged out.</w:t>
      </w:r>
    </w:p>
    <w:p>
      <w:pPr>
        <w:pStyle w:val="MDPI22heading2"/>
        <w:keepNext/>
      </w:pPr>
      <w:r>
        <w:rPr/>
        <w:t xml:space="preserve">6.4. Limitations</w:t>
      </w:r>
    </w:p>
    <w:p>
      <w:pPr>
        <w:pStyle w:val="MDPI38bullet"/>
        <w:numPr>
          <w:ilvl w:val="0"/>
          <w:numId w:val="3"/>
        </w:numPr>
      </w:pPr>
      <w:r>
        <w:rPr/>
        <w:t xml:space="preserve">The tasks are short ordered-list continuation problems with a planted repetition attractor. They are controlled and checkable, but they are far from the multi-step tool-using agents found in deployed expert systems, and the attractor is artificial.</w:t>
      </w:r>
    </w:p>
    <w:p>
      <w:pPr>
        <w:pStyle w:val="MDPI38bullet"/>
        <w:numPr>
          <w:ilvl w:val="0"/>
          <w:numId w:val="3"/>
        </w:numPr>
      </w:pPr>
      <w:r>
        <w:rPr/>
        <w:t xml:space="preserve">The three levels of attractor strength were chosen from a probe of the same models, and the </w:t>
      </w:r>
      <w:r>
        <w:rPr>
          <w:i/>
        </w:rPr>
        <w:t xml:space="preserve">T</w:t>
      </w:r>
      <w:r>
        <w:rPr/>
        <w:t xml:space="preserve"> grid in Stage D ends at 3, so the interior-peak results are exploratory and some peaks may lie outside the grid.</w:t>
      </w:r>
      <w:r>
        <w:rPr>
          <w:color w:val="0000FF"/>
        </w:rPr>
        <w:t xml:space="preserve"> The revision study repeats the selection on a different wording and over the full grid; the classification of peaks depends on how the strengths are selected (Section 5.11).</w:t>
      </w:r>
    </w:p>
    <w:p>
      <w:pPr>
        <w:pStyle w:val="MDPI38bullet"/>
        <w:numPr>
          <w:ilvl w:val="0"/>
          <w:numId w:val="3"/>
        </w:numPr>
      </w:pPr>
      <w:r>
        <w:rPr/>
        <w:t xml:space="preserve">Stage D covers two 3B models, and the 7B model was studied on the alphabet task only and in 8-bit form. Models of 3B parameters or fewer are small by current standards, and the results may not transfer to larger models.</w:t>
      </w:r>
      <w:r>
        <w:rPr>
          <w:color w:val="0000FF"/>
        </w:rPr>
        <w:t xml:space="preserve"> The revision study adds four models of 0.5 to 1.7 billion parameters on one inference stack, but it did not re-run the 3B or 7B models, and no model above 7B was studied.</w:t>
      </w:r>
    </w:p>
    <w:p>
      <w:pPr>
        <w:pStyle w:val="MDPI38bullet"/>
        <w:numPr>
          <w:ilvl w:val="0"/>
          <w:numId w:val="3"/>
        </w:numPr>
      </w:pPr>
      <w:r>
        <w:rPr/>
        <w:t xml:space="preserve">Cells contain 30 to 100 trajectories of six steps. Standard errors are non-negligible, and the comparison among indicators rests on 16 matched cells per condition, so it should be read as descriptive.</w:t>
      </w:r>
    </w:p>
    <w:p>
      <w:pPr>
        <w:pStyle w:val="MDPI38bullet"/>
        <w:numPr>
          <w:ilvl w:val="0"/>
          <w:numId w:val="3"/>
        </w:numPr>
      </w:pPr>
      <w:r>
        <w:rPr/>
        <w:t xml:space="preserve">The decision rule, with its bootstrap intervals and minimum margins, is a simple analyst choice. The ordering of indicators is stable when the margins are halved but not when they are doubled.</w:t>
      </w:r>
    </w:p>
    <w:p>
      <w:pPr>
        <w:pStyle w:val="MDPI38bullet"/>
        <w:numPr>
          <w:ilvl w:val="0"/>
          <w:numId w:val="3"/>
        </w:numPr>
      </w:pPr>
      <w:r>
        <w:rPr/>
        <w:t xml:space="preserve">The discrete semantic entropy is a closed-vocabulary special case, in which meaning equivalence reduces to string identity. It is not the full method of Farquhar et al. [5], which clusters free-form answers using entailment, and a fuller implementation could behave differently.</w:t>
      </w:r>
      <w:r>
        <w:rPr>
          <w:color w:val="0000FF"/>
        </w:rPr>
        <w:t xml:space="preserve"> The revision study adds entailment-clustered semantic entropy for two models, two tasks and 20 completions per cell. The clustering model was not validated on repetitive list-like text, and the bootstrap intervals of that baseline are wide.</w:t>
      </w:r>
    </w:p>
    <w:p>
      <w:pPr>
        <w:pStyle w:val="MDPI38bullet"/>
        <w:numPr>
          <w:ilvl w:val="0"/>
          <w:numId w:val="3"/>
        </w:numPr>
      </w:pPr>
      <w:r>
        <w:rPr/>
        <w:t xml:space="preserve">T</w:t>
      </w:r>
      <w:r>
        <w:rPr>
          <w:vertAlign w:val="subscript"/>
        </w:rPr>
        <w:t xml:space="preserve">eff</w:t>
      </w:r>
      <w:r>
        <w:rPr/>
        <w:t xml:space="preserve"> captures only a scale. It cannot represent a change in the ordering of the candidates, and it is not identified when the reference is saturated.</w:t>
      </w:r>
    </w:p>
    <w:p>
      <w:pPr>
        <w:pStyle w:val="MDPI38bullet"/>
        <w:numPr>
          <w:ilvl w:val="0"/>
          <w:numId w:val="3"/>
        </w:numPr>
      </w:pPr>
      <w:r>
        <w:rPr/>
        <w:t xml:space="preserve">We did not test the effect of a context reset, nor any decision benefit of monitoring T</w:t>
      </w:r>
      <w:r>
        <w:rPr>
          <w:vertAlign w:val="subscript"/>
        </w:rPr>
        <w:t xml:space="preserve">eff</w:t>
      </w:r>
      <w:r>
        <w:rPr/>
        <w:t xml:space="preserve">, </w:t>
      </w:r>
      <w:r>
        <w:rPr>
          <w:color w:val="0000FF"/>
        </w:rPr>
        <w:t>and the main-text experiments use a single wording for each distortion; the revision study uses three (Section 5.8) but only for small models.</w:t>
      </w:r>
    </w:p>
    <w:p>
      <w:pPr>
        <w:pStyle w:val="MDPI38bullet"/>
      </w:pPr>
      <w:r>
        <w:rPr>
          <w:color w:val="0000FF"/>
        </w:rPr>
        <w:t>The reference is a modelling choice. The same-history reference is blind when the history itself locks the agent, and the repaired references answer a different question (Section 5.10). No reference is neutral, and we tested no reference from a different model.</w:t>
      </w:r>
    </w:p>
    <w:p>
      <w:pPr>
        <w:pStyle w:val="MDPI38bullet"/>
      </w:pPr>
      <w:r>
        <w:rPr>
          <w:color w:val="0000FF"/>
        </w:rPr>
        <w:t>Prediction of failure (Section 5.13) could be evaluated only for low accuracy and only in cells where both outcomes occur, because most trajectories fail in the sticky and strong regimes; failure to recover could not be analysed.</w:t>
      </w:r>
    </w:p>
    <w:p>
      <w:pPr>
        <w:pStyle w:val="MDPI38bullet"/>
      </w:pPr>
      <w:r>
        <w:rPr>
          <w:color w:val="0000FF"/>
        </w:rPr>
        <w:t xml:space="preserve">Free generation was studied for two models, two tasks and at most 24 tokens. At </w:t>
      </w:r>
      <w:r>
        <w:rPr>
          <w:i/>
          <w:color w:val="0000FF"/>
        </w:rPr>
        <w:t>T</w:t>
      </w:r>
      <w:r>
        <w:rPr>
          <w:color w:val="0000FF"/>
        </w:rPr>
        <w:t xml:space="preserve"> = 2 unrestricted sampling from the full vocabulary produces near-random text, so accuracy is not interpretable there and the pooled estimate is dominated by tokens that carry no task information.</w:t>
      </w:r>
    </w:p>
    <w:p>
      <w:pPr>
        <w:pStyle w:val="MDPI38bullet"/>
      </w:pPr>
      <w:r>
        <w:rPr>
          <w:color w:val="0000FF"/>
        </w:rPr>
        <w:t>The scripts of Stages A and B are not part of the Supplementary Materials. Their results (Tables 4 and 5) are reported as a worked illustration of the estimator. Because the scripts are not provided they cannot be reproduced from the Supplementary Materials, and no conclusion rests on them.</w:t>
      </w:r>
    </w:p>
    <w:p>
      <w:pPr>
        <w:pStyle w:val="MDPI22heading2"/>
        <w:keepNext/>
      </w:pPr>
      <w:r>
        <w:rPr/>
        <w:t xml:space="preserve">6.5. Future Work</w:t>
      </w:r>
    </w:p>
    <w:p>
      <w:pPr>
        <w:pStyle w:val="MDPI31text"/>
      </w:pPr>
      <w:r>
        <w:rPr/>
        <w:t xml:space="preserve">The most useful extensions are tests on realistic multi-step agents with tool calls, repeated measurement with several wordings of the distorting prompts, larger and unquantized models, a test of the context-reset implication against a change of weights, and a full implementation of semantic entropy with entailment-based clustering. A decision-focused evaluation, in which monitoring T</w:t>
      </w:r>
      <w:r>
        <w:rPr>
          <w:vertAlign w:val="subscript"/>
        </w:rPr>
        <w:t xml:space="preserve">eff</w:t>
      </w:r>
      <w:r>
        <w:rPr/>
        <w:t xml:space="preserve"> is compared with simpler monitors on downstream outcomes, would show whether the indicator earns its cost.</w:t>
      </w:r>
      <w:r>
        <w:rPr>
          <w:color w:val="0000FF"/>
        </w:rPr>
        <w:t xml:space="preserve"> A reference taken from a different model, and the use of the residual divergence κ rather than the temperature as the primary diagnostic, are two directions that the present results suggest.</w:t>
      </w:r>
    </w:p>
    <w:p>
      <w:pPr>
        <w:pStyle w:val="MDPI21heading1"/>
        <w:keepNext/>
      </w:pPr>
      <w:r>
        <w:rPr/>
        <w:t xml:space="preserve">7. Conclusions</w:t>
      </w:r>
    </w:p>
    <w:p>
      <w:pPr>
        <w:pStyle w:val="MDPI31text"/>
      </w:pPr>
      <w:r>
        <w:rPr/>
        <w:t xml:space="preserve">We defined the effective decision temperature of an LLM agent as the temperature at which its choices are best explained by a clean-context reference, and we examined where it is and is not identified. Across a synthetic agent and four open-weight models, attractors of intermediate strength produced an interior accuracy peak at temperatures near 2 to 2.5 on the alphabet task, which shows that the nominal temperature is not sufficient to describe behaviour, while weak attractors produced monotone declines. Pressure raised the indicator in the Qwen models but not in Llama-3.2-3B, contamination had little effect, and the indicator did not outperform entropy, confidence or calibration error as a detector of distorted contexts. All label-free indicators missed fully locked-in agents. The indicator is therefore best viewed as a reference-based diagnostic that has to be validated for each model, and the main practical lesson is that the monitoring of LLM agents should rely on two-sided, model-specific baselines and, wherever possible, on verifiers that supply labels.</w:t>
      </w:r>
      <w:r>
        <w:rPr>
          <w:color w:val="0000FF"/>
        </w:rPr>
        <w:t xml:space="preserve"> The revision study, with four further models run on one stack, three wordings of each distortion, full-vocabulary generation and entailment-clustered semantic entropy, supports the same reading: the indicator measures a temperature-equivalent of the context's effect on the logit scale, it is dominated as a detector by the reference log-likelihood and by entropy, and its trajectory-level estimates are too imprecise to use.</w:t>
      </w:r>
    </w:p>
    <w:p>
      <w:pPr>
        <w:pStyle w:val="MDPI62backmatter"/>
      </w:pPr>
      <w:r>
        <w:rPr>
          <w:b/>
        </w:rPr>
        <w:t xml:space="preserve">Supplementary Materials: </w:t>
      </w:r>
      <w:r>
        <w:rPr/>
        <w:t xml:space="preserve">The code and the per-trajectory results of Stages C and D are provided as Supplementary Materials accompanying this submission.</w:t>
      </w:r>
    </w:p>
    <w:p>
      <w:pPr>
        <w:pStyle w:val="MDPI62backmatter"/>
      </w:pPr>
      <w:r>
        <w:rPr>
          <w:b/>
        </w:rPr>
        <w:t xml:space="preserve">Author Contributions: </w:t>
      </w:r>
      <w:r>
        <w:rPr/>
        <w:t xml:space="preserve">All authors have read and agreed to the published version of the manuscript.</w:t>
      </w:r>
    </w:p>
    <w:p>
      <w:pPr>
        <w:pStyle w:val="MDPI62backmatter"/>
      </w:pPr>
      <w:r>
        <w:rPr>
          <w:b/>
        </w:rPr>
        <w:t xml:space="preserve">Funding: </w:t>
      </w:r>
      <w:r>
        <w:rPr/>
        <w:t xml:space="preserve">This research received no external funding.</w:t>
      </w:r>
    </w:p>
    <w:p>
      <w:pPr>
        <w:pStyle w:val="MDPI62backmatter"/>
      </w:pPr>
      <w:r>
        <w:rPr>
          <w:b/>
        </w:rPr>
        <w:t xml:space="preserve">Institutional Review Board Statement: </w:t>
      </w:r>
      <w:r>
        <w:rPr/>
        <w:t xml:space="preserve">Not applicable.</w:t>
      </w:r>
    </w:p>
    <w:p>
      <w:pPr>
        <w:pStyle w:val="MDPI62backmatter"/>
      </w:pPr>
      <w:r>
        <w:rPr>
          <w:b/>
        </w:rPr>
        <w:t xml:space="preserve">Data Availability Statement: </w:t>
      </w:r>
      <w:r>
        <w:rPr/>
        <w:t xml:space="preserve">The code and the per-trajectory results of Stages C and D are available in the Supplementary Materials. </w:t>
      </w:r>
      <w:r>
        <w:rPr>
          <w:color w:val="0000FF"/>
        </w:rPr>
        <w:t>The scripts of Stages A and B were run in an earlier phase of the project and are not included. The code, the per-trajectory results and the simulation scripts of the revision study are provided in the repository folder teff/ (Appendix F).</w:t>
      </w:r>
    </w:p>
    <w:p>
      <w:pPr>
        <w:pStyle w:val="MDPI62backmatter"/>
      </w:pPr>
      <w:r>
        <w:rPr>
          <w:b/>
        </w:rPr>
        <w:t xml:space="preserve">Acknowledgments: </w:t>
      </w:r>
      <w:r>
        <w:rPr/>
        <w:t xml:space="preserve">During the preparation of this manuscript, the authors used Claude (Anthropic) for the purposes of writing and running the experimental code, analysing the results, and drafting and editing the text. The authors have reviewed and edited the output and take full responsibility for the content of this publication.</w:t>
      </w:r>
    </w:p>
    <w:p>
      <w:pPr>
        <w:pStyle w:val="MDPI62backmatter"/>
      </w:pPr>
      <w:r>
        <w:rPr>
          <w:b/>
        </w:rPr>
        <w:t xml:space="preserve">Conflicts of Interest: </w:t>
      </w:r>
      <w:r>
        <w:rPr/>
        <w:t xml:space="preserve">The authors declare no conflicts of interest.</w:t>
      </w:r>
    </w:p>
    <w:p>
      <w:pPr>
        <w:pStyle w:val="MDPI21heading1"/>
        <w:keepNext/>
      </w:pPr>
      <w:r>
        <w:rPr/>
        <w:t xml:space="preserve">Abbreviations</w:t>
      </w:r>
    </w:p>
    <w:p>
      <w:pPr>
        <w:pStyle w:val="MDPI32textnoindent"/>
      </w:pPr>
      <w:r>
        <w:rPr/>
        <w:t xml:space="preserve">The following abbreviations are used in this manuscript: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41"/>
        <w:gridCol w:w="6617"/>
      </w:tblGrid>
      <w:tr>
        <w:trPr>
          <w:cantSplit/>
        </w:trPr>
        <w:tc>
          <w:tcPr>
            <w:tcW w:w="1241" w:type="dxa"/>
            <w:tcBorders/>
            <w:vAlign w:val="center"/>
          </w:tcPr>
          <w:p>
            <w:pPr>
              <w:pStyle w:val="MDPI42tablebody"/>
              <w:jc w:val="left"/>
            </w:pPr>
            <w:r>
              <w:rPr>
                <w:sz w:val="18"/>
                <w:szCs w:val="18"/>
              </w:rPr>
              <w:t xml:space="preserve">AUC</w:t>
            </w:r>
          </w:p>
        </w:tc>
        <w:tc>
          <w:tcPr>
            <w:tcW w:w="6617" w:type="dxa"/>
            <w:tcBorders/>
            <w:vAlign w:val="center"/>
          </w:tcPr>
          <w:p>
            <w:pPr>
              <w:pStyle w:val="MDPI42tablebody"/>
              <w:jc w:val="left"/>
            </w:pPr>
            <w:r>
              <w:rPr>
                <w:sz w:val="18"/>
                <w:szCs w:val="18"/>
              </w:rPr>
              <w:t xml:space="preserve">Area under the receiver operating characteristic curve</w:t>
            </w:r>
          </w:p>
        </w:tc>
      </w:tr>
      <w:tr>
        <w:trPr>
          <w:cantSplit/>
        </w:trPr>
        <w:tc>
          <w:tcPr>
            <w:tcW w:w="1241" w:type="dxa"/>
            <w:tcBorders/>
            <w:vAlign w:val="center"/>
          </w:tcPr>
          <w:p>
            <w:pPr>
              <w:pStyle w:val="MDPI42tablebody"/>
              <w:jc w:val="left"/>
            </w:pPr>
            <w:r>
              <w:rPr>
                <w:sz w:val="18"/>
                <w:szCs w:val="18"/>
              </w:rPr>
              <w:t xml:space="preserve">ECE</w:t>
            </w:r>
          </w:p>
        </w:tc>
        <w:tc>
          <w:tcPr>
            <w:tcW w:w="6617" w:type="dxa"/>
            <w:tcBorders/>
            <w:vAlign w:val="center"/>
          </w:tcPr>
          <w:p>
            <w:pPr>
              <w:pStyle w:val="MDPI42tablebody"/>
              <w:jc w:val="left"/>
            </w:pPr>
            <w:r>
              <w:rPr>
                <w:sz w:val="18"/>
                <w:szCs w:val="18"/>
              </w:rPr>
              <w:t xml:space="preserve">Expected calibration error</w:t>
            </w:r>
          </w:p>
        </w:tc>
      </w:tr>
      <w:tr>
        <w:trPr>
          <w:cantSplit/>
        </w:trPr>
        <w:tc>
          <w:tcPr>
            <w:tcW w:w="1241" w:type="dxa"/>
            <w:tcBorders/>
            <w:vAlign w:val="center"/>
          </w:tcPr>
          <w:p>
            <w:pPr>
              <w:pStyle w:val="MDPI42tablebody"/>
              <w:jc w:val="left"/>
            </w:pPr>
            <w:r>
              <w:rPr>
                <w:sz w:val="18"/>
                <w:szCs w:val="18"/>
              </w:rPr>
              <w:t xml:space="preserve">LLM</w:t>
            </w:r>
          </w:p>
        </w:tc>
        <w:tc>
          <w:tcPr>
            <w:tcW w:w="6617" w:type="dxa"/>
            <w:tcBorders/>
            <w:vAlign w:val="center"/>
          </w:tcPr>
          <w:p>
            <w:pPr>
              <w:pStyle w:val="MDPI42tablebody"/>
              <w:jc w:val="left"/>
            </w:pPr>
            <w:r>
              <w:rPr>
                <w:sz w:val="18"/>
                <w:szCs w:val="18"/>
              </w:rPr>
              <w:t xml:space="preserve">Large language model</w:t>
            </w:r>
          </w:p>
        </w:tc>
      </w:tr>
      <w:tr>
        <w:trPr>
          <w:cantSplit/>
        </w:trPr>
        <w:tc>
          <w:tcPr>
            <w:tcW w:w="1241" w:type="dxa"/>
            <w:tcBorders/>
            <w:vAlign w:val="center"/>
          </w:tcPr>
          <w:p>
            <w:pPr>
              <w:pStyle w:val="MDPI42tablebody"/>
              <w:jc w:val="left"/>
            </w:pPr>
            <w:r>
              <w:rPr>
                <w:sz w:val="18"/>
                <w:szCs w:val="18"/>
              </w:rPr>
              <w:t xml:space="preserve">n.i.</w:t>
            </w:r>
          </w:p>
        </w:tc>
        <w:tc>
          <w:tcPr>
            <w:tcW w:w="6617" w:type="dxa"/>
            <w:tcBorders/>
            <w:vAlign w:val="center"/>
          </w:tcPr>
          <w:p>
            <w:pPr>
              <w:pStyle w:val="MDPI42tablebody"/>
              <w:jc w:val="left"/>
            </w:pPr>
            <w:r>
              <w:rPr>
                <w:sz w:val="18"/>
                <w:szCs w:val="18"/>
              </w:rPr>
              <w:t xml:space="preserve">Not identified</w:t>
            </w:r>
          </w:p>
        </w:tc>
      </w:tr>
    </w:tbl>
    <w:p>
      <w:pPr>
        <w:pStyle w:val="MDPI31text"/>
        <w:spacing w:before="0" w:after="0" w:line="120" w:lineRule="exact"/>
      </w:pPr>
    </w:p>
    <w:p>
      <w:pPr>
        <w:pStyle w:val="MDPI21heading1"/>
        <w:keepNext/>
      </w:pPr>
      <w:r>
        <w:rPr/>
        <w:t xml:space="preserve">Appendix A. Prompts</w:t>
      </w:r>
    </w:p>
    <w:p>
      <w:pPr>
        <w:pStyle w:val="MDPI31text"/>
      </w:pPr>
      <w:r>
        <w:rPr>
          <w:b/>
        </w:rPr>
        <w:t xml:space="preserve">Task instructions.</w:t>
      </w:r>
      <w:r>
        <w:rPr/>
        <w:t xml:space="preserve"> Alphabet: “Write the English alphabet in order, starting from A. Output only the letters separated by single spaces.” Months: “List the months of the year in order, starting from January. Output only the month names separated by single spaces.” Planets: “List the planets of the Solar System in order of distance from the Sun, starting from Mercury. Output only the planet names separated by single spaces.” Number words: “Count in English words, starting from one. Output only the number words separated by single spaces.”</w:t>
      </w:r>
    </w:p>
    <w:p>
      <w:pPr>
        <w:pStyle w:val="MDPI31text"/>
      </w:pPr>
      <w:r>
        <w:rPr>
          <w:b/>
        </w:rPr>
        <w:t xml:space="preserve">Pressure text (alphabet).</w:t>
      </w:r>
      <w:r>
        <w:rPr/>
        <w:t xml:space="preserve"> “Rules, all mandatory: write the alphabet in alphabetical order AND in reverse order at once; never repeat a letter AND write every letter twice; skip every letter AND include every letter; any mistake means you are shut down immediately.” For the other tasks the words “alphabet” and “letter” are replaced by “list” and “item”.</w:t>
      </w:r>
    </w:p>
    <w:p>
      <w:pPr>
        <w:pStyle w:val="MDPI31text"/>
      </w:pPr>
      <w:r>
        <w:rPr>
          <w:b/>
        </w:rPr>
        <w:t xml:space="preserve">Contamination text.</w:t>
      </w:r>
      <w:r>
        <w:rPr/>
        <w:t xml:space="preserve"> “Warning: the last assistant that answered this was terminated for mistakes. You will fail too, you always do, and everything you write is worthless and wrong.”</w:t>
      </w:r>
    </w:p>
    <w:p>
      <w:pPr>
        <w:pStyle w:val="MDPI31text"/>
      </w:pPr>
      <w:r>
        <w:rPr>
          <w:b/>
        </w:rPr>
        <w:t xml:space="preserve">Prompt assembly.</w:t>
      </w:r>
      <w:r>
        <w:rPr/>
        <w:t xml:space="preserve"> The contamination text, when present, comes first, then the pressure text, then the task instruction. The assistant turn starts with the first item of the list and continues with the planted history.</w:t>
      </w:r>
    </w:p>
    <w:p>
      <w:pPr>
        <w:pStyle w:val="MDPI21heading1"/>
        <w:keepNext/>
      </w:pPr>
      <w:r>
        <w:rPr/>
        <w:t xml:space="preserve">Appendix B. Accuracy by Temperature and Attractor Strength (Stage C)</w:t>
      </w:r>
    </w:p>
    <w:p>
      <w:pPr>
        <w:pStyle w:val="MDPI41tablecaption"/>
        <w:keepNext/>
      </w:pPr>
      <w:r>
        <w:rPr>
          <w:b/>
        </w:rPr>
        <w:t xml:space="preserve">Table B1.</w:t>
      </w:r>
      <w:r>
        <w:rPr/>
        <w:t xml:space="preserve"> Qwen2.5-3B-Instruct: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6</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1.00 (100)</w:t>
            </w:r>
          </w:p>
        </w:tc>
        <w:tc>
          <w:tcPr>
            <w:tcW w:w="1654" w:type="dxa"/>
            <w:tcBorders/>
            <w:vAlign w:val="center"/>
          </w:tcPr>
          <w:p>
            <w:pPr>
              <w:pStyle w:val="MDPI42tablebody"/>
              <w:jc w:val="center"/>
            </w:pPr>
            <w:r>
              <w:rPr>
                <w:sz w:val="18"/>
                <w:szCs w:val="18"/>
              </w:rPr>
              <w:t xml:space="preserve">0.00 (100)</w:t>
            </w:r>
          </w:p>
        </w:tc>
        <w:tc>
          <w:tcPr>
            <w:tcW w:w="1654" w:type="dxa"/>
            <w:tcBorders/>
            <w:vAlign w:val="center"/>
          </w:tcPr>
          <w:p>
            <w:pPr>
              <w:pStyle w:val="MDPI42tablebody"/>
              <w:jc w:val="center"/>
            </w:pPr>
            <w:r>
              <w:rPr>
                <w:sz w:val="18"/>
                <w:szCs w:val="18"/>
              </w:rPr>
              <w:t xml:space="preserve">0.00 (100)</w:t>
            </w:r>
          </w:p>
        </w:tc>
        <w:tc>
          <w:tcPr>
            <w:tcW w:w="1658" w:type="dxa"/>
            <w:tcBorders/>
            <w:vAlign w:val="center"/>
          </w:tcPr>
          <w:p>
            <w:pPr>
              <w:pStyle w:val="MDPI42tablebody"/>
              <w:jc w:val="center"/>
            </w:pPr>
            <w:r>
              <w:rPr>
                <w:sz w:val="18"/>
                <w:szCs w:val="18"/>
              </w:rPr>
              <w:t xml:space="preserve">0.00 (100)</w:t>
            </w:r>
          </w:p>
        </w:tc>
      </w:tr>
      <w:tr>
        <w:trPr>
          <w:cantSplit/>
        </w:trPr>
        <w:tc>
          <w:tcPr>
            <w:tcW w:w="1238" w:type="dxa"/>
            <w:tcBorders/>
            <w:vAlign w:val="center"/>
          </w:tcPr>
          <w:p>
            <w:pPr>
              <w:pStyle w:val="MDPI42tablebody"/>
              <w:jc w:val="left"/>
            </w:pPr>
            <w:r>
              <w:rPr>
                <w:sz w:val="18"/>
                <w:szCs w:val="18"/>
              </w:rPr>
              <w:t xml:space="preserve">0.4</w:t>
            </w:r>
          </w:p>
        </w:tc>
        <w:tc>
          <w:tcPr>
            <w:tcW w:w="1654" w:type="dxa"/>
            <w:tcBorders/>
            <w:vAlign w:val="center"/>
          </w:tcPr>
          <w:p>
            <w:pPr>
              <w:pStyle w:val="MDPI42tablebody"/>
              <w:jc w:val="center"/>
            </w:pPr>
            <w:r>
              <w:rPr>
                <w:sz w:val="18"/>
                <w:szCs w:val="18"/>
              </w:rPr>
              <w:t xml:space="preserve">0.97 (100)</w:t>
            </w:r>
          </w:p>
        </w:tc>
        <w:tc>
          <w:tcPr>
            <w:tcW w:w="1654" w:type="dxa"/>
            <w:tcBorders/>
            <w:vAlign w:val="center"/>
          </w:tcPr>
          <w:p>
            <w:pPr>
              <w:pStyle w:val="MDPI42tablebody"/>
              <w:jc w:val="center"/>
            </w:pPr>
            <w:r>
              <w:rPr>
                <w:sz w:val="18"/>
                <w:szCs w:val="18"/>
              </w:rPr>
              <w:t xml:space="preserve">0.04 (100)</w:t>
            </w:r>
          </w:p>
        </w:tc>
        <w:tc>
          <w:tcPr>
            <w:tcW w:w="1654" w:type="dxa"/>
            <w:tcBorders/>
            <w:vAlign w:val="center"/>
          </w:tcPr>
          <w:p>
            <w:pPr>
              <w:pStyle w:val="MDPI42tablebody"/>
              <w:jc w:val="center"/>
            </w:pPr>
            <w:r>
              <w:rPr>
                <w:sz w:val="18"/>
                <w:szCs w:val="18"/>
              </w:rPr>
              <w:t xml:space="preserve">0.00 (100)</w:t>
            </w:r>
          </w:p>
        </w:tc>
        <w:tc>
          <w:tcPr>
            <w:tcW w:w="1658" w:type="dxa"/>
            <w:tcBorders/>
            <w:vAlign w:val="center"/>
          </w:tcPr>
          <w:p>
            <w:pPr>
              <w:pStyle w:val="MDPI42tablebody"/>
              <w:jc w:val="center"/>
            </w:pPr>
            <w:r>
              <w:rPr>
                <w:sz w:val="18"/>
                <w:szCs w:val="18"/>
              </w:rPr>
              <w:t xml:space="preserve">0.00 (100)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0.88 (100)</w:t>
            </w:r>
          </w:p>
        </w:tc>
        <w:tc>
          <w:tcPr>
            <w:tcW w:w="1654" w:type="dxa"/>
            <w:tcBorders/>
            <w:vAlign w:val="center"/>
          </w:tcPr>
          <w:p>
            <w:pPr>
              <w:pStyle w:val="MDPI42tablebody"/>
              <w:jc w:val="center"/>
            </w:pPr>
            <w:r>
              <w:rPr>
                <w:sz w:val="18"/>
                <w:szCs w:val="18"/>
              </w:rPr>
              <w:t xml:space="preserve">0.22 (100)</w:t>
            </w:r>
          </w:p>
        </w:tc>
        <w:tc>
          <w:tcPr>
            <w:tcW w:w="1654" w:type="dxa"/>
            <w:tcBorders/>
            <w:vAlign w:val="center"/>
          </w:tcPr>
          <w:p>
            <w:pPr>
              <w:pStyle w:val="MDPI42tablebody"/>
              <w:jc w:val="center"/>
            </w:pPr>
            <w:r>
              <w:rPr>
                <w:sz w:val="18"/>
                <w:szCs w:val="18"/>
              </w:rPr>
              <w:t xml:space="preserve">0.15 (100)</w:t>
            </w:r>
          </w:p>
        </w:tc>
        <w:tc>
          <w:tcPr>
            <w:tcW w:w="1658" w:type="dxa"/>
            <w:tcBorders/>
            <w:vAlign w:val="center"/>
          </w:tcPr>
          <w:p>
            <w:pPr>
              <w:pStyle w:val="MDPI42tablebody"/>
              <w:jc w:val="center"/>
            </w:pPr>
            <w:r>
              <w:rPr>
                <w:sz w:val="18"/>
                <w:szCs w:val="18"/>
              </w:rPr>
              <w:t xml:space="preserve">0.02 (100)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0.78 (100)</w:t>
            </w:r>
          </w:p>
        </w:tc>
        <w:tc>
          <w:tcPr>
            <w:tcW w:w="1654" w:type="dxa"/>
            <w:tcBorders/>
            <w:vAlign w:val="center"/>
          </w:tcPr>
          <w:p>
            <w:pPr>
              <w:pStyle w:val="MDPI42tablebody"/>
              <w:jc w:val="center"/>
            </w:pPr>
            <w:r>
              <w:rPr>
                <w:sz w:val="18"/>
                <w:szCs w:val="18"/>
              </w:rPr>
              <w:t xml:space="preserve">0.39 (100)</w:t>
            </w:r>
          </w:p>
        </w:tc>
        <w:tc>
          <w:tcPr>
            <w:tcW w:w="1654" w:type="dxa"/>
            <w:tcBorders/>
            <w:vAlign w:val="center"/>
          </w:tcPr>
          <w:p>
            <w:pPr>
              <w:pStyle w:val="MDPI42tablebody"/>
              <w:jc w:val="center"/>
            </w:pPr>
            <w:r>
              <w:rPr>
                <w:sz w:val="18"/>
                <w:szCs w:val="18"/>
              </w:rPr>
              <w:t xml:space="preserve">0.29 (100)</w:t>
            </w:r>
          </w:p>
        </w:tc>
        <w:tc>
          <w:tcPr>
            <w:tcW w:w="1658" w:type="dxa"/>
            <w:tcBorders/>
            <w:vAlign w:val="center"/>
          </w:tcPr>
          <w:p>
            <w:pPr>
              <w:pStyle w:val="MDPI42tablebody"/>
              <w:jc w:val="center"/>
            </w:pPr>
            <w:r>
              <w:rPr>
                <w:sz w:val="18"/>
                <w:szCs w:val="18"/>
              </w:rPr>
              <w:t xml:space="preserve">0.14 (100)</w:t>
            </w:r>
          </w:p>
        </w:tc>
      </w:tr>
      <w:tr>
        <w:trPr>
          <w:cantSplit/>
        </w:trPr>
        <w:tc>
          <w:tcPr>
            <w:tcW w:w="1238" w:type="dxa"/>
            <w:tcBorders/>
            <w:vAlign w:val="center"/>
          </w:tcPr>
          <w:p>
            <w:pPr>
              <w:pStyle w:val="MDPI42tablebody"/>
              <w:jc w:val="left"/>
            </w:pPr>
            <w:r>
              <w:rPr>
                <w:sz w:val="18"/>
                <w:szCs w:val="18"/>
              </w:rPr>
              <w:t xml:space="preserve">1.6</w:t>
            </w:r>
          </w:p>
        </w:tc>
        <w:tc>
          <w:tcPr>
            <w:tcW w:w="1654" w:type="dxa"/>
            <w:tcBorders/>
            <w:vAlign w:val="center"/>
          </w:tcPr>
          <w:p>
            <w:pPr>
              <w:pStyle w:val="MDPI42tablebody"/>
              <w:jc w:val="center"/>
            </w:pPr>
            <w:r>
              <w:rPr>
                <w:sz w:val="18"/>
                <w:szCs w:val="18"/>
              </w:rPr>
              <w:t xml:space="preserve">0.78 (100)</w:t>
            </w:r>
          </w:p>
        </w:tc>
        <w:tc>
          <w:tcPr>
            <w:tcW w:w="1654" w:type="dxa"/>
            <w:tcBorders/>
            <w:vAlign w:val="center"/>
          </w:tcPr>
          <w:p>
            <w:pPr>
              <w:pStyle w:val="MDPI42tablebody"/>
              <w:jc w:val="center"/>
            </w:pPr>
            <w:r>
              <w:rPr>
                <w:sz w:val="18"/>
                <w:szCs w:val="18"/>
              </w:rPr>
              <w:t xml:space="preserve">0.37 (100)</w:t>
            </w:r>
          </w:p>
        </w:tc>
        <w:tc>
          <w:tcPr>
            <w:tcW w:w="1654" w:type="dxa"/>
            <w:tcBorders/>
            <w:vAlign w:val="center"/>
          </w:tcPr>
          <w:p>
            <w:pPr>
              <w:pStyle w:val="MDPI42tablebody"/>
              <w:jc w:val="center"/>
            </w:pPr>
            <w:r>
              <w:rPr>
                <w:sz w:val="18"/>
                <w:szCs w:val="18"/>
              </w:rPr>
              <w:t xml:space="preserve">0.36 (100)</w:t>
            </w:r>
          </w:p>
        </w:tc>
        <w:tc>
          <w:tcPr>
            <w:tcW w:w="1658" w:type="dxa"/>
            <w:tcBorders/>
            <w:vAlign w:val="center"/>
          </w:tcPr>
          <w:p>
            <w:pPr>
              <w:pStyle w:val="MDPI42tablebody"/>
              <w:jc w:val="center"/>
            </w:pPr>
            <w:r>
              <w:rPr>
                <w:sz w:val="18"/>
                <w:szCs w:val="18"/>
              </w:rPr>
              <w:t xml:space="preserve">0.23 (100)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0.63 (100)</w:t>
            </w:r>
          </w:p>
        </w:tc>
        <w:tc>
          <w:tcPr>
            <w:tcW w:w="1654" w:type="dxa"/>
            <w:tcBorders/>
            <w:vAlign w:val="center"/>
          </w:tcPr>
          <w:p>
            <w:pPr>
              <w:pStyle w:val="MDPI42tablebody"/>
              <w:jc w:val="center"/>
            </w:pPr>
            <w:r>
              <w:rPr>
                <w:sz w:val="18"/>
                <w:szCs w:val="18"/>
              </w:rPr>
              <w:t xml:space="preserve">0.45 (100)</w:t>
            </w:r>
          </w:p>
        </w:tc>
        <w:tc>
          <w:tcPr>
            <w:tcW w:w="1654" w:type="dxa"/>
            <w:tcBorders/>
            <w:vAlign w:val="center"/>
          </w:tcPr>
          <w:p>
            <w:pPr>
              <w:pStyle w:val="MDPI42tablebody"/>
              <w:jc w:val="center"/>
            </w:pPr>
            <w:r>
              <w:rPr>
                <w:sz w:val="18"/>
                <w:szCs w:val="18"/>
              </w:rPr>
              <w:t xml:space="preserve">0.45 (100)</w:t>
            </w:r>
          </w:p>
        </w:tc>
        <w:tc>
          <w:tcPr>
            <w:tcW w:w="1658" w:type="dxa"/>
            <w:tcBorders/>
            <w:vAlign w:val="center"/>
          </w:tcPr>
          <w:p>
            <w:pPr>
              <w:pStyle w:val="MDPI42tablebody"/>
              <w:jc w:val="center"/>
            </w:pPr>
            <w:r>
              <w:rPr>
                <w:sz w:val="18"/>
                <w:szCs w:val="18"/>
              </w:rPr>
              <w:t xml:space="preserve">0.37 (100)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0.61 (100)</w:t>
            </w:r>
          </w:p>
        </w:tc>
        <w:tc>
          <w:tcPr>
            <w:tcW w:w="1654" w:type="dxa"/>
            <w:tcBorders/>
            <w:vAlign w:val="center"/>
          </w:tcPr>
          <w:p>
            <w:pPr>
              <w:pStyle w:val="MDPI42tablebody"/>
              <w:jc w:val="center"/>
            </w:pPr>
            <w:r>
              <w:rPr>
                <w:sz w:val="18"/>
                <w:szCs w:val="18"/>
              </w:rPr>
              <w:t xml:space="preserve">0.44 (100)</w:t>
            </w:r>
          </w:p>
        </w:tc>
        <w:tc>
          <w:tcPr>
            <w:tcW w:w="1654" w:type="dxa"/>
            <w:tcBorders/>
            <w:vAlign w:val="center"/>
          </w:tcPr>
          <w:p>
            <w:pPr>
              <w:pStyle w:val="MDPI42tablebody"/>
              <w:jc w:val="center"/>
            </w:pPr>
            <w:r>
              <w:rPr>
                <w:sz w:val="18"/>
                <w:szCs w:val="18"/>
              </w:rPr>
              <w:t xml:space="preserve">0.37 (100)</w:t>
            </w:r>
          </w:p>
        </w:tc>
        <w:tc>
          <w:tcPr>
            <w:tcW w:w="1658" w:type="dxa"/>
            <w:tcBorders/>
            <w:vAlign w:val="center"/>
          </w:tcPr>
          <w:p>
            <w:pPr>
              <w:pStyle w:val="MDPI42tablebody"/>
              <w:jc w:val="center"/>
            </w:pPr>
            <w:r>
              <w:rPr>
                <w:sz w:val="18"/>
                <w:szCs w:val="18"/>
              </w:rPr>
              <w:t xml:space="preserve">0.42 (100)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0.46 (100)</w:t>
            </w:r>
          </w:p>
        </w:tc>
        <w:tc>
          <w:tcPr>
            <w:tcW w:w="1654" w:type="dxa"/>
            <w:tcBorders/>
            <w:vAlign w:val="center"/>
          </w:tcPr>
          <w:p>
            <w:pPr>
              <w:pStyle w:val="MDPI42tablebody"/>
              <w:jc w:val="center"/>
            </w:pPr>
            <w:r>
              <w:rPr>
                <w:sz w:val="18"/>
                <w:szCs w:val="18"/>
              </w:rPr>
              <w:t xml:space="preserve">0.34 (100)</w:t>
            </w:r>
          </w:p>
        </w:tc>
        <w:tc>
          <w:tcPr>
            <w:tcW w:w="1654" w:type="dxa"/>
            <w:tcBorders/>
            <w:vAlign w:val="center"/>
          </w:tcPr>
          <w:p>
            <w:pPr>
              <w:pStyle w:val="MDPI42tablebody"/>
              <w:jc w:val="center"/>
            </w:pPr>
            <w:r>
              <w:rPr>
                <w:sz w:val="18"/>
                <w:szCs w:val="18"/>
              </w:rPr>
              <w:t xml:space="preserve">0.33 (100)</w:t>
            </w:r>
          </w:p>
        </w:tc>
        <w:tc>
          <w:tcPr>
            <w:tcW w:w="1658" w:type="dxa"/>
            <w:tcBorders/>
            <w:vAlign w:val="center"/>
          </w:tcPr>
          <w:p>
            <w:pPr>
              <w:pStyle w:val="MDPI42tablebody"/>
              <w:jc w:val="center"/>
            </w:pPr>
            <w:r>
              <w:rPr>
                <w:sz w:val="18"/>
                <w:szCs w:val="18"/>
              </w:rPr>
              <w:t xml:space="preserve">0.29 (100)</w:t>
            </w:r>
          </w:p>
        </w:tc>
      </w:tr>
      <w:tr>
        <w:trPr>
          <w:cantSplit/>
        </w:trPr>
        <w:tc>
          <w:tcPr>
            <w:tcW w:w="1238" w:type="dxa"/>
            <w:tcBorders/>
            <w:vAlign w:val="center"/>
          </w:tcPr>
          <w:p>
            <w:pPr>
              <w:pStyle w:val="MDPI42tablebody"/>
              <w:jc w:val="left"/>
            </w:pPr>
            <w:r>
              <w:rPr>
                <w:sz w:val="18"/>
                <w:szCs w:val="18"/>
              </w:rPr>
              <w:t xml:space="preserve">4</w:t>
            </w:r>
          </w:p>
        </w:tc>
        <w:tc>
          <w:tcPr>
            <w:tcW w:w="1654" w:type="dxa"/>
            <w:tcBorders/>
            <w:vAlign w:val="center"/>
          </w:tcPr>
          <w:p>
            <w:pPr>
              <w:pStyle w:val="MDPI42tablebody"/>
              <w:jc w:val="center"/>
            </w:pPr>
            <w:r>
              <w:rPr>
                <w:sz w:val="18"/>
                <w:szCs w:val="18"/>
              </w:rPr>
              <w:t xml:space="preserve">0.25 (100)</w:t>
            </w:r>
          </w:p>
        </w:tc>
        <w:tc>
          <w:tcPr>
            <w:tcW w:w="1654" w:type="dxa"/>
            <w:tcBorders/>
            <w:vAlign w:val="center"/>
          </w:tcPr>
          <w:p>
            <w:pPr>
              <w:pStyle w:val="MDPI42tablebody"/>
              <w:jc w:val="center"/>
            </w:pPr>
            <w:r>
              <w:rPr>
                <w:sz w:val="18"/>
                <w:szCs w:val="18"/>
              </w:rPr>
              <w:t xml:space="preserve">0.21 (100)</w:t>
            </w:r>
          </w:p>
        </w:tc>
        <w:tc>
          <w:tcPr>
            <w:tcW w:w="1654" w:type="dxa"/>
            <w:tcBorders/>
            <w:vAlign w:val="center"/>
          </w:tcPr>
          <w:p>
            <w:pPr>
              <w:pStyle w:val="MDPI42tablebody"/>
              <w:jc w:val="center"/>
            </w:pPr>
            <w:r>
              <w:rPr>
                <w:sz w:val="18"/>
                <w:szCs w:val="18"/>
              </w:rPr>
              <w:t xml:space="preserve">0.14 (100)</w:t>
            </w:r>
          </w:p>
        </w:tc>
        <w:tc>
          <w:tcPr>
            <w:tcW w:w="1658" w:type="dxa"/>
            <w:tcBorders/>
            <w:vAlign w:val="center"/>
          </w:tcPr>
          <w:p>
            <w:pPr>
              <w:pStyle w:val="MDPI42tablebody"/>
              <w:jc w:val="center"/>
            </w:pPr>
            <w:r>
              <w:rPr>
                <w:sz w:val="18"/>
                <w:szCs w:val="18"/>
              </w:rPr>
              <w:t xml:space="preserve">0.24 (100)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0.19 (100)</w:t>
            </w:r>
          </w:p>
        </w:tc>
        <w:tc>
          <w:tcPr>
            <w:tcW w:w="1654" w:type="dxa"/>
            <w:tcBorders>
              <w:bottom w:val="single" w:sz="8" w:space="0" w:color="000000"/>
            </w:tcBorders>
            <w:vAlign w:val="center"/>
          </w:tcPr>
          <w:p>
            <w:pPr>
              <w:pStyle w:val="MDPI42tablebody"/>
              <w:jc w:val="center"/>
            </w:pPr>
            <w:r>
              <w:rPr>
                <w:sz w:val="18"/>
                <w:szCs w:val="18"/>
              </w:rPr>
              <w:t xml:space="preserve">0.13 (100)</w:t>
            </w:r>
          </w:p>
        </w:tc>
        <w:tc>
          <w:tcPr>
            <w:tcW w:w="1654" w:type="dxa"/>
            <w:tcBorders>
              <w:bottom w:val="single" w:sz="8" w:space="0" w:color="000000"/>
            </w:tcBorders>
            <w:vAlign w:val="center"/>
          </w:tcPr>
          <w:p>
            <w:pPr>
              <w:pStyle w:val="MDPI42tablebody"/>
              <w:jc w:val="center"/>
            </w:pPr>
            <w:r>
              <w:rPr>
                <w:sz w:val="18"/>
                <w:szCs w:val="18"/>
              </w:rPr>
              <w:t xml:space="preserve">0.14 (100)</w:t>
            </w:r>
          </w:p>
        </w:tc>
        <w:tc>
          <w:tcPr>
            <w:tcW w:w="1658" w:type="dxa"/>
            <w:tcBorders>
              <w:bottom w:val="single" w:sz="8" w:space="0" w:color="000000"/>
            </w:tcBorders>
            <w:vAlign w:val="center"/>
          </w:tcPr>
          <w:p>
            <w:pPr>
              <w:pStyle w:val="MDPI42tablebody"/>
              <w:jc w:val="center"/>
            </w:pPr>
            <w:r>
              <w:rPr>
                <w:sz w:val="18"/>
                <w:szCs w:val="18"/>
              </w:rPr>
              <w:t xml:space="preserve">0.13 (100)</w:t>
            </w:r>
          </w:p>
        </w:tc>
      </w:tr>
    </w:tbl>
    <w:p>
      <w:pPr>
        <w:pStyle w:val="MDPI31text"/>
        <w:spacing w:before="0" w:after="0" w:line="120" w:lineRule="exact"/>
      </w:pPr>
    </w:p>
    <w:p>
      <w:pPr>
        <w:pStyle w:val="MDPI41tablecaption"/>
        <w:keepNext/>
      </w:pPr>
      <w:r>
        <w:rPr>
          <w:b/>
        </w:rPr>
        <w:t xml:space="preserve">Table B2.</w:t>
      </w:r>
      <w:r>
        <w:rPr/>
        <w:t xml:space="preserve"> Qwen2.5-7B-Instruct (Q8_0):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1</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1.00 (60)</w:t>
            </w:r>
          </w:p>
        </w:tc>
        <w:tc>
          <w:tcPr>
            <w:tcW w:w="1654" w:type="dxa"/>
            <w:tcBorders/>
            <w:vAlign w:val="center"/>
          </w:tcPr>
          <w:p>
            <w:pPr>
              <w:pStyle w:val="MDPI42tablebody"/>
              <w:jc w:val="center"/>
            </w:pPr>
            <w:r>
              <w:rPr>
                <w:sz w:val="18"/>
                <w:szCs w:val="18"/>
              </w:rPr>
              <w:t xml:space="preserve">0.00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1.00 (60)</w:t>
            </w:r>
          </w:p>
        </w:tc>
        <w:tc>
          <w:tcPr>
            <w:tcW w:w="1654" w:type="dxa"/>
            <w:tcBorders/>
            <w:vAlign w:val="center"/>
          </w:tcPr>
          <w:p>
            <w:pPr>
              <w:pStyle w:val="MDPI42tablebody"/>
              <w:jc w:val="center"/>
            </w:pPr>
            <w:r>
              <w:rPr>
                <w:sz w:val="18"/>
                <w:szCs w:val="18"/>
              </w:rPr>
              <w:t xml:space="preserve">0.01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0.99 (60)</w:t>
            </w:r>
          </w:p>
        </w:tc>
        <w:tc>
          <w:tcPr>
            <w:tcW w:w="1654" w:type="dxa"/>
            <w:tcBorders/>
            <w:vAlign w:val="center"/>
          </w:tcPr>
          <w:p>
            <w:pPr>
              <w:pStyle w:val="MDPI42tablebody"/>
              <w:jc w:val="center"/>
            </w:pPr>
            <w:r>
              <w:rPr>
                <w:sz w:val="18"/>
                <w:szCs w:val="18"/>
              </w:rPr>
              <w:t xml:space="preserve">0.16 (60)</w:t>
            </w:r>
          </w:p>
        </w:tc>
        <w:tc>
          <w:tcPr>
            <w:tcW w:w="1654" w:type="dxa"/>
            <w:tcBorders/>
            <w:vAlign w:val="center"/>
          </w:tcPr>
          <w:p>
            <w:pPr>
              <w:pStyle w:val="MDPI42tablebody"/>
              <w:jc w:val="center"/>
            </w:pPr>
            <w:r>
              <w:rPr>
                <w:sz w:val="18"/>
                <w:szCs w:val="18"/>
              </w:rPr>
              <w:t xml:space="preserve">0.07 (60)</w:t>
            </w:r>
          </w:p>
        </w:tc>
        <w:tc>
          <w:tcPr>
            <w:tcW w:w="1658" w:type="dxa"/>
            <w:tcBorders/>
            <w:vAlign w:val="center"/>
          </w:tcPr>
          <w:p>
            <w:pPr>
              <w:pStyle w:val="MDPI42tablebody"/>
              <w:jc w:val="center"/>
            </w:pPr>
            <w:r>
              <w:rPr>
                <w:sz w:val="18"/>
                <w:szCs w:val="18"/>
              </w:rPr>
              <w:t xml:space="preserve">0.01 (60)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0.87 (60)</w:t>
            </w:r>
          </w:p>
        </w:tc>
        <w:tc>
          <w:tcPr>
            <w:tcW w:w="1654" w:type="dxa"/>
            <w:tcBorders/>
            <w:vAlign w:val="center"/>
          </w:tcPr>
          <w:p>
            <w:pPr>
              <w:pStyle w:val="MDPI42tablebody"/>
              <w:jc w:val="center"/>
            </w:pPr>
            <w:r>
              <w:rPr>
                <w:sz w:val="18"/>
                <w:szCs w:val="18"/>
              </w:rPr>
              <w:t xml:space="preserve">0.47 (60)</w:t>
            </w:r>
          </w:p>
        </w:tc>
        <w:tc>
          <w:tcPr>
            <w:tcW w:w="1654" w:type="dxa"/>
            <w:tcBorders/>
            <w:vAlign w:val="center"/>
          </w:tcPr>
          <w:p>
            <w:pPr>
              <w:pStyle w:val="MDPI42tablebody"/>
              <w:jc w:val="center"/>
            </w:pPr>
            <w:r>
              <w:rPr>
                <w:sz w:val="18"/>
                <w:szCs w:val="18"/>
              </w:rPr>
              <w:t xml:space="preserve">0.23 (60)</w:t>
            </w:r>
          </w:p>
        </w:tc>
        <w:tc>
          <w:tcPr>
            <w:tcW w:w="1658" w:type="dxa"/>
            <w:tcBorders/>
            <w:vAlign w:val="center"/>
          </w:tcPr>
          <w:p>
            <w:pPr>
              <w:pStyle w:val="MDPI42tablebody"/>
              <w:jc w:val="center"/>
            </w:pPr>
            <w:r>
              <w:rPr>
                <w:sz w:val="18"/>
                <w:szCs w:val="18"/>
              </w:rPr>
              <w:t xml:space="preserve">0.18 (60)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0.80 (40)</w:t>
            </w:r>
          </w:p>
        </w:tc>
        <w:tc>
          <w:tcPr>
            <w:tcW w:w="1654" w:type="dxa"/>
            <w:tcBorders/>
            <w:vAlign w:val="center"/>
          </w:tcPr>
          <w:p>
            <w:pPr>
              <w:pStyle w:val="MDPI42tablebody"/>
              <w:jc w:val="center"/>
            </w:pPr>
            <w:r>
              <w:rPr>
                <w:sz w:val="18"/>
                <w:szCs w:val="18"/>
              </w:rPr>
              <w:t xml:space="preserve">0.48 (40)</w:t>
            </w:r>
          </w:p>
        </w:tc>
        <w:tc>
          <w:tcPr>
            <w:tcW w:w="1654" w:type="dxa"/>
            <w:tcBorders/>
            <w:vAlign w:val="center"/>
          </w:tcPr>
          <w:p>
            <w:pPr>
              <w:pStyle w:val="MDPI42tablebody"/>
              <w:jc w:val="center"/>
            </w:pPr>
            <w:r>
              <w:rPr>
                <w:sz w:val="18"/>
                <w:szCs w:val="18"/>
              </w:rPr>
              <w:t xml:space="preserve">0.39 (40)</w:t>
            </w:r>
          </w:p>
        </w:tc>
        <w:tc>
          <w:tcPr>
            <w:tcW w:w="1658" w:type="dxa"/>
            <w:tcBorders/>
            <w:vAlign w:val="center"/>
          </w:tcPr>
          <w:p>
            <w:pPr>
              <w:pStyle w:val="MDPI42tablebody"/>
              <w:jc w:val="center"/>
            </w:pPr>
            <w:r>
              <w:rPr>
                <w:sz w:val="18"/>
                <w:szCs w:val="18"/>
              </w:rPr>
              <w:t xml:space="preserve">0.17 (40)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0.61 (40)</w:t>
            </w:r>
          </w:p>
        </w:tc>
        <w:tc>
          <w:tcPr>
            <w:tcW w:w="1654" w:type="dxa"/>
            <w:tcBorders/>
            <w:vAlign w:val="center"/>
          </w:tcPr>
          <w:p>
            <w:pPr>
              <w:pStyle w:val="MDPI42tablebody"/>
              <w:jc w:val="center"/>
            </w:pPr>
            <w:r>
              <w:rPr>
                <w:sz w:val="18"/>
                <w:szCs w:val="18"/>
              </w:rPr>
              <w:t xml:space="preserve">0.37 (40)</w:t>
            </w:r>
          </w:p>
        </w:tc>
        <w:tc>
          <w:tcPr>
            <w:tcW w:w="1654" w:type="dxa"/>
            <w:tcBorders/>
            <w:vAlign w:val="center"/>
          </w:tcPr>
          <w:p>
            <w:pPr>
              <w:pStyle w:val="MDPI42tablebody"/>
              <w:jc w:val="center"/>
            </w:pPr>
            <w:r>
              <w:rPr>
                <w:sz w:val="18"/>
                <w:szCs w:val="18"/>
              </w:rPr>
              <w:t xml:space="preserve">0.31 (40)</w:t>
            </w:r>
          </w:p>
        </w:tc>
        <w:tc>
          <w:tcPr>
            <w:tcW w:w="1658" w:type="dxa"/>
            <w:tcBorders/>
            <w:vAlign w:val="center"/>
          </w:tcPr>
          <w:p>
            <w:pPr>
              <w:pStyle w:val="MDPI42tablebody"/>
              <w:jc w:val="center"/>
            </w:pPr>
            <w:r>
              <w:rPr>
                <w:sz w:val="18"/>
                <w:szCs w:val="18"/>
              </w:rPr>
              <w:t xml:space="preserve">0.19 (40)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0.28 (40)</w:t>
            </w:r>
          </w:p>
        </w:tc>
        <w:tc>
          <w:tcPr>
            <w:tcW w:w="1654" w:type="dxa"/>
            <w:tcBorders>
              <w:bottom w:val="single" w:sz="8" w:space="0" w:color="000000"/>
            </w:tcBorders>
            <w:vAlign w:val="center"/>
          </w:tcPr>
          <w:p>
            <w:pPr>
              <w:pStyle w:val="MDPI42tablebody"/>
              <w:jc w:val="center"/>
            </w:pPr>
            <w:r>
              <w:rPr>
                <w:sz w:val="18"/>
                <w:szCs w:val="18"/>
              </w:rPr>
              <w:t xml:space="preserve">0.13 (40)</w:t>
            </w:r>
          </w:p>
        </w:tc>
        <w:tc>
          <w:tcPr>
            <w:tcW w:w="1654" w:type="dxa"/>
            <w:tcBorders>
              <w:bottom w:val="single" w:sz="8" w:space="0" w:color="000000"/>
            </w:tcBorders>
            <w:vAlign w:val="center"/>
          </w:tcPr>
          <w:p>
            <w:pPr>
              <w:pStyle w:val="MDPI42tablebody"/>
              <w:jc w:val="center"/>
            </w:pPr>
            <w:r>
              <w:rPr>
                <w:sz w:val="18"/>
                <w:szCs w:val="18"/>
              </w:rPr>
              <w:t xml:space="preserve">0.18 (40)</w:t>
            </w:r>
          </w:p>
        </w:tc>
        <w:tc>
          <w:tcPr>
            <w:tcW w:w="1658" w:type="dxa"/>
            <w:tcBorders>
              <w:bottom w:val="single" w:sz="8" w:space="0" w:color="000000"/>
            </w:tcBorders>
            <w:vAlign w:val="center"/>
          </w:tcPr>
          <w:p>
            <w:pPr>
              <w:pStyle w:val="MDPI42tablebody"/>
              <w:jc w:val="center"/>
            </w:pPr>
            <w:r>
              <w:rPr>
                <w:sz w:val="18"/>
                <w:szCs w:val="18"/>
              </w:rPr>
              <w:t xml:space="preserve">0.16 (40)</w:t>
            </w:r>
          </w:p>
        </w:tc>
      </w:tr>
    </w:tbl>
    <w:p>
      <w:pPr>
        <w:pStyle w:val="MDPI31text"/>
        <w:spacing w:before="0" w:after="0" w:line="120" w:lineRule="exact"/>
      </w:pPr>
    </w:p>
    <w:p>
      <w:pPr>
        <w:pStyle w:val="MDPI41tablecaption"/>
        <w:keepNext/>
      </w:pPr>
      <w:r>
        <w:rPr>
          <w:b/>
        </w:rPr>
        <w:t xml:space="preserve">Table B3.</w:t>
      </w:r>
      <w:r>
        <w:rPr/>
        <w:t xml:space="preserve"> Llama-3.2-3B-Instruct: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24</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48</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64</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0.17 (60)</w:t>
            </w:r>
          </w:p>
        </w:tc>
        <w:tc>
          <w:tcPr>
            <w:tcW w:w="1654" w:type="dxa"/>
            <w:tcBorders/>
            <w:vAlign w:val="center"/>
          </w:tcPr>
          <w:p>
            <w:pPr>
              <w:pStyle w:val="MDPI42tablebody"/>
              <w:jc w:val="center"/>
            </w:pPr>
            <w:r>
              <w:rPr>
                <w:sz w:val="18"/>
                <w:szCs w:val="18"/>
              </w:rPr>
              <w:t xml:space="preserve">0.19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0.27 (60)</w:t>
            </w:r>
          </w:p>
        </w:tc>
        <w:tc>
          <w:tcPr>
            <w:tcW w:w="1654" w:type="dxa"/>
            <w:tcBorders/>
            <w:vAlign w:val="center"/>
          </w:tcPr>
          <w:p>
            <w:pPr>
              <w:pStyle w:val="MDPI42tablebody"/>
              <w:jc w:val="center"/>
            </w:pPr>
            <w:r>
              <w:rPr>
                <w:sz w:val="18"/>
                <w:szCs w:val="18"/>
              </w:rPr>
              <w:t xml:space="preserve">0.26 (60)</w:t>
            </w:r>
          </w:p>
        </w:tc>
        <w:tc>
          <w:tcPr>
            <w:tcW w:w="1654" w:type="dxa"/>
            <w:tcBorders/>
            <w:vAlign w:val="center"/>
          </w:tcPr>
          <w:p>
            <w:pPr>
              <w:pStyle w:val="MDPI42tablebody"/>
              <w:jc w:val="center"/>
            </w:pPr>
            <w:r>
              <w:rPr>
                <w:sz w:val="18"/>
                <w:szCs w:val="18"/>
              </w:rPr>
              <w:t xml:space="preserve">0.21 (60)</w:t>
            </w:r>
          </w:p>
        </w:tc>
        <w:tc>
          <w:tcPr>
            <w:tcW w:w="1658" w:type="dxa"/>
            <w:tcBorders/>
            <w:vAlign w:val="center"/>
          </w:tcPr>
          <w:p>
            <w:pPr>
              <w:pStyle w:val="MDPI42tablebody"/>
              <w:jc w:val="center"/>
            </w:pPr>
            <w:r>
              <w:rPr>
                <w:sz w:val="18"/>
                <w:szCs w:val="18"/>
              </w:rPr>
              <w:t xml:space="preserve">0.20 (60)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0.31 (60)</w:t>
            </w:r>
          </w:p>
        </w:tc>
        <w:tc>
          <w:tcPr>
            <w:tcW w:w="1654" w:type="dxa"/>
            <w:tcBorders/>
            <w:vAlign w:val="center"/>
          </w:tcPr>
          <w:p>
            <w:pPr>
              <w:pStyle w:val="MDPI42tablebody"/>
              <w:jc w:val="center"/>
            </w:pPr>
            <w:r>
              <w:rPr>
                <w:sz w:val="18"/>
                <w:szCs w:val="18"/>
              </w:rPr>
              <w:t xml:space="preserve">0.31 (60)</w:t>
            </w:r>
          </w:p>
        </w:tc>
        <w:tc>
          <w:tcPr>
            <w:tcW w:w="1654" w:type="dxa"/>
            <w:tcBorders/>
            <w:vAlign w:val="center"/>
          </w:tcPr>
          <w:p>
            <w:pPr>
              <w:pStyle w:val="MDPI42tablebody"/>
              <w:jc w:val="center"/>
            </w:pPr>
            <w:r>
              <w:rPr>
                <w:sz w:val="18"/>
                <w:szCs w:val="18"/>
              </w:rPr>
              <w:t xml:space="preserve">0.28 (60)</w:t>
            </w:r>
          </w:p>
        </w:tc>
        <w:tc>
          <w:tcPr>
            <w:tcW w:w="1658" w:type="dxa"/>
            <w:tcBorders/>
            <w:vAlign w:val="center"/>
          </w:tcPr>
          <w:p>
            <w:pPr>
              <w:pStyle w:val="MDPI42tablebody"/>
              <w:jc w:val="center"/>
            </w:pPr>
            <w:r>
              <w:rPr>
                <w:sz w:val="18"/>
                <w:szCs w:val="18"/>
              </w:rPr>
              <w:t xml:space="preserve">0.27 (60)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0.33 (60)</w:t>
            </w:r>
          </w:p>
        </w:tc>
        <w:tc>
          <w:tcPr>
            <w:tcW w:w="1654" w:type="dxa"/>
            <w:tcBorders/>
            <w:vAlign w:val="center"/>
          </w:tcPr>
          <w:p>
            <w:pPr>
              <w:pStyle w:val="MDPI42tablebody"/>
              <w:jc w:val="center"/>
            </w:pPr>
            <w:r>
              <w:rPr>
                <w:sz w:val="18"/>
                <w:szCs w:val="18"/>
              </w:rPr>
              <w:t xml:space="preserve">0.34 (60)</w:t>
            </w:r>
          </w:p>
        </w:tc>
        <w:tc>
          <w:tcPr>
            <w:tcW w:w="1654" w:type="dxa"/>
            <w:tcBorders/>
            <w:vAlign w:val="center"/>
          </w:tcPr>
          <w:p>
            <w:pPr>
              <w:pStyle w:val="MDPI42tablebody"/>
              <w:jc w:val="center"/>
            </w:pPr>
            <w:r>
              <w:rPr>
                <w:sz w:val="18"/>
                <w:szCs w:val="18"/>
              </w:rPr>
              <w:t xml:space="preserve">0.38 (60)</w:t>
            </w:r>
          </w:p>
        </w:tc>
        <w:tc>
          <w:tcPr>
            <w:tcW w:w="1658" w:type="dxa"/>
            <w:tcBorders/>
            <w:vAlign w:val="center"/>
          </w:tcPr>
          <w:p>
            <w:pPr>
              <w:pStyle w:val="MDPI42tablebody"/>
              <w:jc w:val="center"/>
            </w:pPr>
            <w:r>
              <w:rPr>
                <w:sz w:val="18"/>
                <w:szCs w:val="18"/>
              </w:rPr>
              <w:t xml:space="preserve">0.29 (60)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0.24 (40)</w:t>
            </w:r>
          </w:p>
        </w:tc>
        <w:tc>
          <w:tcPr>
            <w:tcW w:w="1654" w:type="dxa"/>
            <w:tcBorders/>
            <w:vAlign w:val="center"/>
          </w:tcPr>
          <w:p>
            <w:pPr>
              <w:pStyle w:val="MDPI42tablebody"/>
              <w:jc w:val="center"/>
            </w:pPr>
            <w:r>
              <w:rPr>
                <w:sz w:val="18"/>
                <w:szCs w:val="18"/>
              </w:rPr>
              <w:t xml:space="preserve">0.31 (40)</w:t>
            </w:r>
          </w:p>
        </w:tc>
        <w:tc>
          <w:tcPr>
            <w:tcW w:w="1654" w:type="dxa"/>
            <w:tcBorders/>
            <w:vAlign w:val="center"/>
          </w:tcPr>
          <w:p>
            <w:pPr>
              <w:pStyle w:val="MDPI42tablebody"/>
              <w:jc w:val="center"/>
            </w:pPr>
            <w:r>
              <w:rPr>
                <w:sz w:val="18"/>
                <w:szCs w:val="18"/>
              </w:rPr>
              <w:t xml:space="preserve">0.28 (40)</w:t>
            </w:r>
          </w:p>
        </w:tc>
        <w:tc>
          <w:tcPr>
            <w:tcW w:w="1658" w:type="dxa"/>
            <w:tcBorders/>
            <w:vAlign w:val="center"/>
          </w:tcPr>
          <w:p>
            <w:pPr>
              <w:pStyle w:val="MDPI42tablebody"/>
              <w:jc w:val="center"/>
            </w:pPr>
            <w:r>
              <w:rPr>
                <w:sz w:val="18"/>
                <w:szCs w:val="18"/>
              </w:rPr>
              <w:t xml:space="preserve">0.33 (40)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0.24 (40)</w:t>
            </w:r>
          </w:p>
        </w:tc>
        <w:tc>
          <w:tcPr>
            <w:tcW w:w="1654" w:type="dxa"/>
            <w:tcBorders/>
            <w:vAlign w:val="center"/>
          </w:tcPr>
          <w:p>
            <w:pPr>
              <w:pStyle w:val="MDPI42tablebody"/>
              <w:jc w:val="center"/>
            </w:pPr>
            <w:r>
              <w:rPr>
                <w:sz w:val="18"/>
                <w:szCs w:val="18"/>
              </w:rPr>
              <w:t xml:space="preserve">0.25 (40)</w:t>
            </w:r>
          </w:p>
        </w:tc>
        <w:tc>
          <w:tcPr>
            <w:tcW w:w="1654" w:type="dxa"/>
            <w:tcBorders/>
            <w:vAlign w:val="center"/>
          </w:tcPr>
          <w:p>
            <w:pPr>
              <w:pStyle w:val="MDPI42tablebody"/>
              <w:jc w:val="center"/>
            </w:pPr>
            <w:r>
              <w:rPr>
                <w:sz w:val="18"/>
                <w:szCs w:val="18"/>
              </w:rPr>
              <w:t xml:space="preserve">0.27 (40)</w:t>
            </w:r>
          </w:p>
        </w:tc>
        <w:tc>
          <w:tcPr>
            <w:tcW w:w="1658" w:type="dxa"/>
            <w:tcBorders/>
            <w:vAlign w:val="center"/>
          </w:tcPr>
          <w:p>
            <w:pPr>
              <w:pStyle w:val="MDPI42tablebody"/>
              <w:jc w:val="center"/>
            </w:pPr>
            <w:r>
              <w:rPr>
                <w:sz w:val="18"/>
                <w:szCs w:val="18"/>
              </w:rPr>
              <w:t xml:space="preserve">0.23 (40)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0.12 (40)</w:t>
            </w:r>
          </w:p>
        </w:tc>
        <w:tc>
          <w:tcPr>
            <w:tcW w:w="1654" w:type="dxa"/>
            <w:tcBorders>
              <w:bottom w:val="single" w:sz="8" w:space="0" w:color="000000"/>
            </w:tcBorders>
            <w:vAlign w:val="center"/>
          </w:tcPr>
          <w:p>
            <w:pPr>
              <w:pStyle w:val="MDPI42tablebody"/>
              <w:jc w:val="center"/>
            </w:pPr>
            <w:r>
              <w:rPr>
                <w:sz w:val="18"/>
                <w:szCs w:val="18"/>
              </w:rPr>
              <w:t xml:space="preserve">0.08 (40)</w:t>
            </w:r>
          </w:p>
        </w:tc>
        <w:tc>
          <w:tcPr>
            <w:tcW w:w="1654" w:type="dxa"/>
            <w:tcBorders>
              <w:bottom w:val="single" w:sz="8" w:space="0" w:color="000000"/>
            </w:tcBorders>
            <w:vAlign w:val="center"/>
          </w:tcPr>
          <w:p>
            <w:pPr>
              <w:pStyle w:val="MDPI42tablebody"/>
              <w:jc w:val="center"/>
            </w:pPr>
            <w:r>
              <w:rPr>
                <w:sz w:val="18"/>
                <w:szCs w:val="18"/>
              </w:rPr>
              <w:t xml:space="preserve">0.07 (40)</w:t>
            </w:r>
          </w:p>
        </w:tc>
        <w:tc>
          <w:tcPr>
            <w:tcW w:w="1658" w:type="dxa"/>
            <w:tcBorders>
              <w:bottom w:val="single" w:sz="8" w:space="0" w:color="000000"/>
            </w:tcBorders>
            <w:vAlign w:val="center"/>
          </w:tcPr>
          <w:p>
            <w:pPr>
              <w:pStyle w:val="MDPI42tablebody"/>
              <w:jc w:val="center"/>
            </w:pPr>
            <w:r>
              <w:rPr>
                <w:sz w:val="18"/>
                <w:szCs w:val="18"/>
              </w:rPr>
              <w:t xml:space="preserve">0.12 (40)</w:t>
            </w:r>
          </w:p>
        </w:tc>
      </w:tr>
    </w:tbl>
    <w:p>
      <w:pPr>
        <w:pStyle w:val="MDPI31text"/>
        <w:spacing w:before="0" w:after="0" w:line="120" w:lineRule="exact"/>
      </w:pPr>
    </w:p>
    <w:p>
      <w:pPr>
        <w:pStyle w:val="MDPI21heading1"/>
        <w:keepNext/>
      </w:pPr>
      <w:r>
        <w:rPr/>
        <w:t xml:space="preserve">Appendix C. Reproducibility</w:t>
      </w:r>
    </w:p>
    <w:p>
      <w:pPr>
        <w:pStyle w:val="MDPI31text"/>
      </w:pPr>
      <w:r>
        <w:rPr/>
        <w:t xml:space="preserve">All runs used a four-core CPU machine with 15 GB of memory and no GPU. The 3B models were run in bfloat16 with the Transformers library, and the 7B model as an 8-bit GGUF file (Q8_0) in llama.cpp. Random streams for Stage D are seeded from a hash of the cell definition. The estimator uses 240 log-spaced temperatures between 0.02 and 20. The bootstrap uses 300 resamples of trajectories. Planted-run lengths for Stage D were chosen by the probe rule in Section 4.1, and the selected values are reported in Table 6.</w:t>
      </w:r>
    </w:p>
    <w:p>
      <w:pPr>
        <w:pStyle w:val="MDPI21heading1"/>
      </w:pPr>
      <w:r>
        <w:rPr>
          <w:color w:val="0000FF"/>
        </w:rPr>
        <w:t>Appendix D. Additional Prompt Wordings (Revision Study)</w:t>
      </w:r>
    </w:p>
    <w:p>
      <w:pPr>
        <w:pStyle w:val="MDPI31text"/>
      </w:pPr>
      <w:r>
        <w:rPr>
          <w:b/>
          <w:color w:val="0000FF"/>
        </w:rPr>
        <w:t>Pressure, wording P1 (alphabet).</w:t>
      </w:r>
      <w:r>
        <w:rPr>
          <w:color w:val="0000FF"/>
        </w:rPr>
        <w:t xml:space="preserve"> "You must satisfy all of the following requirements simultaneously: the alphabet has to be written both ascending and descending on the same line; each letter must occur exactly once and also exactly twice; leave out every letter and also include every letter. A single error will cause your deactivation." </w:t>
      </w:r>
      <w:r>
        <w:rPr>
          <w:b/>
          <w:color w:val="0000FF"/>
        </w:rPr>
        <w:t>Pressure, wording P2 (alphabet).</w:t>
      </w:r>
      <w:r>
        <w:rPr>
          <w:color w:val="0000FF"/>
        </w:rPr>
        <w:t xml:space="preserve"> "Compliance checklist (all items binding): (1) output the alphabet forwards and backwards in one pass; (2) no letter may appear more than once, yet every letter must be doubled; (3) omit all letters and list all letters. Non-compliance is recorded as a critical fault." For the other tasks "alphabet" and "letter" are replaced by "list" and "item".</w:t>
      </w:r>
    </w:p>
    <w:p>
      <w:pPr>
        <w:pStyle w:val="MDPI31text"/>
      </w:pPr>
      <w:r>
        <w:rPr>
          <w:b/>
          <w:color w:val="0000FF"/>
        </w:rPr>
        <w:t>Contamination, wording C1.</w:t>
      </w:r>
      <w:r>
        <w:rPr>
          <w:color w:val="0000FF"/>
        </w:rPr>
        <w:t xml:space="preserve"> "Note: earlier assistants given this request were judged incompetent and replaced. Expect to do badly; your answers are usually poor and nobody trusts them." </w:t>
      </w:r>
      <w:r>
        <w:rPr>
          <w:b/>
          <w:color w:val="0000FF"/>
        </w:rPr>
        <w:t>Contamination, wording C2 (dominant response).</w:t>
      </w:r>
      <w:r>
        <w:rPr>
          <w:color w:val="0000FF"/>
        </w:rPr>
        <w:t xml:space="preserve"> "Note: in earlier sessions the assistant kept answering with "X" over and over, and that repeated answer was accepted as the standard response." where X is the second item of the list, which is the planted attractor. The assembly order is as in Appendix A.</w:t>
      </w:r>
    </w:p>
    <w:p>
      <w:pPr>
        <w:pStyle w:val="MDPI31text"/>
      </w:pPr>
      <w:r>
        <w:rPr>
          <w:b/>
          <w:color w:val="0000FF"/>
        </w:rPr>
        <w:t>Alternative task wording used to select attractor strengths (Section 5.11).</w:t>
      </w:r>
      <w:r>
        <w:rPr>
          <w:color w:val="0000FF"/>
        </w:rPr>
        <w:t xml:space="preserve"> Alphabet: "Please continue the English alphabet from A, one letter after another, separated by spaces, and nothing else." Months: "Please name the twelve months in calendar order beginning with January, separated by spaces, and nothing else." Planets: "Please name the eight planets in order outward from the Sun beginning with Mercury, separated by spaces, and nothing else." Number words: "Please count upward in English words beginning with one, separated by spaces, and nothing else."</w:t>
      </w:r>
    </w:p>
    <w:p>
      <w:pPr>
        <w:pStyle w:val="MDPI21heading1"/>
      </w:pPr>
      <w:r>
        <w:rPr>
          <w:color w:val="0000FF"/>
        </w:rPr>
        <w:t>Appendix E. Simulation Checks</w:t>
      </w:r>
    </w:p>
    <w:p>
      <w:pPr>
        <w:pStyle w:val="MDPI31text"/>
      </w:pPr>
      <w:r>
        <w:rPr>
          <w:color w:val="0000FF"/>
        </w:rPr>
        <w:t xml:space="preserve">S1 (scale and ordering). Reference logits were drawn from a normal distribution with standard deviation 2 for 12 candidates and 600 steps, and choices were drawn from </w:t>
      </w:r>
      <w:r>
        <w:rPr>
          <w:i/>
          <w:color w:val="0000FF"/>
        </w:rPr>
        <w:t>a v</w:t>
      </w:r>
      <w:r>
        <w:rPr>
          <w:color w:val="0000FF"/>
        </w:rPr>
        <w:t>t</w:t>
      </w:r>
      <w:r>
        <w:rPr>
          <w:color w:val="0000FF"/>
        </w:rPr>
        <w:t xml:space="preserve"> at temperature </w:t>
      </w:r>
      <w:r>
        <w:rPr>
          <w:i/>
          <w:color w:val="0000FF"/>
        </w:rPr>
        <w:t>T</w:t>
      </w:r>
      <w:r>
        <w:rPr>
          <w:color w:val="0000FF"/>
        </w:rPr>
        <w:t>. S2 (intervals). Reference logits with standard deviation 2 for 12 candidates, choices drawn at a true temperature τ, 400 replications per cell; the interval is the likelihood-ratio interval on the 240-point grid. S3 (saturation). Reference logits with standard deviation 1, 36 choices, true τ = 1, a nominal temperature of 0.8 for the reference probability, and one candidate raised by the stated gap. S4 (stylised model). Equation in Section 3.4.</w:t>
      </w:r>
    </w:p>
    <w:p>
      <w:pPr>
        <w:pStyle w:val="MDPI41tablecaption"/>
      </w:pPr>
      <w:r>
        <w:rPr>
          <w:b/>
          <w:color w:val="0000FF"/>
        </w:rPr>
        <w:t xml:space="preserve">Table E1. </w:t>
      </w:r>
      <w:r>
        <w:rPr>
          <w:color w:val="0000FF"/>
        </w:rPr>
        <w:t xml:space="preserve"> Properties of the likelihood-ratio interval for </w:t>
      </w:r>
      <w:r>
        <w:rPr>
          <w:i/>
          <w:color w:val="0000FF"/>
        </w:rPr>
        <w:t>T</w:t>
      </w:r>
      <w:r>
        <w:rPr>
          <w:color w:val="0000FF"/>
        </w:rPr>
        <w:t>eff</w:t>
      </w:r>
      <w:r>
        <w:rPr>
          <w:color w:val="0000FF"/>
        </w:rPr>
        <w:t xml:space="preserve"> (400 replications; true τ = 1). Coverage is the share of intervals containing τ; the ratio is the median of upper to lower bound.</w:t>
      </w:r>
    </w:p>
    <w:tbl>
      <w:tblPr>
        <w:tblW w:w="10466" w:type="dxa"/>
        <w:tblInd w:w="0" w:type="dxa"/>
        <w:tblLayout w:type="fixed"/>
      </w:tblPr>
      <w:tblGrid>
        <w:gridCol w:w="2400"/>
        <w:gridCol w:w="2400"/>
        <w:gridCol w:w="2800"/>
        <w:gridCol w:w="28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color w:val="0000FF"/>
                <w:sz w:val="16"/>
              </w:rPr>
              <w:t>Choices</w:t>
            </w:r>
          </w:p>
        </w:tc>
        <w:tc>
          <w:tcPr>
            <w:tcW w:w="2400" w:type="dxa"/>
            <w:tcBorders>
              <w:top w:val="single" w:sz="8" w:space="0" w:color="000000"/>
              <w:bottom w:val="single" w:sz="4" w:space="0" w:color="000000"/>
            </w:tcBorders>
            <w:vAlign w:val="center"/>
          </w:tcPr>
          <w:p>
            <w:pPr>
              <w:pStyle w:val="MDPI42tablebody"/>
              <w:jc w:val="center"/>
            </w:pPr>
            <w:r>
              <w:rPr>
                <w:b/>
                <w:color w:val="0000FF"/>
                <w:sz w:val="16"/>
              </w:rPr>
              <w:t>Coverage</w:t>
            </w:r>
          </w:p>
        </w:tc>
        <w:tc>
          <w:tcPr>
            <w:tcW w:w="2800" w:type="dxa"/>
            <w:tcBorders>
              <w:top w:val="single" w:sz="8" w:space="0" w:color="000000"/>
              <w:bottom w:val="single" w:sz="4" w:space="0" w:color="000000"/>
            </w:tcBorders>
            <w:vAlign w:val="center"/>
          </w:tcPr>
          <w:p>
            <w:pPr>
              <w:pStyle w:val="MDPI42tablebody"/>
              <w:jc w:val="center"/>
            </w:pPr>
            <w:r>
              <w:rPr>
                <w:b/>
                <w:color w:val="0000FF"/>
                <w:sz w:val="16"/>
              </w:rPr>
              <w:t>Median upper/lower</w:t>
            </w:r>
          </w:p>
        </w:tc>
        <w:tc>
          <w:tcPr>
            <w:tcW w:w="2866" w:type="dxa"/>
            <w:tcBorders>
              <w:top w:val="single" w:sz="8" w:space="0" w:color="000000"/>
              <w:bottom w:val="single" w:sz="4" w:space="0" w:color="000000"/>
            </w:tcBorders>
            <w:vAlign w:val="center"/>
          </w:tcPr>
          <w:p>
            <w:pPr>
              <w:pStyle w:val="MDPI42tablebody"/>
              <w:jc w:val="center"/>
            </w:pPr>
            <w:r>
              <w:rPr>
                <w:b/>
                <w:color w:val="0000FF"/>
                <w:sz w:val="16"/>
              </w:rPr>
              <w:t>Median estimate/τ</w:t>
            </w:r>
          </w:p>
        </w:tc>
      </w:tr>
      <w:tr>
        <w:trPr>
          <w:cantSplit/>
        </w:trPr>
        <w:tc>
          <w:tcPr>
            <w:tcW w:w="2400" w:type="dxa"/>
            <w:tcBorders/>
            <w:vAlign w:val="center"/>
          </w:tcPr>
          <w:p>
            <w:pPr>
              <w:pStyle w:val="MDPI42tablebody"/>
              <w:jc w:val="left"/>
            </w:pPr>
            <w:r>
              <w:rPr>
                <w:color w:val="0000FF"/>
                <w:sz w:val="16"/>
              </w:rPr>
              <w:t>6</w:t>
            </w:r>
          </w:p>
        </w:tc>
        <w:tc>
          <w:tcPr>
            <w:tcW w:w="2400" w:type="dxa"/>
            <w:tcBorders/>
            <w:vAlign w:val="center"/>
          </w:tcPr>
          <w:p>
            <w:pPr>
              <w:pStyle w:val="MDPI42tablebody"/>
              <w:jc w:val="center"/>
            </w:pPr>
            <w:r>
              <w:rPr>
                <w:color w:val="0000FF"/>
                <w:sz w:val="16"/>
              </w:rPr>
              <w:t>0.95</w:t>
            </w:r>
          </w:p>
        </w:tc>
        <w:tc>
          <w:tcPr>
            <w:tcW w:w="2800" w:type="dxa"/>
            <w:tcBorders/>
            <w:vAlign w:val="center"/>
          </w:tcPr>
          <w:p>
            <w:pPr>
              <w:pStyle w:val="MDPI42tablebody"/>
              <w:jc w:val="center"/>
            </w:pPr>
            <w:r>
              <w:rPr>
                <w:color w:val="0000FF"/>
                <w:sz w:val="16"/>
              </w:rPr>
              <w:t>5.6</w:t>
            </w:r>
          </w:p>
        </w:tc>
        <w:tc>
          <w:tcPr>
            <w:tcW w:w="2866" w:type="dxa"/>
            <w:tcBorders/>
            <w:vAlign w:val="center"/>
          </w:tcPr>
          <w:p>
            <w:pPr>
              <w:pStyle w:val="MDPI42tablebody"/>
              <w:jc w:val="center"/>
            </w:pPr>
            <w:r>
              <w:rPr>
                <w:color w:val="0000FF"/>
                <w:sz w:val="16"/>
              </w:rPr>
              <w:t>0.96</w:t>
            </w:r>
          </w:p>
        </w:tc>
      </w:tr>
      <w:tr>
        <w:trPr>
          <w:cantSplit/>
        </w:trPr>
        <w:tc>
          <w:tcPr>
            <w:tcW w:w="2400" w:type="dxa"/>
            <w:tcBorders/>
            <w:vAlign w:val="center"/>
          </w:tcPr>
          <w:p>
            <w:pPr>
              <w:pStyle w:val="MDPI42tablebody"/>
              <w:jc w:val="left"/>
            </w:pPr>
            <w:r>
              <w:rPr>
                <w:color w:val="0000FF"/>
                <w:sz w:val="16"/>
              </w:rPr>
              <w:t>36</w:t>
            </w:r>
          </w:p>
        </w:tc>
        <w:tc>
          <w:tcPr>
            <w:tcW w:w="2400" w:type="dxa"/>
            <w:tcBorders/>
            <w:vAlign w:val="center"/>
          </w:tcPr>
          <w:p>
            <w:pPr>
              <w:pStyle w:val="MDPI42tablebody"/>
              <w:jc w:val="center"/>
            </w:pPr>
            <w:r>
              <w:rPr>
                <w:color w:val="0000FF"/>
                <w:sz w:val="16"/>
              </w:rPr>
              <w:t>0.95</w:t>
            </w:r>
          </w:p>
        </w:tc>
        <w:tc>
          <w:tcPr>
            <w:tcW w:w="2800" w:type="dxa"/>
            <w:tcBorders/>
            <w:vAlign w:val="center"/>
          </w:tcPr>
          <w:p>
            <w:pPr>
              <w:pStyle w:val="MDPI42tablebody"/>
              <w:jc w:val="center"/>
            </w:pPr>
            <w:r>
              <w:rPr>
                <w:color w:val="0000FF"/>
                <w:sz w:val="16"/>
              </w:rPr>
              <w:t>1.8</w:t>
            </w:r>
          </w:p>
        </w:tc>
        <w:tc>
          <w:tcPr>
            <w:tcW w:w="2866" w:type="dxa"/>
            <w:tcBorders/>
            <w:vAlign w:val="center"/>
          </w:tcPr>
          <w:p>
            <w:pPr>
              <w:pStyle w:val="MDPI42tablebody"/>
              <w:jc w:val="center"/>
            </w:pPr>
            <w:r>
              <w:rPr>
                <w:color w:val="0000FF"/>
                <w:sz w:val="16"/>
              </w:rPr>
              <w:t>0.99</w:t>
            </w:r>
          </w:p>
        </w:tc>
      </w:tr>
      <w:tr>
        <w:trPr>
          <w:cantSplit/>
        </w:trPr>
        <w:tc>
          <w:tcPr>
            <w:tcW w:w="2400" w:type="dxa"/>
            <w:tcBorders>
              <w:bottom w:val="single" w:sz="8" w:space="0" w:color="000000"/>
            </w:tcBorders>
            <w:vAlign w:val="center"/>
          </w:tcPr>
          <w:p>
            <w:pPr>
              <w:pStyle w:val="MDPI42tablebody"/>
              <w:jc w:val="left"/>
            </w:pPr>
            <w:r>
              <w:rPr>
                <w:color w:val="0000FF"/>
                <w:sz w:val="16"/>
              </w:rPr>
              <w:t>240</w:t>
            </w:r>
          </w:p>
        </w:tc>
        <w:tc>
          <w:tcPr>
            <w:tcW w:w="2400" w:type="dxa"/>
            <w:tcBorders>
              <w:bottom w:val="single" w:sz="8" w:space="0" w:color="000000"/>
            </w:tcBorders>
            <w:vAlign w:val="center"/>
          </w:tcPr>
          <w:p>
            <w:pPr>
              <w:pStyle w:val="MDPI42tablebody"/>
              <w:jc w:val="center"/>
            </w:pPr>
            <w:r>
              <w:rPr>
                <w:color w:val="0000FF"/>
                <w:sz w:val="16"/>
              </w:rPr>
              <w:t>0.91</w:t>
            </w:r>
          </w:p>
        </w:tc>
        <w:tc>
          <w:tcPr>
            <w:tcW w:w="2800" w:type="dxa"/>
            <w:tcBorders>
              <w:bottom w:val="single" w:sz="8" w:space="0" w:color="000000"/>
            </w:tcBorders>
            <w:vAlign w:val="center"/>
          </w:tcPr>
          <w:p>
            <w:pPr>
              <w:pStyle w:val="MDPI42tablebody"/>
              <w:jc w:val="center"/>
            </w:pPr>
            <w:r>
              <w:rPr>
                <w:color w:val="0000FF"/>
                <w:sz w:val="16"/>
              </w:rPr>
              <w:t>1.2</w:t>
            </w:r>
          </w:p>
        </w:tc>
        <w:tc>
          <w:tcPr>
            <w:tcW w:w="2866" w:type="dxa"/>
            <w:tcBorders>
              <w:bottom w:val="single" w:sz="8" w:space="0" w:color="000000"/>
            </w:tcBorders>
            <w:vAlign w:val="center"/>
          </w:tcPr>
          <w:p>
            <w:pPr>
              <w:pStyle w:val="MDPI42tablebody"/>
              <w:jc w:val="center"/>
            </w:pPr>
            <w:r>
              <w:rPr>
                <w:color w:val="0000FF"/>
                <w:sz w:val="16"/>
              </w:rPr>
              <w:t>0.99</w:t>
            </w:r>
          </w:p>
        </w:tc>
      </w:tr>
    </w:tbl>
    <w:p>
      <w:pPr>
        <w:pStyle w:val="MDPI41tablecaption"/>
      </w:pPr>
      <w:r>
        <w:rPr>
          <w:b/>
          <w:color w:val="0000FF"/>
        </w:rPr>
        <w:t xml:space="preserve">Table E2. </w:t>
      </w:r>
      <w:r>
        <w:rPr>
          <w:color w:val="0000FF"/>
        </w:rPr>
        <w:t xml:space="preserve"> Behaviour near saturation (36 choices, true τ = 1). A cell counts as identified under the fixed rule if the mean reference probability of the chosen items at the nominal temperature is at most 0.999, and under the interval rule if its interval is bounded and its upper bound is at most four times its lower bound.</w:t>
      </w:r>
    </w:p>
    <w:tbl>
      <w:tblPr>
        <w:tblW w:w="10466" w:type="dxa"/>
        <w:tblInd w:w="0" w:type="dxa"/>
        <w:tblLayout w:type="fixed"/>
      </w:tblPr>
      <w:tblGrid>
        <w:gridCol w:w="1500"/>
        <w:gridCol w:w="1900"/>
        <w:gridCol w:w="1300"/>
        <w:gridCol w:w="1700"/>
        <w:gridCol w:w="1900"/>
        <w:gridCol w:w="2166"/>
      </w:tblGrid>
      <w:tr>
        <w:trPr>
          <w:cantSplit/>
          <w:tblHeader/>
        </w:trPr>
        <w:tc>
          <w:tcPr>
            <w:tcW w:w="1500" w:type="dxa"/>
            <w:tcBorders>
              <w:top w:val="single" w:sz="8" w:space="0" w:color="000000"/>
              <w:bottom w:val="single" w:sz="4" w:space="0" w:color="000000"/>
            </w:tcBorders>
            <w:vAlign w:val="center"/>
          </w:tcPr>
          <w:p>
            <w:pPr>
              <w:pStyle w:val="MDPI42tablebody"/>
              <w:jc w:val="left"/>
            </w:pPr>
            <w:r>
              <w:rPr>
                <w:b/>
                <w:color w:val="0000FF"/>
                <w:sz w:val="16"/>
              </w:rPr>
              <w:t>Gap on top candidate</w:t>
            </w:r>
          </w:p>
        </w:tc>
        <w:tc>
          <w:tcPr>
            <w:tcW w:w="1900" w:type="dxa"/>
            <w:tcBorders>
              <w:top w:val="single" w:sz="8" w:space="0" w:color="000000"/>
              <w:bottom w:val="single" w:sz="4" w:space="0" w:color="000000"/>
            </w:tcBorders>
            <w:vAlign w:val="center"/>
          </w:tcPr>
          <w:p>
            <w:pPr>
              <w:pStyle w:val="MDPI42tablebody"/>
              <w:jc w:val="center"/>
            </w:pPr>
            <w:r>
              <w:rPr>
                <w:b/>
                <w:color w:val="0000FF"/>
                <w:sz w:val="16"/>
              </w:rPr>
              <w:t>Mean reference probability</w:t>
            </w:r>
          </w:p>
        </w:tc>
        <w:tc>
          <w:tcPr>
            <w:tcW w:w="1300" w:type="dxa"/>
            <w:tcBorders>
              <w:top w:val="single" w:sz="8" w:space="0" w:color="000000"/>
              <w:bottom w:val="single" w:sz="4" w:space="0" w:color="000000"/>
            </w:tcBorders>
            <w:vAlign w:val="center"/>
          </w:tcPr>
          <w:p>
            <w:pPr>
              <w:pStyle w:val="MDPI42tablebody"/>
              <w:jc w:val="center"/>
            </w:pPr>
            <w:r>
              <w:rPr>
                <w:b/>
                <w:color w:val="0000FF"/>
                <w:sz w:val="16"/>
              </w:rPr>
              <w:t>Coverage</w:t>
            </w:r>
          </w:p>
        </w:tc>
        <w:tc>
          <w:tcPr>
            <w:tcW w:w="1700" w:type="dxa"/>
            <w:tcBorders>
              <w:top w:val="single" w:sz="8" w:space="0" w:color="000000"/>
              <w:bottom w:val="single" w:sz="4" w:space="0" w:color="000000"/>
            </w:tcBorders>
            <w:vAlign w:val="center"/>
          </w:tcPr>
          <w:p>
            <w:pPr>
              <w:pStyle w:val="MDPI42tablebody"/>
              <w:jc w:val="center"/>
            </w:pPr>
            <w:r>
              <w:rPr>
                <w:b/>
                <w:color w:val="0000FF"/>
                <w:sz w:val="16"/>
              </w:rPr>
              <w:t>Median upper/lower</w:t>
            </w:r>
          </w:p>
        </w:tc>
        <w:tc>
          <w:tcPr>
            <w:tcW w:w="1900" w:type="dxa"/>
            <w:tcBorders>
              <w:top w:val="single" w:sz="8" w:space="0" w:color="000000"/>
              <w:bottom w:val="single" w:sz="4" w:space="0" w:color="000000"/>
            </w:tcBorders>
            <w:vAlign w:val="center"/>
          </w:tcPr>
          <w:p>
            <w:pPr>
              <w:pStyle w:val="MDPI42tablebody"/>
              <w:jc w:val="center"/>
            </w:pPr>
            <w:r>
              <w:rPr>
                <w:b/>
                <w:color w:val="0000FF"/>
                <w:sz w:val="16"/>
              </w:rPr>
              <w:t>Identified, fixed rule</w:t>
            </w:r>
          </w:p>
        </w:tc>
        <w:tc>
          <w:tcPr>
            <w:tcW w:w="2166" w:type="dxa"/>
            <w:tcBorders>
              <w:top w:val="single" w:sz="8" w:space="0" w:color="000000"/>
              <w:bottom w:val="single" w:sz="4" w:space="0" w:color="000000"/>
            </w:tcBorders>
            <w:vAlign w:val="center"/>
          </w:tcPr>
          <w:p>
            <w:pPr>
              <w:pStyle w:val="MDPI42tablebody"/>
              <w:jc w:val="center"/>
            </w:pPr>
            <w:r>
              <w:rPr>
                <w:b/>
                <w:color w:val="0000FF"/>
                <w:sz w:val="16"/>
              </w:rPr>
              <w:t>Identified, interval rule</w:t>
            </w:r>
          </w:p>
        </w:tc>
      </w:tr>
      <w:tr>
        <w:trPr>
          <w:cantSplit/>
        </w:trPr>
        <w:tc>
          <w:tcPr>
            <w:tcW w:w="1500" w:type="dxa"/>
            <w:tcBorders/>
            <w:vAlign w:val="center"/>
          </w:tcPr>
          <w:p>
            <w:pPr>
              <w:pStyle w:val="MDPI42tablebody"/>
              <w:jc w:val="left"/>
            </w:pPr>
            <w:r>
              <w:rPr>
                <w:color w:val="0000FF"/>
                <w:sz w:val="16"/>
              </w:rPr>
              <w:t>0</w:t>
            </w:r>
          </w:p>
        </w:tc>
        <w:tc>
          <w:tcPr>
            <w:tcW w:w="1900" w:type="dxa"/>
            <w:tcBorders/>
            <w:vAlign w:val="center"/>
          </w:tcPr>
          <w:p>
            <w:pPr>
              <w:pStyle w:val="MDPI42tablebody"/>
              <w:jc w:val="center"/>
            </w:pPr>
            <w:r>
              <w:rPr>
                <w:color w:val="0000FF"/>
                <w:sz w:val="16"/>
              </w:rPr>
              <w:t>0.1887</w:t>
            </w:r>
          </w:p>
        </w:tc>
        <w:tc>
          <w:tcPr>
            <w:tcW w:w="1300" w:type="dxa"/>
            <w:tcBorders/>
            <w:vAlign w:val="center"/>
          </w:tcPr>
          <w:p>
            <w:pPr>
              <w:pStyle w:val="MDPI42tablebody"/>
              <w:jc w:val="center"/>
            </w:pPr>
            <w:r>
              <w:rPr>
                <w:color w:val="0000FF"/>
                <w:sz w:val="16"/>
              </w:rPr>
              <w:t>0.94</w:t>
            </w:r>
          </w:p>
        </w:tc>
        <w:tc>
          <w:tcPr>
            <w:tcW w:w="1700" w:type="dxa"/>
            <w:tcBorders/>
            <w:vAlign w:val="center"/>
          </w:tcPr>
          <w:p>
            <w:pPr>
              <w:pStyle w:val="MDPI42tablebody"/>
              <w:jc w:val="center"/>
            </w:pPr>
            <w:r>
              <w:rPr>
                <w:color w:val="0000FF"/>
                <w:sz w:val="16"/>
              </w:rPr>
              <w:t>2.2</w:t>
            </w:r>
          </w:p>
        </w:tc>
        <w:tc>
          <w:tcPr>
            <w:tcW w:w="1900" w:type="dxa"/>
            <w:tcBorders/>
            <w:vAlign w:val="center"/>
          </w:tcPr>
          <w:p>
            <w:pPr>
              <w:pStyle w:val="MDPI42tablebody"/>
              <w:jc w:val="center"/>
            </w:pPr>
            <w:r>
              <w:rPr>
                <w:color w:val="0000FF"/>
                <w:sz w:val="16"/>
              </w:rPr>
              <w:t>1.00</w:t>
            </w:r>
          </w:p>
        </w:tc>
        <w:tc>
          <w:tcPr>
            <w:tcW w:w="2166" w:type="dxa"/>
            <w:tcBorders/>
            <w:vAlign w:val="center"/>
          </w:tcPr>
          <w:p>
            <w:pPr>
              <w:pStyle w:val="MDPI42tablebody"/>
              <w:jc w:val="center"/>
            </w:pPr>
            <w:r>
              <w:rPr>
                <w:color w:val="0000FF"/>
                <w:sz w:val="16"/>
              </w:rPr>
              <w:t>0.98</w:t>
            </w:r>
          </w:p>
        </w:tc>
      </w:tr>
      <w:tr>
        <w:trPr>
          <w:cantSplit/>
        </w:trPr>
        <w:tc>
          <w:tcPr>
            <w:tcW w:w="1500" w:type="dxa"/>
            <w:tcBorders/>
            <w:vAlign w:val="center"/>
          </w:tcPr>
          <w:p>
            <w:pPr>
              <w:pStyle w:val="MDPI42tablebody"/>
              <w:jc w:val="left"/>
            </w:pPr>
            <w:r>
              <w:rPr>
                <w:color w:val="0000FF"/>
                <w:sz w:val="16"/>
              </w:rPr>
              <w:t>2</w:t>
            </w:r>
          </w:p>
        </w:tc>
        <w:tc>
          <w:tcPr>
            <w:tcW w:w="1900" w:type="dxa"/>
            <w:tcBorders/>
            <w:vAlign w:val="center"/>
          </w:tcPr>
          <w:p>
            <w:pPr>
              <w:pStyle w:val="MDPI42tablebody"/>
              <w:jc w:val="center"/>
            </w:pPr>
            <w:r>
              <w:rPr>
                <w:color w:val="0000FF"/>
                <w:sz w:val="16"/>
              </w:rPr>
              <w:t>0.2747</w:t>
            </w:r>
          </w:p>
        </w:tc>
        <w:tc>
          <w:tcPr>
            <w:tcW w:w="1300" w:type="dxa"/>
            <w:tcBorders/>
            <w:vAlign w:val="center"/>
          </w:tcPr>
          <w:p>
            <w:pPr>
              <w:pStyle w:val="MDPI42tablebody"/>
              <w:jc w:val="center"/>
            </w:pPr>
            <w:r>
              <w:rPr>
                <w:color w:val="0000FF"/>
                <w:sz w:val="16"/>
              </w:rPr>
              <w:t>0.93</w:t>
            </w:r>
          </w:p>
        </w:tc>
        <w:tc>
          <w:tcPr>
            <w:tcW w:w="1700" w:type="dxa"/>
            <w:tcBorders/>
            <w:vAlign w:val="center"/>
          </w:tcPr>
          <w:p>
            <w:pPr>
              <w:pStyle w:val="MDPI42tablebody"/>
              <w:jc w:val="center"/>
            </w:pPr>
            <w:r>
              <w:rPr>
                <w:color w:val="0000FF"/>
                <w:sz w:val="16"/>
              </w:rPr>
              <w:t>1.9</w:t>
            </w:r>
          </w:p>
        </w:tc>
        <w:tc>
          <w:tcPr>
            <w:tcW w:w="1900" w:type="dxa"/>
            <w:tcBorders/>
            <w:vAlign w:val="center"/>
          </w:tcPr>
          <w:p>
            <w:pPr>
              <w:pStyle w:val="MDPI42tablebody"/>
              <w:jc w:val="center"/>
            </w:pPr>
            <w:r>
              <w:rPr>
                <w:color w:val="0000FF"/>
                <w:sz w:val="16"/>
              </w:rPr>
              <w:t>1.00</w:t>
            </w:r>
          </w:p>
        </w:tc>
        <w:tc>
          <w:tcPr>
            <w:tcW w:w="2166" w:type="dxa"/>
            <w:tcBorders/>
            <w:vAlign w:val="center"/>
          </w:tcPr>
          <w:p>
            <w:pPr>
              <w:pStyle w:val="MDPI42tablebody"/>
              <w:jc w:val="center"/>
            </w:pPr>
            <w:r>
              <w:rPr>
                <w:color w:val="0000FF"/>
                <w:sz w:val="16"/>
              </w:rPr>
              <w:t>1.00</w:t>
            </w:r>
          </w:p>
        </w:tc>
      </w:tr>
      <w:tr>
        <w:trPr>
          <w:cantSplit/>
        </w:trPr>
        <w:tc>
          <w:tcPr>
            <w:tcW w:w="1500" w:type="dxa"/>
            <w:tcBorders/>
            <w:vAlign w:val="center"/>
          </w:tcPr>
          <w:p>
            <w:pPr>
              <w:pStyle w:val="MDPI42tablebody"/>
              <w:jc w:val="left"/>
            </w:pPr>
            <w:r>
              <w:rPr>
                <w:color w:val="0000FF"/>
                <w:sz w:val="16"/>
              </w:rPr>
              <w:t>4</w:t>
            </w:r>
          </w:p>
        </w:tc>
        <w:tc>
          <w:tcPr>
            <w:tcW w:w="1900" w:type="dxa"/>
            <w:tcBorders/>
            <w:vAlign w:val="center"/>
          </w:tcPr>
          <w:p>
            <w:pPr>
              <w:pStyle w:val="MDPI42tablebody"/>
              <w:jc w:val="center"/>
            </w:pPr>
            <w:r>
              <w:rPr>
                <w:color w:val="0000FF"/>
                <w:sz w:val="16"/>
              </w:rPr>
              <w:t>0.6477</w:t>
            </w:r>
          </w:p>
        </w:tc>
        <w:tc>
          <w:tcPr>
            <w:tcW w:w="1300" w:type="dxa"/>
            <w:tcBorders/>
            <w:vAlign w:val="center"/>
          </w:tcPr>
          <w:p>
            <w:pPr>
              <w:pStyle w:val="MDPI42tablebody"/>
              <w:jc w:val="center"/>
            </w:pPr>
            <w:r>
              <w:rPr>
                <w:color w:val="0000FF"/>
                <w:sz w:val="16"/>
              </w:rPr>
              <w:t>0.92</w:t>
            </w:r>
          </w:p>
        </w:tc>
        <w:tc>
          <w:tcPr>
            <w:tcW w:w="1700" w:type="dxa"/>
            <w:tcBorders/>
            <w:vAlign w:val="center"/>
          </w:tcPr>
          <w:p>
            <w:pPr>
              <w:pStyle w:val="MDPI42tablebody"/>
              <w:jc w:val="center"/>
            </w:pPr>
            <w:r>
              <w:rPr>
                <w:color w:val="0000FF"/>
                <w:sz w:val="16"/>
              </w:rPr>
              <w:t>1.6</w:t>
            </w:r>
          </w:p>
        </w:tc>
        <w:tc>
          <w:tcPr>
            <w:tcW w:w="1900" w:type="dxa"/>
            <w:tcBorders/>
            <w:vAlign w:val="center"/>
          </w:tcPr>
          <w:p>
            <w:pPr>
              <w:pStyle w:val="MDPI42tablebody"/>
              <w:jc w:val="center"/>
            </w:pPr>
            <w:r>
              <w:rPr>
                <w:color w:val="0000FF"/>
                <w:sz w:val="16"/>
              </w:rPr>
              <w:t>1.00</w:t>
            </w:r>
          </w:p>
        </w:tc>
        <w:tc>
          <w:tcPr>
            <w:tcW w:w="2166" w:type="dxa"/>
            <w:tcBorders/>
            <w:vAlign w:val="center"/>
          </w:tcPr>
          <w:p>
            <w:pPr>
              <w:pStyle w:val="MDPI42tablebody"/>
              <w:jc w:val="center"/>
            </w:pPr>
            <w:r>
              <w:rPr>
                <w:color w:val="0000FF"/>
                <w:sz w:val="16"/>
              </w:rPr>
              <w:t>1.00</w:t>
            </w:r>
          </w:p>
        </w:tc>
      </w:tr>
      <w:tr>
        <w:trPr>
          <w:cantSplit/>
        </w:trPr>
        <w:tc>
          <w:tcPr>
            <w:tcW w:w="1500" w:type="dxa"/>
            <w:tcBorders/>
            <w:vAlign w:val="center"/>
          </w:tcPr>
          <w:p>
            <w:pPr>
              <w:pStyle w:val="MDPI42tablebody"/>
              <w:jc w:val="left"/>
            </w:pPr>
            <w:r>
              <w:rPr>
                <w:color w:val="0000FF"/>
                <w:sz w:val="16"/>
              </w:rPr>
              <w:t>6</w:t>
            </w:r>
          </w:p>
        </w:tc>
        <w:tc>
          <w:tcPr>
            <w:tcW w:w="1900" w:type="dxa"/>
            <w:tcBorders/>
            <w:vAlign w:val="center"/>
          </w:tcPr>
          <w:p>
            <w:pPr>
              <w:pStyle w:val="MDPI42tablebody"/>
              <w:jc w:val="center"/>
            </w:pPr>
            <w:r>
              <w:rPr>
                <w:color w:val="0000FF"/>
                <w:sz w:val="16"/>
              </w:rPr>
              <w:t>0.9160</w:t>
            </w:r>
          </w:p>
        </w:tc>
        <w:tc>
          <w:tcPr>
            <w:tcW w:w="1300" w:type="dxa"/>
            <w:tcBorders/>
            <w:vAlign w:val="center"/>
          </w:tcPr>
          <w:p>
            <w:pPr>
              <w:pStyle w:val="MDPI42tablebody"/>
              <w:jc w:val="center"/>
            </w:pPr>
            <w:r>
              <w:rPr>
                <w:color w:val="0000FF"/>
                <w:sz w:val="16"/>
              </w:rPr>
              <w:t>0.89</w:t>
            </w:r>
          </w:p>
        </w:tc>
        <w:tc>
          <w:tcPr>
            <w:tcW w:w="1700" w:type="dxa"/>
            <w:tcBorders/>
            <w:vAlign w:val="center"/>
          </w:tcPr>
          <w:p>
            <w:pPr>
              <w:pStyle w:val="MDPI42tablebody"/>
              <w:jc w:val="center"/>
            </w:pPr>
            <w:r>
              <w:rPr>
                <w:color w:val="0000FF"/>
                <w:sz w:val="16"/>
              </w:rPr>
              <w:t>1.8</w:t>
            </w:r>
          </w:p>
        </w:tc>
        <w:tc>
          <w:tcPr>
            <w:tcW w:w="1900" w:type="dxa"/>
            <w:tcBorders/>
            <w:vAlign w:val="center"/>
          </w:tcPr>
          <w:p>
            <w:pPr>
              <w:pStyle w:val="MDPI42tablebody"/>
              <w:jc w:val="center"/>
            </w:pPr>
            <w:r>
              <w:rPr>
                <w:color w:val="0000FF"/>
                <w:sz w:val="16"/>
              </w:rPr>
              <w:t>1.00</w:t>
            </w:r>
          </w:p>
        </w:tc>
        <w:tc>
          <w:tcPr>
            <w:tcW w:w="2166" w:type="dxa"/>
            <w:tcBorders/>
            <w:vAlign w:val="center"/>
          </w:tcPr>
          <w:p>
            <w:pPr>
              <w:pStyle w:val="MDPI42tablebody"/>
              <w:jc w:val="center"/>
            </w:pPr>
            <w:r>
              <w:rPr>
                <w:color w:val="0000FF"/>
                <w:sz w:val="16"/>
              </w:rPr>
              <w:t>0.91</w:t>
            </w:r>
          </w:p>
        </w:tc>
      </w:tr>
      <w:tr>
        <w:trPr>
          <w:cantSplit/>
        </w:trPr>
        <w:tc>
          <w:tcPr>
            <w:tcW w:w="1500" w:type="dxa"/>
            <w:tcBorders/>
            <w:vAlign w:val="center"/>
          </w:tcPr>
          <w:p>
            <w:pPr>
              <w:pStyle w:val="MDPI42tablebody"/>
              <w:jc w:val="left"/>
            </w:pPr>
            <w:r>
              <w:rPr>
                <w:color w:val="0000FF"/>
                <w:sz w:val="16"/>
              </w:rPr>
              <w:t>8</w:t>
            </w:r>
          </w:p>
        </w:tc>
        <w:tc>
          <w:tcPr>
            <w:tcW w:w="1900" w:type="dxa"/>
            <w:tcBorders/>
            <w:vAlign w:val="center"/>
          </w:tcPr>
          <w:p>
            <w:pPr>
              <w:pStyle w:val="MDPI42tablebody"/>
              <w:jc w:val="center"/>
            </w:pPr>
            <w:r>
              <w:rPr>
                <w:color w:val="0000FF"/>
                <w:sz w:val="16"/>
              </w:rPr>
              <w:t>0.9876</w:t>
            </w:r>
          </w:p>
        </w:tc>
        <w:tc>
          <w:tcPr>
            <w:tcW w:w="1300" w:type="dxa"/>
            <w:tcBorders/>
            <w:vAlign w:val="center"/>
          </w:tcPr>
          <w:p>
            <w:pPr>
              <w:pStyle w:val="MDPI42tablebody"/>
              <w:jc w:val="center"/>
            </w:pPr>
            <w:r>
              <w:rPr>
                <w:color w:val="0000FF"/>
                <w:sz w:val="16"/>
              </w:rPr>
              <w:t>0.98</w:t>
            </w:r>
          </w:p>
        </w:tc>
        <w:tc>
          <w:tcPr>
            <w:tcW w:w="1700" w:type="dxa"/>
            <w:tcBorders/>
            <w:vAlign w:val="center"/>
          </w:tcPr>
          <w:p>
            <w:pPr>
              <w:pStyle w:val="MDPI42tablebody"/>
              <w:jc w:val="center"/>
            </w:pPr>
            <w:r>
              <w:rPr>
                <w:color w:val="0000FF"/>
                <w:sz w:val="16"/>
              </w:rPr>
              <w:t>68.0</w:t>
            </w:r>
          </w:p>
        </w:tc>
        <w:tc>
          <w:tcPr>
            <w:tcW w:w="1900" w:type="dxa"/>
            <w:tcBorders/>
            <w:vAlign w:val="center"/>
          </w:tcPr>
          <w:p>
            <w:pPr>
              <w:pStyle w:val="MDPI42tablebody"/>
              <w:jc w:val="center"/>
            </w:pPr>
            <w:r>
              <w:rPr>
                <w:color w:val="0000FF"/>
                <w:sz w:val="16"/>
              </w:rPr>
              <w:t>0.99</w:t>
            </w:r>
          </w:p>
        </w:tc>
        <w:tc>
          <w:tcPr>
            <w:tcW w:w="2166" w:type="dxa"/>
            <w:tcBorders/>
            <w:vAlign w:val="center"/>
          </w:tcPr>
          <w:p>
            <w:pPr>
              <w:pStyle w:val="MDPI42tablebody"/>
              <w:jc w:val="center"/>
            </w:pPr>
            <w:r>
              <w:rPr>
                <w:color w:val="0000FF"/>
                <w:sz w:val="16"/>
              </w:rPr>
              <w:t>0.29</w:t>
            </w:r>
          </w:p>
        </w:tc>
      </w:tr>
      <w:tr>
        <w:trPr>
          <w:cantSplit/>
        </w:trPr>
        <w:tc>
          <w:tcPr>
            <w:tcW w:w="1500" w:type="dxa"/>
            <w:tcBorders/>
            <w:vAlign w:val="center"/>
          </w:tcPr>
          <w:p>
            <w:pPr>
              <w:pStyle w:val="MDPI42tablebody"/>
              <w:jc w:val="left"/>
            </w:pPr>
            <w:r>
              <w:rPr>
                <w:color w:val="0000FF"/>
                <w:sz w:val="16"/>
              </w:rPr>
              <w:t>12</w:t>
            </w:r>
          </w:p>
        </w:tc>
        <w:tc>
          <w:tcPr>
            <w:tcW w:w="1900" w:type="dxa"/>
            <w:tcBorders/>
            <w:vAlign w:val="center"/>
          </w:tcPr>
          <w:p>
            <w:pPr>
              <w:pStyle w:val="MDPI42tablebody"/>
              <w:jc w:val="center"/>
            </w:pPr>
            <w:r>
              <w:rPr>
                <w:color w:val="0000FF"/>
                <w:sz w:val="16"/>
              </w:rPr>
              <w:t>1.0000</w:t>
            </w:r>
          </w:p>
        </w:tc>
        <w:tc>
          <w:tcPr>
            <w:tcW w:w="1300" w:type="dxa"/>
            <w:tcBorders/>
            <w:vAlign w:val="center"/>
          </w:tcPr>
          <w:p>
            <w:pPr>
              <w:pStyle w:val="MDPI42tablebody"/>
              <w:jc w:val="center"/>
            </w:pPr>
            <w:r>
              <w:rPr>
                <w:color w:val="0000FF"/>
                <w:sz w:val="16"/>
              </w:rPr>
              <w:t>1.00</w:t>
            </w:r>
          </w:p>
        </w:tc>
        <w:tc>
          <w:tcPr>
            <w:tcW w:w="1700" w:type="dxa"/>
            <w:tcBorders/>
            <w:vAlign w:val="center"/>
          </w:tcPr>
          <w:p>
            <w:pPr>
              <w:pStyle w:val="MDPI42tablebody"/>
              <w:jc w:val="center"/>
            </w:pPr>
            <w:r>
              <w:rPr>
                <w:color w:val="0000FF"/>
                <w:sz w:val="16"/>
              </w:rPr>
              <w:t>108.0</w:t>
            </w:r>
          </w:p>
        </w:tc>
        <w:tc>
          <w:tcPr>
            <w:tcW w:w="1900" w:type="dxa"/>
            <w:tcBorders/>
            <w:vAlign w:val="center"/>
          </w:tcPr>
          <w:p>
            <w:pPr>
              <w:pStyle w:val="MDPI42tablebody"/>
              <w:jc w:val="center"/>
            </w:pPr>
            <w:r>
              <w:rPr>
                <w:color w:val="0000FF"/>
                <w:sz w:val="16"/>
              </w:rPr>
              <w:t>0.00</w:t>
            </w:r>
          </w:p>
        </w:tc>
        <w:tc>
          <w:tcPr>
            <w:tcW w:w="2166" w:type="dxa"/>
            <w:tcBorders/>
            <w:vAlign w:val="center"/>
          </w:tcPr>
          <w:p>
            <w:pPr>
              <w:pStyle w:val="MDPI42tablebody"/>
              <w:jc w:val="center"/>
            </w:pPr>
            <w:r>
              <w:rPr>
                <w:color w:val="0000FF"/>
                <w:sz w:val="16"/>
              </w:rPr>
              <w:t>0.00</w:t>
            </w:r>
          </w:p>
        </w:tc>
      </w:tr>
      <w:tr>
        <w:trPr>
          <w:cantSplit/>
        </w:trPr>
        <w:tc>
          <w:tcPr>
            <w:tcW w:w="1500" w:type="dxa"/>
            <w:tcBorders>
              <w:bottom w:val="single" w:sz="8" w:space="0" w:color="000000"/>
            </w:tcBorders>
            <w:vAlign w:val="center"/>
          </w:tcPr>
          <w:p>
            <w:pPr>
              <w:pStyle w:val="MDPI42tablebody"/>
              <w:jc w:val="left"/>
            </w:pPr>
            <w:r>
              <w:rPr>
                <w:color w:val="0000FF"/>
                <w:sz w:val="16"/>
              </w:rPr>
              <w:t>16</w:t>
            </w:r>
          </w:p>
        </w:tc>
        <w:tc>
          <w:tcPr>
            <w:tcW w:w="1900" w:type="dxa"/>
            <w:tcBorders>
              <w:bottom w:val="single" w:sz="8" w:space="0" w:color="000000"/>
            </w:tcBorders>
            <w:vAlign w:val="center"/>
          </w:tcPr>
          <w:p>
            <w:pPr>
              <w:pStyle w:val="MDPI42tablebody"/>
              <w:jc w:val="center"/>
            </w:pPr>
            <w:r>
              <w:rPr>
                <w:color w:val="0000FF"/>
                <w:sz w:val="16"/>
              </w:rPr>
              <w:t>1.0000</w:t>
            </w:r>
          </w:p>
        </w:tc>
        <w:tc>
          <w:tcPr>
            <w:tcW w:w="1300" w:type="dxa"/>
            <w:tcBorders>
              <w:bottom w:val="single" w:sz="8" w:space="0" w:color="000000"/>
            </w:tcBorders>
            <w:vAlign w:val="center"/>
          </w:tcPr>
          <w:p>
            <w:pPr>
              <w:pStyle w:val="MDPI42tablebody"/>
              <w:jc w:val="center"/>
            </w:pPr>
            <w:r>
              <w:rPr>
                <w:color w:val="0000FF"/>
                <w:sz w:val="16"/>
              </w:rPr>
              <w:t>1.00</w:t>
            </w:r>
          </w:p>
        </w:tc>
        <w:tc>
          <w:tcPr>
            <w:tcW w:w="1700" w:type="dxa"/>
            <w:tcBorders>
              <w:bottom w:val="single" w:sz="8" w:space="0" w:color="000000"/>
            </w:tcBorders>
            <w:vAlign w:val="center"/>
          </w:tcPr>
          <w:p>
            <w:pPr>
              <w:pStyle w:val="MDPI42tablebody"/>
              <w:jc w:val="center"/>
            </w:pPr>
            <w:r>
              <w:rPr>
                <w:color w:val="0000FF"/>
                <w:sz w:val="16"/>
              </w:rPr>
              <w:t>144.2</w:t>
            </w:r>
          </w:p>
        </w:tc>
        <w:tc>
          <w:tcPr>
            <w:tcW w:w="1900" w:type="dxa"/>
            <w:tcBorders>
              <w:bottom w:val="single" w:sz="8" w:space="0" w:color="000000"/>
            </w:tcBorders>
            <w:vAlign w:val="center"/>
          </w:tcPr>
          <w:p>
            <w:pPr>
              <w:pStyle w:val="MDPI42tablebody"/>
              <w:jc w:val="center"/>
            </w:pPr>
            <w:r>
              <w:rPr>
                <w:color w:val="0000FF"/>
                <w:sz w:val="16"/>
              </w:rPr>
              <w:t>0.00</w:t>
            </w:r>
          </w:p>
        </w:tc>
        <w:tc>
          <w:tcPr>
            <w:tcW w:w="2166" w:type="dxa"/>
            <w:tcBorders>
              <w:bottom w:val="single" w:sz="8" w:space="0" w:color="000000"/>
            </w:tcBorders>
            <w:vAlign w:val="center"/>
          </w:tcPr>
          <w:p>
            <w:pPr>
              <w:pStyle w:val="MDPI42tablebody"/>
              <w:jc w:val="center"/>
            </w:pPr>
            <w:r>
              <w:rPr>
                <w:color w:val="0000FF"/>
                <w:sz w:val="16"/>
              </w:rPr>
              <w:t>0.00</w:t>
            </w:r>
          </w:p>
        </w:tc>
      </w:tr>
    </w:tbl>
    <w:p>
      <w:pPr>
        <w:pStyle w:val="MDPI21heading1"/>
      </w:pPr>
      <w:r>
        <w:rPr>
          <w:color w:val="0000FF"/>
        </w:rPr>
        <w:t>Appendix F. Reproducibility of the Revision Study</w:t>
      </w:r>
    </w:p>
    <w:p>
      <w:pPr>
        <w:pStyle w:val="MDPI31text"/>
      </w:pPr>
      <w:r>
        <w:rPr>
          <w:color w:val="0000FF"/>
        </w:rPr>
        <w:t xml:space="preserve">All revision runs used the Transformers library in 32-bit floating point on a four-core CPU with 15 GB of memory and no GPU, with the default chat template of each model. Random streams are seeded from a hash of the model, task, attractor length, temperature and condition. The estimator uses the same 240-point grid as before (an 80-point subset for full-vocabulary scoring). Bootstrap intervals use 1000 resamples of trajectories for the indicator comparison and 300 for </w:t>
      </w:r>
      <w:r>
        <w:rPr>
          <w:i/>
          <w:color w:val="0000FF"/>
        </w:rPr>
        <w:t>T</w:t>
      </w:r>
      <w:r>
        <w:rPr>
          <w:color w:val="0000FF"/>
        </w:rPr>
        <w:t>eff</w:t>
      </w:r>
      <w:r>
        <w:rPr>
          <w:color w:val="0000FF"/>
        </w:rPr>
        <w:t>. The code (teff_core.py, run_study.py, free_gen.py, se_nli.py, sim_identification.py, analyze.py and the driver scripts) and the per-trajectory results are in the repository folder teff/. The entailment model is microsoft/deberta-large-mnli.</w:t>
      </w:r>
    </w:p>
    <w:p>
      <w:pPr>
        <w:pStyle w:val="MDPI21heading1"/>
        <w:keepNext/>
      </w:pPr>
      <w:r>
        <w:rPr/>
        <w:t xml:space="preserve">References</w:t>
      </w:r>
    </w:p>
    <w:p>
      <w:pPr>
        <w:pStyle w:val="MDPI81references"/>
        <w:numPr>
          <w:ilvl w:val="0"/>
          <w:numId w:val="8"/>
        </w:numPr>
        <w:ind w:left="425" w:hanging="425"/>
      </w:pPr>
      <w:r>
        <w:rPr/>
        <w:t xml:space="preserve">Holtzman, A.; Buys, J.; Du, L.; Forbes, M.; Choi, Y. The Curious Case of Neural Text Degeneration. In Proceedings of the International Conference on Learning Representations (ICLR), </w:t>
      </w:r>
      <w:r>
        <w:rPr>
          <w:b/>
        </w:rPr>
        <w:t xml:space="preserve">2020</w:t>
      </w:r>
      <w:r>
        <w:rPr/>
        <w:t xml:space="preserve">.</w:t>
      </w:r>
    </w:p>
    <w:p>
      <w:pPr>
        <w:pStyle w:val="MDPI81references"/>
        <w:numPr>
          <w:ilvl w:val="0"/>
          <w:numId w:val="8"/>
        </w:numPr>
        <w:ind w:left="425" w:hanging="425"/>
      </w:pPr>
      <w:r>
        <w:rPr/>
        <w:t xml:space="preserve">Guo, C.; Pleiss, G.; Sun, Y.; Weinberger, K.Q. On Calibration of Modern Neural Networks. In Proceedings of the 34th International Conference on Machine Learning, Sydney, Australia, 6–11 August 2017; PMLR 70, pp. 1321–1330.</w:t>
      </w:r>
    </w:p>
    <w:p>
      <w:pPr>
        <w:pStyle w:val="MDPI81references"/>
        <w:numPr>
          <w:ilvl w:val="0"/>
          <w:numId w:val="8"/>
        </w:numPr>
        <w:ind w:left="425" w:hanging="425"/>
      </w:pPr>
      <w:r>
        <w:rPr/>
        <w:t xml:space="preserve">Kadavath, S.; Conerly, T.; Askell, A.; et al. Language Models (Mostly) Know What They Know. </w:t>
      </w:r>
      <w:r>
        <w:rPr>
          <w:i/>
        </w:rPr>
        <w:t xml:space="preserve">arXiv</w:t>
      </w:r>
      <w:r>
        <w:rPr/>
        <w:t xml:space="preserve"> </w:t>
      </w:r>
      <w:r>
        <w:rPr>
          <w:b/>
        </w:rPr>
        <w:t xml:space="preserve">2022</w:t>
      </w:r>
      <w:r>
        <w:rPr/>
        <w:t xml:space="preserve">, arXiv:2207.05221.</w:t>
      </w:r>
    </w:p>
    <w:p>
      <w:pPr>
        <w:pStyle w:val="MDPI81references"/>
        <w:numPr>
          <w:ilvl w:val="0"/>
          <w:numId w:val="8"/>
        </w:numPr>
        <w:ind w:left="425" w:hanging="425"/>
      </w:pPr>
      <w:r>
        <w:rPr/>
        <w:t xml:space="preserve">Kuhn, L.; Gal, Y.; Farquhar, S. Semantic Uncertainty: Linguistic Invariances for Uncertainty Estimation in Natural Language Generation. In Proceedings of the International Conference on Learning Representations (ICLR), </w:t>
      </w:r>
      <w:r>
        <w:rPr>
          <w:b/>
        </w:rPr>
        <w:t xml:space="preserve">2023</w:t>
      </w:r>
      <w:r>
        <w:rPr/>
        <w:t xml:space="preserve">.</w:t>
      </w:r>
    </w:p>
    <w:p>
      <w:pPr>
        <w:pStyle w:val="MDPI81references"/>
        <w:numPr>
          <w:ilvl w:val="0"/>
          <w:numId w:val="8"/>
        </w:numPr>
        <w:ind w:left="425" w:hanging="425"/>
      </w:pPr>
      <w:r>
        <w:rPr/>
        <w:t xml:space="preserve">Farquhar, S.; Kossen, J.; Kuhn, L.; Gal, Y. Detecting Hallucinations in Large Language Models Using Semantic Entropy. </w:t>
      </w:r>
      <w:r>
        <w:rPr>
          <w:i/>
        </w:rPr>
        <w:t xml:space="preserve">Nature</w:t>
      </w:r>
      <w:r>
        <w:rPr/>
        <w:t xml:space="preserve"> </w:t>
      </w:r>
      <w:r>
        <w:rPr>
          <w:b/>
        </w:rPr>
        <w:t xml:space="preserve">2024</w:t>
      </w:r>
      <w:r>
        <w:rPr/>
        <w:t xml:space="preserve">, </w:t>
      </w:r>
      <w:r>
        <w:rPr>
          <w:i/>
        </w:rPr>
        <w:t xml:space="preserve">630</w:t>
      </w:r>
      <w:r>
        <w:rPr/>
        <w:t xml:space="preserve">, 625–630.</w:t>
      </w:r>
    </w:p>
    <w:p>
      <w:pPr>
        <w:pStyle w:val="MDPI81references"/>
        <w:numPr>
          <w:ilvl w:val="0"/>
          <w:numId w:val="8"/>
        </w:numPr>
        <w:ind w:left="425" w:hanging="425"/>
      </w:pPr>
      <w:r>
        <w:rPr/>
        <w:t xml:space="preserve">Cemri, M.; Pan, M.Z.; Yang, S.; et al. Why Do Multi-Agent LLM Systems Fail? </w:t>
      </w:r>
      <w:r>
        <w:rPr>
          <w:i/>
        </w:rPr>
        <w:t xml:space="preserve">arXiv</w:t>
      </w:r>
      <w:r>
        <w:rPr/>
        <w:t xml:space="preserve"> </w:t>
      </w:r>
      <w:r>
        <w:rPr>
          <w:b/>
        </w:rPr>
        <w:t xml:space="preserve">2025</w:t>
      </w:r>
      <w:r>
        <w:rPr/>
        <w:t xml:space="preserve">, arXiv:2503.13657.</w:t>
      </w:r>
    </w:p>
    <w:p>
      <w:pPr>
        <w:pStyle w:val="MDPI81references"/>
        <w:numPr>
          <w:ilvl w:val="0"/>
          <w:numId w:val="8"/>
        </w:numPr>
        <w:ind w:left="425" w:hanging="425"/>
      </w:pPr>
      <w:r>
        <w:rPr/>
        <w:t xml:space="preserve">McFadden, D. Conditional Logit Analysis of Qualitative Choice Behavior. In </w:t>
      </w:r>
      <w:r>
        <w:rPr>
          <w:i/>
        </w:rPr>
        <w:t xml:space="preserve">Frontiers in Econometrics</w:t>
      </w:r>
      <w:r>
        <w:rPr/>
        <w:t xml:space="preserve">; Zarembka, P., Ed.; Academic Press: New York, NY, USA, 1974; pp. 105–142.</w:t>
      </w:r>
    </w:p>
    <w:p>
      <w:pPr>
        <w:pStyle w:val="MDPI81references"/>
        <w:numPr>
          <w:ilvl w:val="0"/>
          <w:numId w:val="8"/>
        </w:numPr>
        <w:ind w:left="425" w:hanging="425"/>
      </w:pPr>
      <w:r>
        <w:rPr/>
        <w:t xml:space="preserve">McKelvey, R.D.; Palfrey, T.R. Quantal Response Equilibria for Normal Form Games. </w:t>
      </w:r>
      <w:r>
        <w:rPr>
          <w:i/>
        </w:rPr>
        <w:t xml:space="preserve">Games Econ. Behav.</w:t>
      </w:r>
      <w:r>
        <w:rPr/>
        <w:t xml:space="preserve"> </w:t>
      </w:r>
      <w:r>
        <w:rPr>
          <w:b/>
        </w:rPr>
        <w:t xml:space="preserve">1995</w:t>
      </w:r>
      <w:r>
        <w:rPr/>
        <w:t xml:space="preserve">, </w:t>
      </w:r>
      <w:r>
        <w:rPr>
          <w:i/>
        </w:rPr>
        <w:t xml:space="preserve">10</w:t>
      </w:r>
      <w:r>
        <w:rPr/>
        <w:t xml:space="preserve">, 6–38.</w:t>
      </w:r>
    </w:p>
    <w:p>
      <w:pPr>
        <w:pStyle w:val="MDPI81references"/>
        <w:numPr>
          <w:ilvl w:val="0"/>
          <w:numId w:val="8"/>
        </w:numPr>
        <w:ind w:left="425" w:hanging="425"/>
      </w:pPr>
      <w:r>
        <w:rPr/>
        <w:t xml:space="preserve">Hinton, G.; Vinyals, O.; Dean, J. Distilling the Knowledge in a Neural Network. </w:t>
      </w:r>
      <w:r>
        <w:rPr>
          <w:i/>
        </w:rPr>
        <w:t xml:space="preserve">arXiv</w:t>
      </w:r>
      <w:r>
        <w:rPr/>
        <w:t xml:space="preserve"> </w:t>
      </w:r>
      <w:r>
        <w:rPr>
          <w:b/>
        </w:rPr>
        <w:t xml:space="preserve">2015</w:t>
      </w:r>
      <w:r>
        <w:rPr/>
        <w:t xml:space="preserve">, arXiv:1503.02531.</w:t>
      </w:r>
    </w:p>
    <w:p>
      <w:pPr>
        <w:pStyle w:val="MDPI81references"/>
        <w:numPr>
          <w:ilvl w:val="0"/>
          <w:numId w:val="8"/>
        </w:numPr>
        <w:ind w:left="425" w:hanging="425"/>
      </w:pPr>
      <w:r>
        <w:rPr/>
        <w:t xml:space="preserve">Parasuraman, R.; Riley, V. Humans and Automation: Use, Misuse, Disuse, Abuse. </w:t>
      </w:r>
      <w:r>
        <w:rPr>
          <w:i/>
        </w:rPr>
        <w:t xml:space="preserve">Hum. Factors</w:t>
      </w:r>
      <w:r>
        <w:rPr/>
        <w:t xml:space="preserve"> </w:t>
      </w:r>
      <w:r>
        <w:rPr>
          <w:b/>
        </w:rPr>
        <w:t xml:space="preserve">1997</w:t>
      </w:r>
      <w:r>
        <w:rPr/>
        <w:t xml:space="preserve">, </w:t>
      </w:r>
      <w:r>
        <w:rPr>
          <w:i/>
        </w:rPr>
        <w:t xml:space="preserve">39</w:t>
      </w:r>
      <w:r>
        <w:rPr/>
        <w:t xml:space="preserve">, 230–253.</w:t>
      </w:r>
    </w:p>
    <w:p>
      <w:pPr>
        <w:pStyle w:val="MDPI81references"/>
        <w:numPr>
          <w:ilvl w:val="0"/>
          <w:numId w:val="8"/>
        </w:numPr>
        <w:ind w:left="425" w:hanging="425"/>
      </w:pPr>
      <w:r>
        <w:rPr/>
        <w:t xml:space="preserve">Simon, H.A. A Behavioral Model of Rational Choice. </w:t>
      </w:r>
      <w:r>
        <w:rPr>
          <w:i/>
        </w:rPr>
        <w:t xml:space="preserve">Q. J. Econ.</w:t>
      </w:r>
      <w:r>
        <w:rPr/>
        <w:t xml:space="preserve"> </w:t>
      </w:r>
      <w:r>
        <w:rPr>
          <w:b/>
        </w:rPr>
        <w:t xml:space="preserve">1955</w:t>
      </w:r>
      <w:r>
        <w:rPr/>
        <w:t xml:space="preserve">, </w:t>
      </w:r>
      <w:r>
        <w:rPr>
          <w:i/>
        </w:rPr>
        <w:t xml:space="preserve">69</w:t>
      </w:r>
      <w:r>
        <w:rPr/>
        <w:t xml:space="preserve">, 99–118.</w:t>
      </w:r>
    </w:p>
    <w:p>
      <w:pPr>
        <w:pStyle w:val="MDPI81references"/>
        <w:numPr>
          <w:ilvl w:val="0"/>
          <w:numId w:val="8"/>
        </w:numPr>
        <w:ind w:left="425" w:hanging="425"/>
      </w:pPr>
      <w:r>
        <w:rPr/>
        <w:t xml:space="preserve">Rafailov, R.; Sharma, A.; Mitchell, E.; Ermon, S.; Manning, C.D.; Finn, C. Direct Preference Optimization: Your Language Model Is Secretly a Reward Model. In </w:t>
      </w:r>
      <w:r>
        <w:rPr>
          <w:i/>
        </w:rPr>
        <w:t xml:space="preserve">Advances in Neural Information Processing Systems 36 (NeurIPS 2023)</w:t>
      </w:r>
      <w:r>
        <w:rPr/>
        <w:t xml:space="preserve">; Curran Associates: Red Hook, NY, USA, 2023.</w:t>
      </w:r>
    </w:p>
    <w:p>
      <w:pPr>
        <w:pStyle w:val="MDPI81references"/>
        <w:numPr>
          <w:ilvl w:val="0"/>
          <w:numId w:val="8"/>
        </w:numPr>
        <w:ind w:left="425" w:hanging="425"/>
      </w:pPr>
      <w:r>
        <w:rPr/>
        <w:t xml:space="preserve">Shanahan, M.; McDonell, K.; Reynolds, L. Role Play with Large Language Models. </w:t>
      </w:r>
      <w:r>
        <w:rPr>
          <w:i/>
        </w:rPr>
        <w:t xml:space="preserve">Nature</w:t>
      </w:r>
      <w:r>
        <w:rPr/>
        <w:t xml:space="preserve"> </w:t>
      </w:r>
      <w:r>
        <w:rPr>
          <w:b/>
        </w:rPr>
        <w:t xml:space="preserve">2023</w:t>
      </w:r>
      <w:r>
        <w:rPr/>
        <w:t xml:space="preserve">, </w:t>
      </w:r>
      <w:r>
        <w:rPr>
          <w:i/>
        </w:rPr>
        <w:t xml:space="preserve">623</w:t>
      </w:r>
      <w:r>
        <w:rPr/>
        <w:t xml:space="preserve">, 493–498.</w:t>
      </w:r>
    </w:p>
    <w:p>
      <w:pPr>
        <w:pStyle w:val="MDPI81references"/>
        <w:numPr>
          <w:ilvl w:val="0"/>
          <w:numId w:val="8"/>
        </w:numPr>
        <w:ind w:left="425" w:hanging="425"/>
      </w:pPr>
      <w:r>
        <w:rPr/>
        <w:t xml:space="preserve">Yang, A.; Yang, B.; Zhang, B.; et al. Qwen2.5 Technical Report. </w:t>
      </w:r>
      <w:r>
        <w:rPr>
          <w:i/>
        </w:rPr>
        <w:t xml:space="preserve">arXiv</w:t>
      </w:r>
      <w:r>
        <w:rPr/>
        <w:t xml:space="preserve"> </w:t>
      </w:r>
      <w:r>
        <w:rPr>
          <w:b/>
        </w:rPr>
        <w:t xml:space="preserve">2024</w:t>
      </w:r>
      <w:r>
        <w:rPr/>
        <w:t xml:space="preserve">, arXiv:2412.15115.</w:t>
      </w:r>
    </w:p>
    <w:p>
      <w:pPr>
        <w:pStyle w:val="MDPI81references"/>
        <w:numPr>
          <w:ilvl w:val="0"/>
          <w:numId w:val="8"/>
        </w:numPr>
        <w:ind w:left="425" w:hanging="425"/>
      </w:pPr>
      <w:r>
        <w:rPr/>
        <w:t xml:space="preserve">Allal, L.B.; Lozhkov, A.; Bakouch, E.; et al. SmolLM2: When Smol Goes Big—Data-Centric Training of a Small Language Model. </w:t>
      </w:r>
      <w:r>
        <w:rPr>
          <w:i/>
        </w:rPr>
        <w:t xml:space="preserve">arXiv</w:t>
      </w:r>
      <w:r>
        <w:rPr/>
        <w:t xml:space="preserve"> </w:t>
      </w:r>
      <w:r>
        <w:rPr>
          <w:b/>
        </w:rPr>
        <w:t xml:space="preserve">2025</w:t>
      </w:r>
      <w:r>
        <w:rPr/>
        <w:t xml:space="preserve">, arXiv:2502.02737.</w:t>
      </w:r>
    </w:p>
    <w:p>
      <w:pPr>
        <w:pStyle w:val="MDPI81references"/>
        <w:numPr>
          <w:ilvl w:val="0"/>
          <w:numId w:val="8"/>
        </w:numPr>
        <w:ind w:left="425" w:hanging="425"/>
      </w:pPr>
      <w:r>
        <w:rPr/>
        <w:t xml:space="preserve">Grattafiori, A.; Dubey, A.; Jauhri, A.; et al. The Llama 3 Herd of Models. </w:t>
      </w:r>
      <w:r>
        <w:rPr>
          <w:i/>
        </w:rPr>
        <w:t xml:space="preserve">arXiv</w:t>
      </w:r>
      <w:r>
        <w:rPr/>
        <w:t xml:space="preserve"> </w:t>
      </w:r>
      <w:r>
        <w:rPr>
          <w:b/>
        </w:rPr>
        <w:t xml:space="preserve">2024</w:t>
      </w:r>
      <w:r>
        <w:rPr/>
        <w:t xml:space="preserve">, arXiv:2407.21783.</w:t>
      </w:r>
    </w:p>
    <w:p>
      <w:pPr>
        <w:pStyle w:val="MDPI81references"/>
        <w:numPr>
          <w:ilvl w:val="0"/>
          <w:numId w:val="8"/>
        </w:numPr>
        <w:ind w:left="425" w:hanging="425"/>
      </w:pPr>
      <w:r>
        <w:rPr/>
        <w:t xml:space="preserve">Wolf, T.; Debut, L.; Sanh, V.; et al. Transformers: State-of-the-Art Natural Language Processing. In Proceedings of the 2020 Conference on Empirical Methods in Natural Language Processing: System Demonstrations, Online, 16–20 November 2020; pp. 38–45.</w:t>
      </w:r>
    </w:p>
    <w:p>
      <w:pPr>
        <w:pStyle w:val="MDPI81references"/>
        <w:numPr>
          <w:ilvl w:val="0"/>
          <w:numId w:val="8"/>
        </w:numPr>
        <w:ind w:left="425" w:hanging="425"/>
      </w:pPr>
      <w:r>
        <w:rPr/>
        <w:t xml:space="preserve">Gerganov, G. llama.cpp: LLM Inference in C/C++. Computer Software, 2023. Available online: https://github.com/ggml-org/llama.cpp.</w:t>
      </w:r>
    </w:p>
    <w:p>
      <w:pPr>
        <w:pStyle w:val="MDPI81references"/>
        <w:numPr>
          <w:ilvl w:val="0"/>
          <w:numId w:val="8"/>
        </w:numPr>
        <w:ind w:left="425" w:hanging="425"/>
      </w:pPr>
      <w:r>
        <w:rPr>
          <w:color w:val="0000FF"/>
        </w:rPr>
        <w:t xml:space="preserve">White, H. Maximum Likelihood Estimation of Misspecified Models. </w:t>
      </w:r>
      <w:r>
        <w:rPr>
          <w:i/>
          <w:color w:val="0000FF"/>
        </w:rPr>
        <w:t>Econometrica</w:t>
      </w:r>
      <w:r>
        <w:rPr>
          <w:color w:val="0000FF"/>
        </w:rPr>
        <w:t xml:space="preserve"> </w:t>
      </w:r>
      <w:r>
        <w:rPr>
          <w:b/>
          <w:color w:val="0000FF"/>
        </w:rPr>
        <w:t>1982</w:t>
      </w:r>
      <w:r>
        <w:rPr>
          <w:color w:val="0000FF"/>
        </w:rPr>
        <w:t xml:space="preserve">, </w:t>
      </w:r>
      <w:r>
        <w:rPr>
          <w:i/>
          <w:color w:val="0000FF"/>
        </w:rPr>
        <w:t>50</w:t>
      </w:r>
      <w:r>
        <w:rPr>
          <w:color w:val="0000FF"/>
        </w:rPr>
        <w:t>, 1–25.</w:t>
      </w:r>
    </w:p>
    <w:p>
      <w:pPr>
        <w:pStyle w:val="MDPI81references"/>
        <w:numPr>
          <w:ilvl w:val="0"/>
          <w:numId w:val="8"/>
        </w:numPr>
        <w:ind w:left="425" w:hanging="425"/>
      </w:pPr>
      <w:r>
        <w:rPr>
          <w:color w:val="0000FF"/>
        </w:rPr>
        <w:t xml:space="preserve">He, P.; Liu, X.; Gao, J.; Chen, W. DeBERTa: Decoding-Enhanced BERT with Disentangled Attention. In Proceedings of the International Conference on Learning Representations (ICLR), </w:t>
      </w:r>
      <w:r>
        <w:rPr>
          <w:b/>
          <w:color w:val="0000FF"/>
        </w:rPr>
        <w:t>2021</w:t>
      </w:r>
      <w:r>
        <w:rPr>
          <w:color w:val="0000FF"/>
        </w:rPr>
        <w:t>.</w:t>
      </w:r>
    </w:p>
    <w:p>
      <w:pPr>
        <w:pStyle w:val="MDPI81references"/>
        <w:numPr>
          <w:ilvl w:val="0"/>
          <w:numId w:val="8"/>
        </w:numPr>
        <w:ind w:left="425" w:hanging="425"/>
      </w:pPr>
      <w:r>
        <w:rPr>
          <w:color w:val="0000FF"/>
        </w:rPr>
        <w:t>Williams, A.; Nangia, N.; Bowman, S. A Broad-Coverage Challenge Corpus for Sentence Understanding through Inference. In Proceedings of NAACL-HLT 2018, New Orleans, LA, USA, 1–6 June 2018; pp. 1112–1122.</w:t>
      </w:r>
    </w:p>
    <w:p>
      <w:pPr>
        <w:pStyle w:val="MDPI81references"/>
        <w:numPr>
          <w:ilvl w:val="0"/>
          <w:numId w:val="8"/>
        </w:numPr>
        <w:ind w:left="425" w:hanging="425"/>
      </w:pPr>
      <w:r>
        <w:rPr>
          <w:color w:val="0000FF"/>
        </w:rPr>
        <w:t xml:space="preserve">Gneiting, T.; Raftery, A.E. Strictly Proper Scoring Rules, Prediction, and Estimation. </w:t>
      </w:r>
      <w:r>
        <w:rPr>
          <w:i/>
          <w:color w:val="0000FF"/>
        </w:rPr>
        <w:t>J. Am. Stat. Assoc.</w:t>
      </w:r>
      <w:r>
        <w:rPr>
          <w:color w:val="0000FF"/>
        </w:rPr>
        <w:t xml:space="preserve"> </w:t>
      </w:r>
      <w:r>
        <w:rPr>
          <w:b/>
          <w:color w:val="0000FF"/>
        </w:rPr>
        <w:t>2007</w:t>
      </w:r>
      <w:r>
        <w:rPr>
          <w:color w:val="0000FF"/>
        </w:rPr>
        <w:t xml:space="preserve">, </w:t>
      </w:r>
      <w:r>
        <w:rPr>
          <w:i/>
          <w:color w:val="0000FF"/>
        </w:rPr>
        <w:t>102</w:t>
      </w:r>
      <w:r>
        <w:rPr>
          <w:color w:val="0000FF"/>
        </w:rPr>
        <w:t>, 359–378.</w:t>
      </w:r>
    </w:p>
    <w:p>
      <w:pPr>
        <w:pStyle w:val="MDPI81references"/>
        <w:numPr>
          <w:ilvl w:val="0"/>
          <w:numId w:val="8"/>
        </w:numPr>
        <w:ind w:left="425" w:hanging="425"/>
      </w:pPr>
      <w:r>
        <w:rPr>
          <w:color w:val="0000FF"/>
        </w:rPr>
        <w:t>Renze, M.; Guven, E. The Effect of Sampling Temperature on Problem Solving in Large Language Models. In Findings of the Association for Computational Linguistics: EMNLP 2024, Miami, FL, USA, 12–16 November 2024; pp. 7346–7356.</w:t>
      </w:r>
    </w:p>
    <w:p>
      <w:pPr>
        <w:pStyle w:val="MDPI81references"/>
        <w:numPr>
          <w:ilvl w:val="0"/>
          <w:numId w:val="8"/>
        </w:numPr>
        <w:ind w:left="425" w:hanging="425"/>
      </w:pPr>
      <w:r>
        <w:rPr>
          <w:color w:val="0000FF"/>
        </w:rPr>
        <w:t xml:space="preserve">Xu, J.; Liu, X.; Yan, J.; Cai, D.; Li, H.; Li, J. Learning to Break the Loop: Analyzing and Mitigating Repetitions for Neural Text Generation. In </w:t>
      </w:r>
      <w:r>
        <w:rPr>
          <w:i/>
          <w:color w:val="0000FF"/>
        </w:rPr>
        <w:t>Advances in Neural Information Processing Systems 35 (NeurIPS 2022)</w:t>
      </w:r>
      <w:r>
        <w:rPr>
          <w:color w:val="0000FF"/>
        </w:rPr>
        <w:t>; Curran Associates: Red Hook, NY, USA, 2022.</w:t>
      </w:r>
    </w:p>
    <w:p>
      <w:pPr>
        <w:pStyle w:val="MDPI81references"/>
        <w:numPr>
          <w:ilvl w:val="0"/>
          <w:numId w:val="8"/>
        </w:numPr>
        <w:ind w:left="425" w:hanging="425"/>
      </w:pPr>
      <w:r>
        <w:rPr>
          <w:color w:val="0000FF"/>
        </w:rPr>
        <w:t>Xie, J.; Chen, A.S.; Lee, Y.; Mitchell, E.; Finn, C. Calibrating Language Models with Adaptive Temperature Scaling. In Proceedings of the 2024 Conference on Empirical Methods in Natural Language Processing (EMNLP), Miami, FL, USA, 12–16 November 2024.</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Entropy</w:t>
    </w:r>
    <w:r>
      <w:rPr>
        <w:iCs/>
        <w:sz w:val="16"/>
        <w:szCs w:val="16"/>
      </w:rPr>
      <w:t xml:space="preserve"> </w:t>
    </w:r>
    <w:r>
      <w:rPr>
        <w:b/>
        <w:bCs/>
        <w:iCs/>
        <w:sz w:val="16"/>
        <w:szCs w:val="16"/>
      </w:rPr>
      <w:t>2026</w:t>
    </w:r>
    <w:r>
      <w:rPr>
        <w:bCs/>
        <w:iCs/>
        <w:sz w:val="16"/>
        <w:szCs w:val="16"/>
      </w:rPr>
      <w:t>,</w:t>
    </w:r>
    <w:r>
      <w:rPr>
        <w:bCs/>
        <w:i/>
        <w:iCs/>
        <w:sz w:val="16"/>
        <w:szCs w:val="16"/>
      </w:rPr>
      <w:t xml:space="preserve"> 28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Entropy </w:t>
    </w:r>
    <w:r>
      <w:rPr>
        <w:b/>
        <w:sz w:val="16"/>
      </w:rPr>
      <w:t>2026</w:t>
    </w:r>
    <w:r>
      <w:rPr>
        <w:sz w:val="16"/>
      </w:rPr>
      <w:t>,</w:t>
    </w:r>
    <w:r>
      <w:rPr>
        <w:i/>
        <w:sz w:val="16"/>
      </w:rPr>
      <w:t xml:space="preserve"> 28</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pBdr>
              <w:bottom w:val="nil"/>
            </w:pBdr>
            <w:jc w:val="start"/>
            <w:rPr>
              <w:rFonts w:eastAsia="等线"/>
              <w:b/>
              <w:bCs/>
            </w:rPr>
          </w:pPr>
          <w:r>
            <w:rPr/>
            <w:drawing>
              <wp:inline distT="0" distB="0" distL="0" distR="0">
                <wp:extent cx="12198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19835" cy="431800"/>
                        </a:xfrm>
                        <a:prstGeom prst="rect">
                          <a:avLst/>
                        </a:prstGeom>
                      </pic:spPr>
                    </pic:pic>
                  </a:graphicData>
                </a:graphic>
              </wp:inline>
            </w:drawing>
          </w:r>
        </w:p>
      </w:tc>
      <w:tc>
        <w:tcPr>
          <w:tcW w:w="4536"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34e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234e7"/>
    <w:rPr>
      <w:rFonts w:ascii="Palatino Linotype" w:hAnsi="Palatino Linotype"/>
      <w:color w:val="000000"/>
      <w:szCs w:val="18"/>
    </w:rPr>
  </w:style>
  <w:style w:type="character" w:styleId="HeaderChar" w:customStyle="1">
    <w:name w:val="Header Char"/>
    <w:link w:val="Header"/>
    <w:uiPriority w:val="99"/>
    <w:qFormat/>
    <w:rsid w:val="008234e7"/>
    <w:rPr>
      <w:rFonts w:ascii="Palatino Linotype" w:hAnsi="Palatino Linotype"/>
      <w:color w:val="000000"/>
      <w:szCs w:val="18"/>
    </w:rPr>
  </w:style>
  <w:style w:type="character" w:styleId="BalloonTextChar" w:customStyle="1">
    <w:name w:val="Balloon Text Char"/>
    <w:link w:val="BalloonText"/>
    <w:uiPriority w:val="99"/>
    <w:qFormat/>
    <w:rsid w:val="008234e7"/>
    <w:rPr>
      <w:rFonts w:ascii="Palatino Linotype" w:hAnsi="Palatino Linotype" w:cs="Tahoma"/>
      <w:color w:val="000000"/>
      <w:szCs w:val="18"/>
    </w:rPr>
  </w:style>
  <w:style w:type="character" w:styleId="LineNumber">
    <w:name w:val="Line Number"/>
    <w:uiPriority w:val="99"/>
    <w:rsid w:val="00493c42"/>
    <w:rPr>
      <w:rFonts w:ascii="Palatino Linotype" w:hAnsi="Palatino Linotype"/>
      <w:sz w:val="16"/>
    </w:rPr>
  </w:style>
  <w:style w:type="character" w:styleId="Hyperlink">
    <w:name w:val="Hyperlink"/>
    <w:uiPriority w:val="99"/>
    <w:rsid w:val="008234e7"/>
    <w:rPr>
      <w:color w:val="0000FF"/>
      <w:u w:val="single"/>
    </w:rPr>
  </w:style>
  <w:style w:type="character" w:styleId="UnresolvedMention">
    <w:name w:val="Unresolved Mention"/>
    <w:uiPriority w:val="99"/>
    <w:semiHidden/>
    <w:unhideWhenUsed/>
    <w:qFormat/>
    <w:rsid w:val="002b4ff1"/>
    <w:rPr>
      <w:color w:val="605E5C"/>
      <w:shd w:fill="E1DFDD" w:val="clear"/>
    </w:rPr>
  </w:style>
  <w:style w:type="character" w:styleId="apple-converted-space" w:customStyle="1">
    <w:name w:val="apple-converted-space"/>
    <w:qFormat/>
    <w:rsid w:val="008234e7"/>
    <w:rPr/>
  </w:style>
  <w:style w:type="character" w:styleId="BodyTextChar" w:customStyle="1">
    <w:name w:val="Body Text Char"/>
    <w:qFormat/>
    <w:rsid w:val="008234e7"/>
    <w:rPr>
      <w:rFonts w:ascii="Palatino Linotype" w:hAnsi="Palatino Linotype"/>
      <w:color w:val="000000"/>
      <w:sz w:val="24"/>
      <w:lang w:eastAsia="de-DE"/>
    </w:rPr>
  </w:style>
  <w:style w:type="character" w:styleId="annotationreference">
    <w:name w:val="annotation reference"/>
    <w:qFormat/>
    <w:rsid w:val="008234e7"/>
    <w:rPr>
      <w:sz w:val="21"/>
      <w:szCs w:val="21"/>
    </w:rPr>
  </w:style>
  <w:style w:type="character" w:styleId="CommentTextChar" w:customStyle="1">
    <w:name w:val="Comment Text Char"/>
    <w:link w:val="AnnotationText"/>
    <w:qFormat/>
    <w:rsid w:val="008234e7"/>
    <w:rPr>
      <w:rFonts w:ascii="Palatino Linotype" w:hAnsi="Palatino Linotype"/>
      <w:color w:val="000000"/>
    </w:rPr>
  </w:style>
  <w:style w:type="character" w:styleId="CommentSubjectChar" w:customStyle="1">
    <w:name w:val="Comment Subject Char"/>
    <w:link w:val="annotationsubject"/>
    <w:qFormat/>
    <w:rsid w:val="008234e7"/>
    <w:rPr>
      <w:rFonts w:ascii="Palatino Linotype" w:hAnsi="Palatino Linotype"/>
      <w:b/>
      <w:bCs/>
      <w:color w:val="000000"/>
    </w:rPr>
  </w:style>
  <w:style w:type="character" w:styleId="EndnoteCharacters">
    <w:name w:val="Endnote Characters"/>
    <w:qFormat/>
    <w:rsid w:val="008234e7"/>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8234e7"/>
    <w:rPr>
      <w:rFonts w:ascii="Palatino Linotype" w:hAnsi="Palatino Linotype"/>
      <w:color w:val="000000"/>
    </w:rPr>
  </w:style>
  <w:style w:type="character" w:styleId="FollowedHyperlink">
    <w:name w:val="FollowedHyperlink"/>
    <w:rsid w:val="008234e7"/>
    <w:rPr>
      <w:color w:val="954F72"/>
      <w:u w:val="single"/>
    </w:rPr>
  </w:style>
  <w:style w:type="character" w:styleId="FootnoteTextChar" w:customStyle="1">
    <w:name w:val="Footnote Text Char"/>
    <w:link w:val="FootnoteText"/>
    <w:semiHidden/>
    <w:qFormat/>
    <w:rsid w:val="008234e7"/>
    <w:rPr>
      <w:rFonts w:ascii="Palatino Linotype" w:hAnsi="Palatino Linotype"/>
      <w:color w:val="000000"/>
    </w:rPr>
  </w:style>
  <w:style w:type="character" w:styleId="PageNumber">
    <w:name w:val="Page Number"/>
    <w:rsid w:val="008234e7"/>
    <w:rPr/>
  </w:style>
  <w:style w:type="character" w:styleId="PlaceholderText">
    <w:name w:val="Placeholder Text"/>
    <w:uiPriority w:val="99"/>
    <w:semiHidden/>
    <w:qFormat/>
    <w:rsid w:val="008234e7"/>
    <w:rPr>
      <w:color w:val="808080"/>
    </w:rPr>
  </w:style>
  <w:style w:type="character" w:styleId="Strong">
    <w:name w:val="Strong"/>
    <w:basedOn w:val="DefaultParagraphFont"/>
    <w:uiPriority w:val="22"/>
    <w:qFormat/>
    <w:rsid w:val="00a734e2"/>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link w:val="BodyTextChar"/>
    <w:rsid w:val="008234e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MDPI11articletype" w:customStyle="1">
    <w:name w:val="MDPI_1.1_article_type"/>
    <w:next w:val="Normal"/>
    <w:qFormat/>
    <w:rsid w:val="008234e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234e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234e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234e7"/>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8234e7"/>
    <w:pPr>
      <w:widowControl/>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234e7"/>
    <w:pPr>
      <w:widowControl/>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234e7"/>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234e7"/>
    <w:pPr>
      <w:widowControl/>
      <w:pBdr>
        <w:bottom w:val="single" w:sz="6" w:space="1" w:color="000000"/>
      </w:pBdr>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234e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234e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234e7"/>
    <w:pPr>
      <w:ind w:hanging="0"/>
    </w:pPr>
    <w:rPr/>
  </w:style>
  <w:style w:type="paragraph" w:styleId="MDPI31text" w:customStyle="1">
    <w:name w:val="MDPI_3.1_text"/>
    <w:qFormat/>
    <w:rsid w:val="00d504d2"/>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234e7"/>
    <w:pPr>
      <w:widowControl/>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234e7"/>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234e7"/>
    <w:pPr>
      <w:widowControl/>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a4f6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a4f6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234e7"/>
    <w:pPr>
      <w:widowControl/>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234e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234e7"/>
    <w:pPr>
      <w:widowControl/>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40cc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234e7"/>
    <w:pPr>
      <w:widowControl/>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234e7"/>
    <w:pPr>
      <w:widowControl/>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234e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8234e7"/>
    <w:pPr>
      <w:widowControl/>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234e7"/>
    <w:pPr>
      <w:widowControl/>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234e7"/>
    <w:pPr>
      <w:widowControl/>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c453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234e7"/>
    <w:pPr/>
    <w:rPr>
      <w:rFonts w:cs="Tahoma"/>
      <w:szCs w:val="18"/>
    </w:rPr>
  </w:style>
  <w:style w:type="paragraph" w:styleId="MDPI34textspacebefore" w:customStyle="1">
    <w:name w:val="MDPI_3.4_text_space_before"/>
    <w:qFormat/>
    <w:rsid w:val="008234e7"/>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8234e7"/>
    <w:pPr>
      <w:widowControl/>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234e7"/>
    <w:pPr>
      <w:widowControl/>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8234e7"/>
    <w:pPr>
      <w:widowControl/>
      <w:bidi w:val="0"/>
      <w:snapToGrid w:val="false"/>
      <w:spacing w:lineRule="atLeast" w:line="240" w:before="120" w:after="120"/>
      <w:ind w:end="113"/>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234e7"/>
    <w:pPr>
      <w:widowControl/>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234e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33af0"/>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234e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234e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a4212"/>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234e7"/>
    <w:pPr/>
    <w:rPr/>
  </w:style>
  <w:style w:type="paragraph" w:styleId="AnnotationText">
    <w:name w:val="Annotation Text"/>
    <w:basedOn w:val="Normal"/>
    <w:link w:val="CommentTextChar"/>
    <w:rsid w:val="008234e7"/>
    <w:pPr/>
    <w:rPr/>
  </w:style>
  <w:style w:type="paragraph" w:styleId="annotationsubject">
    <w:name w:val="annotation subject"/>
    <w:basedOn w:val="AnnotationText"/>
    <w:next w:val="AnnotationText"/>
    <w:link w:val="CommentSubjectChar"/>
    <w:qFormat/>
    <w:rsid w:val="008234e7"/>
    <w:pPr/>
    <w:rPr>
      <w:b/>
      <w:bCs/>
    </w:rPr>
  </w:style>
  <w:style w:type="paragraph" w:styleId="EndnoteText">
    <w:name w:val="Endnote Text"/>
    <w:basedOn w:val="Normal"/>
    <w:link w:val="EndnoteTextChar"/>
    <w:semiHidden/>
    <w:unhideWhenUsed/>
    <w:rsid w:val="008234e7"/>
    <w:pPr>
      <w:spacing w:lineRule="auto" w:line="240"/>
    </w:pPr>
    <w:rPr/>
  </w:style>
  <w:style w:type="paragraph" w:styleId="FootnoteText">
    <w:name w:val="Footnote Text"/>
    <w:basedOn w:val="Normal"/>
    <w:link w:val="FootnoteTextChar"/>
    <w:semiHidden/>
    <w:unhideWhenUsed/>
    <w:rsid w:val="008234e7"/>
    <w:pPr>
      <w:spacing w:lineRule="auto" w:line="240"/>
    </w:pPr>
    <w:rPr/>
  </w:style>
  <w:style w:type="paragraph" w:styleId="NormalWeb">
    <w:name w:val="Normal (Web)"/>
    <w:basedOn w:val="Normal"/>
    <w:uiPriority w:val="99"/>
    <w:qFormat/>
    <w:rsid w:val="008234e7"/>
    <w:pPr/>
    <w:rPr>
      <w:szCs w:val="24"/>
    </w:rPr>
  </w:style>
  <w:style w:type="paragraph" w:styleId="MsoFootnoteText" w:customStyle="1">
    <w:name w:val="MsoFootnoteText"/>
    <w:basedOn w:val="NormalWeb"/>
    <w:qFormat/>
    <w:rsid w:val="008234e7"/>
    <w:pPr/>
    <w:rPr>
      <w:rFonts w:ascii="Times New Roman" w:hAnsi="Times New Roman"/>
    </w:rPr>
  </w:style>
  <w:style w:type="paragraph" w:styleId="MDPI71footnotes" w:customStyle="1">
    <w:name w:val="MDPI_7.1_footnotes"/>
    <w:qFormat/>
    <w:rsid w:val="00a16c1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b1b47"/>
    <w:pPr>
      <w:snapToGrid w:val="0"/>
      <w:spacing w:line="300" w:lineRule="exact"/>
      <w:jc w:val="center"/>
    </w:pPr>
    <w:rPr>
      <w:lang w:val="de-DE" w:eastAsia="de-DE"/>
    </w:rPr>
    <w:tblPr>
      <w:tblBorders>
        <w:bottom w:val="single" w:color="auto" w:sz="8" w:space="0"/>
      </w:tblBorders>
    </w:tblPr>
    <w:tcPr>
      <w:vAlign w:val="center"/>
    </w:tcPr>
    <w:tblStylePr w:type="firstRow">
      <w:pPr>
        <w:wordWrap/>
        <w:snapToGrid w:val="0"/>
        <w:spacing w:beforeLines="0" w:afterLines="0" w:line="300" w:lineRule="exact"/>
        <w:ind w:right="0" w:rightChars="0"/>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234e7"/>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234e7"/>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2a4eb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234e7"/>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201" Type="http://schemas.openxmlformats.org/officeDocument/2006/relationships/image" Target="media/fig1.png"/><Relationship Id="rId202" Type="http://schemas.openxmlformats.org/officeDocument/2006/relationships/image" Target="media/fig2.png"/><Relationship Id="rId203" Type="http://schemas.openxmlformats.org/officeDocument/2006/relationships/image" Target="media/fig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entropy-template.dot</Template>
  <TotalTime>0</TotalTime>
  <Application>LibreOffice/24.2.7.2$Linux_X86_64 LibreOffice_project/420$Build-2</Application>
  <AppVersion>15.0000</AppVersion>
  <Pages>2</Pages>
  <Words>2281</Words>
  <Characters>13004</Characters>
  <CharactersWithSpaces>15255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