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8"/>
          <w:szCs w:val="28"/>
        </w:rPr>
        <w:t xml:space="preserve">Measuring Without a Gold Standard: Correcting LLM-Coded Outcomes in Difference-in-Differences Designs</w:t>
      </w:r>
    </w:p>
    <w:p>
      <w:pPr>
        <w:pStyle w:val="Heading1"/>
        <w:keepNext/>
        <w:spacing w:after="0" w:before="240" w:line="480" w:lineRule="auto"/>
        <w:jc w:val="center"/>
      </w:pPr>
      <w:r>
        <w:rPr>
          <w:rFonts w:ascii="Times New Roman" w:cs="Times New Roman" w:eastAsia="Times New Roman" w:hAnsi="Times New Roman"/>
          <w:b/>
          <w:bCs/>
        </w:rPr>
        <w:t xml:space="preserve">Abstract</w:t>
      </w:r>
    </w:p>
    <w:p>
      <w:pPr>
        <w:spacing w:after="0" w:before="0" w:line="480" w:lineRule="auto"/>
      </w:pPr>
      <w:r>
        <w:rPr>
          <w:rFonts w:ascii="Times New Roman" w:cs="Times New Roman" w:eastAsia="Times New Roman" w:hAnsi="Times New Roman"/>
        </w:rPr>
        <w:t xml:space="preserve">Researchers increasingly use large language models (LLMs) to turn text into outcome variables and then estimate treatment effects on those variables. Validating such measures usually requires human labels, which are costly and themselves imperfect. We show that the design of a difference-in-differences (DiD) study can stand in for a gold standard. When an outcome is misclassified at rates that do not depend on treatment or period, the DiD on the LLM-coded outcome equals the true DiD multiplied by the classifier’s Youden index; and when two or more classifiers with conditionally independent errors are available, the four cells of the design identify each classifier’s sensitivity and specificity, the cell prevalences, and hence the corrected DiD, without any human labels. With three classifiers, the model is over-identified, so the assumption that errors do not vary with treatment can be tested. We apply the approach to 17,476 Amazon reviews in a pre-registered study of the 2016 ban on incentivized reviews, in which LLM-coded measures of defect reports, negative sentiment, and performance praise showed no effect of the ban. Combining the LLM coding with a keyword rule, a supervised sentiment model, and a zero-shot classifier, we estimate that the LLM’s Youden index is 0.81 to 0.91, that its errors do not vary across the cells of the design, and that the corrected effects remain indistinguishable from zero. The null results are therefore not an artifact of measurement error, provided the method’s assumptions hold. A validation on 191 political posts that have human labels marks the limits of the approach: there, the gold-standard-free estimates did not match the human-based ones, and the specification test detected the failure for one of two outcomes. The procedure is a low-cost audit for concrete constructs measured by classifiers with different error mechanisms, not a substitute for human validation of abstract ones.</w:t>
      </w:r>
    </w:p>
    <w:p>
      <w:pPr>
        <w:spacing w:after="0" w:before="0" w:line="480" w:lineRule="auto"/>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Large language models, measurement error, misclassification, latent class models, difference-in-differences, online reviews</w:t>
      </w:r>
    </w:p>
    <w:p>
      <w:pPr>
        <w:pStyle w:val="Heading1"/>
        <w:keepNext/>
        <w:spacing w:after="0" w:before="240" w:line="480" w:lineRule="auto"/>
        <w:jc w:val="center"/>
      </w:pPr>
      <w:r>
        <w:rPr>
          <w:rFonts w:ascii="Times New Roman" w:cs="Times New Roman" w:eastAsia="Times New Roman" w:hAnsi="Times New Roman"/>
          <w:b/>
          <w:bCs/>
        </w:rPr>
        <w:t xml:space="preserve">Introduction</w:t>
      </w:r>
    </w:p>
    <w:p>
      <w:pPr>
        <w:spacing w:after="0" w:before="0" w:line="480" w:lineRule="auto"/>
        <w:ind w:firstLine="720"/>
      </w:pPr>
      <w:r>
        <w:rPr>
          <w:rFonts w:ascii="Times New Roman" w:cs="Times New Roman" w:eastAsia="Times New Roman" w:hAnsi="Times New Roman"/>
        </w:rPr>
        <w:t xml:space="preserve">Text has become one of the main sources of outcome variables in information systems and marketing research. Reviews, posts, and messages are coded into categories such as sentiment, complaint type, or product attributes, and these codes then serve as dependent variables in event studies and difference-in-differences (DiD) designs. Large language models (LLMs) have made such coding cheap and fast, and they often match or exceed crowd workers in agreement with expert coders (Gilardi et al. 2023; Ziems et al. 2024). The resulting measures are nonetheless imperfect, and a misclassified outcome can bias the very estimates that the design is meant to identify.</w:t>
      </w:r>
    </w:p>
    <w:p>
      <w:pPr>
        <w:spacing w:after="0" w:before="0" w:line="480" w:lineRule="auto"/>
        <w:ind w:firstLine="720"/>
      </w:pPr>
      <w:r>
        <w:rPr>
          <w:rFonts w:ascii="Times New Roman" w:cs="Times New Roman" w:eastAsia="Times New Roman" w:hAnsi="Times New Roman"/>
        </w:rPr>
        <w:t xml:space="preserve">The standard remedy is validation against human labels. Researchers report agreement between the model and human coders, and recent methods use a human-labelled subsample to correct downstream estimates (Angelopoulos et al. 2023; Egami et al. 2023). This remedy has two costs. Human coding of enough items to support correction is expensive, often more expensive than the LLM coding it is meant to check. And human labels are themselves noisy: coders disagree, and adjudication can introduce the researcher’s expectations. A validation strategy that does not depend on human labels would therefore be useful, provided that it rests on assumptions that can be stated and, ideally, tested.</w:t>
      </w:r>
    </w:p>
    <w:p>
      <w:pPr>
        <w:spacing w:after="0" w:before="0" w:line="480" w:lineRule="auto"/>
        <w:ind w:firstLine="720"/>
      </w:pPr>
      <w:r>
        <w:rPr>
          <w:rFonts w:ascii="Times New Roman" w:cs="Times New Roman" w:eastAsia="Times New Roman" w:hAnsi="Times New Roman"/>
        </w:rPr>
        <w:t xml:space="preserve">This paper develops such a strategy for the common case in which an LLM-coded binary outcome enters a DiD design. We make two observations. The first is a familiar result from the econometrics of misclassified dependent variables (Hausman et al. 1998) restated for DiD: if the classifier’s error rates do not depend on treatment or period, the DiD on the coded outcome equals the true DiD scaled by the classifier’s Youden index, its sensitivity plus specificity minus one. A null result on the coded outcome is then a null result on the true outcome, attenuated by a known factor. The second observation is less familiar. The four cells of a DiD design are populations with different prevalences of the outcome, which is exactly the structure that, in the literature on diagnostic tests, allows the error rates of two or more imperfect tests to be identified without a reference standard (Hui and Walter 1980; Dawid and Skene 1979). If several classifiers with conditionally independent errors are applied to the same texts, the design itself identifies their sensitivities and specificities, the true prevalence in each cell, and therefore the corrected DiD. With three classifiers, the model is over-identified, so the key assumption that error rates do not vary with treatment can be tested.</w:t>
      </w:r>
    </w:p>
    <w:p>
      <w:pPr>
        <w:spacing w:after="0" w:before="0" w:line="480" w:lineRule="auto"/>
        <w:ind w:firstLine="720"/>
      </w:pPr>
      <w:r>
        <w:rPr>
          <w:rFonts w:ascii="Times New Roman" w:cs="Times New Roman" w:eastAsia="Times New Roman" w:hAnsi="Times New Roman"/>
        </w:rPr>
        <w:t xml:space="preserve">We apply this approach to a pre-registered study of Amazon’s October 2016 ban on incentivized reviews. In the matched sample, a 10-percentage-point higher pre-ban share of incentivized reviews predicts a 0.18-star larger decline in ratings after the ban, but LLM-coded measures of review content (defect reports, negative sentiment, and praise for performance) show no detectable change. Were these nulls genuine, or did misclassification by the LLM hide an effect? Without any human coding, we combine the LLM labels with three classifiers whose errors arise from different mechanisms: a keyword rule, a supervised sentiment model, and a zero-shot natural-language-inference model. The LLM’s Youden index is 0.81 for defect reports and 0.91 for both negative sentiment and performance praise, its accuracy does not vary across the cells of the design, and the classifiers’ errors show no detectable dependence. The corrected effects remain indistinguishable from zero.</w:t>
      </w:r>
    </w:p>
    <w:p>
      <w:pPr>
        <w:spacing w:after="0" w:before="0" w:line="480" w:lineRule="auto"/>
        <w:ind w:firstLine="720"/>
      </w:pPr>
      <w:r>
        <w:rPr>
          <w:rFonts w:ascii="Times New Roman" w:cs="Times New Roman" w:eastAsia="Times New Roman" w:hAnsi="Times New Roman"/>
        </w:rPr>
        <w:t xml:space="preserve">We then ask the question a reader should ask first: do the gold-standard-free estimates agree with human labels when human labels exist? We apply the same estimator to 191 posts from a separate study of political communication, in which every post was labelled by human coders. There, they do not. The latent-class estimates of the LLM’s error rates and of the prevalence of the outcome differ substantially from the human-based values, and the specification test flags the failure for one of the two outcomes but not for the other. We attribute the failure to a mismatch between the construct the classifiers share and the context-dependent construct of the human codebook, and we use it to delimit when the approach can be trusted.</w:t>
      </w:r>
    </w:p>
    <w:p>
      <w:pPr>
        <w:spacing w:after="0" w:before="0" w:line="480" w:lineRule="auto"/>
        <w:ind w:firstLine="720"/>
      </w:pPr>
      <w:r>
        <w:rPr>
          <w:rFonts w:ascii="Times New Roman" w:cs="Times New Roman" w:eastAsia="Times New Roman" w:hAnsi="Times New Roman"/>
        </w:rPr>
        <w:t xml:space="preserve">The paper makes three contributions. First, it states the conditions under which a DiD on an LLM-coded outcome is attenuated, biased, or uninformative, and it shows that the design’s own structure identifies the attenuation without a gold standard. Second, it provides a procedure that researchers can apply at low cost, together with specification tests and a validation against human labels that shows where the procedure fails. Third, it reports a substantive result on the economics of incentivized reviews: the ban lowered ratings but did not change what reviewers wrote about defects, sentiment, or performance, and this conclusion survives correction for measurement error.</w:t>
      </w:r>
    </w:p>
    <w:p>
      <w:pPr>
        <w:pStyle w:val="Heading1"/>
        <w:keepNext/>
        <w:spacing w:after="0" w:before="240" w:line="480" w:lineRule="auto"/>
        <w:jc w:val="center"/>
      </w:pPr>
      <w:r>
        <w:rPr>
          <w:rFonts w:ascii="Times New Roman" w:cs="Times New Roman" w:eastAsia="Times New Roman" w:hAnsi="Times New Roman"/>
          <w:b/>
          <w:bCs/>
        </w:rPr>
        <w:t xml:space="preserve">Related Literature</w:t>
      </w:r>
    </w:p>
    <w:p>
      <w:pPr>
        <w:spacing w:after="0" w:before="0" w:line="480" w:lineRule="auto"/>
        <w:ind w:firstLine="720"/>
      </w:pPr>
      <w:r>
        <w:rPr>
          <w:rFonts w:ascii="Times New Roman" w:cs="Times New Roman" w:eastAsia="Times New Roman" w:hAnsi="Times New Roman"/>
          <w:i/>
          <w:iCs/>
        </w:rPr>
        <w:t xml:space="preserve">LLMs as annotators.</w:t>
      </w:r>
      <w:r>
        <w:rPr>
          <w:rFonts w:ascii="Times New Roman" w:cs="Times New Roman" w:eastAsia="Times New Roman" w:hAnsi="Times New Roman"/>
        </w:rPr>
        <w:t xml:space="preserve"> A growing body of work evaluates LLMs as replacements for human coders in the social sciences (Gilardi et al. 2023; Ziems et al. 2024). The text-as-data literature has long stressed that automated measures must be validated before they are used in downstream inference (Grimmer and Stewart 2013), and recent methods correct downstream estimates using a randomly drawn subsample with human labels, either by prediction-powered inference (Angelopoulos et al. 2023) or by design-based supervised learning (Egami et al. 2023). These methods treat human labels as the truth. We instead treat every classifier, the LLM included, as an imperfect measurement and use the research design to identify their error rates.</w:t>
      </w:r>
    </w:p>
    <w:p>
      <w:pPr>
        <w:spacing w:after="0" w:before="0" w:line="480" w:lineRule="auto"/>
        <w:ind w:firstLine="720"/>
      </w:pPr>
      <w:r>
        <w:rPr>
          <w:rFonts w:ascii="Times New Roman" w:cs="Times New Roman" w:eastAsia="Times New Roman" w:hAnsi="Times New Roman"/>
          <w:i/>
          <w:iCs/>
        </w:rPr>
        <w:t xml:space="preserve">Misclassification in econometrics and latent class models.</w:t>
      </w:r>
      <w:r>
        <w:rPr>
          <w:rFonts w:ascii="Times New Roman" w:cs="Times New Roman" w:eastAsia="Times New Roman" w:hAnsi="Times New Roman"/>
        </w:rPr>
        <w:t xml:space="preserve"> Misclassification of a binary variable is necessarily correlated with the true value, so its consequences differ from those of classical measurement error (Aigner 1973; Bound et al. 2001). When the misclassified variable is the dependent variable, its conditional mean is a linear function of the true conditional mean with intercept equal to the false-positive rate and slope equal to the Youden index (Hausman et al. 1998). Identification of error rates without a gold standard has a long history in the evaluation of diagnostic tests: with two tests and two populations of different prevalence, and with errors independent given the true status, sensitivities and specificities are identified (Hui and Walter 1980), and with several raters the error rates can be estimated by maximum likelihood (Dawid and Skene 1979). Conditional dependence between tests biases such estimates (Vacek 1985), which is why we rely on classifiers with different error mechanisms and test for dependence. In econometrics, repeated measurements or instruments identify misclassified discrete variables under related conditions (Mahajan 2006; Lewbel 2007; Hu 2008), and when such conditions fail, bounds remain available (Horowitz and Manski 1995).</w:t>
      </w:r>
    </w:p>
    <w:p>
      <w:pPr>
        <w:spacing w:after="0" w:before="0" w:line="480" w:lineRule="auto"/>
        <w:ind w:firstLine="720"/>
      </w:pPr>
      <w:r>
        <w:rPr>
          <w:rFonts w:ascii="Times New Roman" w:cs="Times New Roman" w:eastAsia="Times New Roman" w:hAnsi="Times New Roman"/>
          <w:i/>
          <w:iCs/>
        </w:rPr>
        <w:t xml:space="preserve">Incentivized and manipulated reviews.</w:t>
      </w:r>
      <w:r>
        <w:rPr>
          <w:rFonts w:ascii="Times New Roman" w:cs="Times New Roman" w:eastAsia="Times New Roman" w:hAnsi="Times New Roman"/>
        </w:rPr>
        <w:t xml:space="preserve"> Reviews influence demand (Chevalier and Mayzlin 2006), which gives sellers an incentive to manipulate them. Promotional reviews are more common where the cost of manipulation is low (Mayzlin et al. 2014), review fraud responds to reputational incentives (Luca and Zervas 2016), and a market for fake reviews raises ratings temporarily (He et al. 2022). Incentivized reviews, written in exchange for free or discounted products, are a disclosed and, until October 2016, permitted form of this practice on Amazon. The ban offers a setting in which the composition of reviews changed abruptly and differently across products, which is the variation our DiD exploits.</w:t>
      </w:r>
    </w:p>
    <w:p>
      <w:pPr>
        <w:pStyle w:val="Heading1"/>
        <w:keepNext/>
        <w:spacing w:after="0" w:before="240" w:line="480" w:lineRule="auto"/>
        <w:jc w:val="center"/>
      </w:pPr>
      <w:r>
        <w:rPr>
          <w:rFonts w:ascii="Times New Roman" w:cs="Times New Roman" w:eastAsia="Times New Roman" w:hAnsi="Times New Roman"/>
          <w:b/>
          <w:bCs/>
        </w:rPr>
        <w:t xml:space="preserve">Misclassified Outcomes in a Difference-in-Differences Design</w:t>
      </w:r>
    </w:p>
    <w:p>
      <w:pPr>
        <w:spacing w:after="0" w:before="0" w:line="480" w:lineRule="auto"/>
        <w:ind w:firstLine="720"/>
      </w:pPr>
      <w:r>
        <w:rPr>
          <w:rFonts w:ascii="Times New Roman" w:cs="Times New Roman" w:eastAsia="Times New Roman" w:hAnsi="Times New Roman"/>
        </w:rPr>
        <w:t xml:space="preserve">Let y ∈ {0, 1} be the true outcome of a text (for example, whether a review reports a defect), and let c index the four cells of a DiD design: treated or control, before or after the policy. Let p_c denote the prevalence of y in cell c. A classifier k reports ỹ_k with sensitivity Se_k = P(ỹ_k = 1 | y = 1) and specificity Sp_k = P(ỹ_k = 0 | y = 0). Its Youden index is J_k = Se_k + Sp_k − 1, which is positive for any classifier better than chance.</w:t>
      </w:r>
    </w:p>
    <w:p>
      <w:pPr>
        <w:spacing w:after="0" w:before="0" w:line="480" w:lineRule="auto"/>
        <w:ind w:firstLine="720"/>
      </w:pPr>
      <w:r>
        <w:rPr>
          <w:rFonts w:ascii="Times New Roman" w:cs="Times New Roman" w:eastAsia="Times New Roman" w:hAnsi="Times New Roman"/>
          <w:i/>
          <w:iCs/>
        </w:rPr>
        <w:t xml:space="preserve">Proposition 1 (attenuation).</w:t>
      </w:r>
      <w:r>
        <w:rPr>
          <w:rFonts w:ascii="Times New Roman" w:cs="Times New Roman" w:eastAsia="Times New Roman" w:hAnsi="Times New Roman"/>
        </w:rPr>
        <w:t xml:space="preserve"> If classifier k’s error rates do not depend on the cell, then</w:t>
      </w:r>
    </w:p>
    <w:p>
      <w:pPr>
        <w:spacing w:after="0" w:before="0" w:line="480" w:lineRule="auto"/>
        <w:jc w:val="center"/>
      </w:pPr>
      <w:r>
        <w:rPr>
          <w:rFonts w:ascii="Times New Roman" w:cs="Times New Roman" w:eastAsia="Times New Roman" w:hAnsi="Times New Roman"/>
        </w:rPr>
        <w:t xml:space="preserve">E[ỹ_k | c] = (1 − Sp_k) + J_k · p_c,     (1)</w:t>
      </w:r>
    </w:p>
    <w:p>
      <w:pPr>
        <w:spacing w:after="0" w:before="0" w:line="480" w:lineRule="auto"/>
      </w:pPr>
      <w:r>
        <w:rPr>
          <w:rFonts w:ascii="Times New Roman" w:cs="Times New Roman" w:eastAsia="Times New Roman" w:hAnsi="Times New Roman"/>
        </w:rPr>
        <w:t xml:space="preserve">so the DiD of ỹ_k equals J_k times the DiD of y. Because equation (1) is linear in p_c, the same scaling holds for any linear DiD estimator with unit and period fixed effects. A DiD of zero on the coded outcome thus implies a DiD of zero on the true outcome, and a non-zero DiD on the coded outcome understates the true effect by the factor J_k.</w:t>
      </w:r>
    </w:p>
    <w:p>
      <w:pPr>
        <w:spacing w:after="0" w:before="0" w:line="480" w:lineRule="auto"/>
        <w:ind w:firstLine="720"/>
      </w:pPr>
      <w:r>
        <w:rPr>
          <w:rFonts w:ascii="Times New Roman" w:cs="Times New Roman" w:eastAsia="Times New Roman" w:hAnsi="Times New Roman"/>
          <w:i/>
          <w:iCs/>
        </w:rPr>
        <w:t xml:space="preserve">Proposition 2 (differential misclassification).</w:t>
      </w:r>
      <w:r>
        <w:rPr>
          <w:rFonts w:ascii="Times New Roman" w:cs="Times New Roman" w:eastAsia="Times New Roman" w:hAnsi="Times New Roman"/>
        </w:rPr>
        <w:t xml:space="preserve"> If the error rates vary by cell, the DiD of ỹ_k equals</w:t>
      </w:r>
    </w:p>
    <w:p>
      <w:pPr>
        <w:spacing w:after="0" w:before="0" w:line="480" w:lineRule="auto"/>
        <w:jc w:val="center"/>
      </w:pPr>
      <w:r>
        <w:rPr>
          <w:rFonts w:ascii="Times New Roman" w:cs="Times New Roman" w:eastAsia="Times New Roman" w:hAnsi="Times New Roman"/>
        </w:rPr>
        <w:t xml:space="preserve">DiD[ỹ_k] = DiD[1 − Sp_k(c)] + DiD[J_k(c) · p_c],     (2)</w:t>
      </w:r>
    </w:p>
    <w:p>
      <w:pPr>
        <w:spacing w:after="0" w:before="0" w:line="480" w:lineRule="auto"/>
      </w:pPr>
      <w:r>
        <w:rPr>
          <w:rFonts w:ascii="Times New Roman" w:cs="Times New Roman" w:eastAsia="Times New Roman" w:hAnsi="Times New Roman"/>
        </w:rPr>
        <w:t xml:space="preserve">which can be non-zero when the true DiD is zero, or zero when it is not. This case is plausible when the policy changes the style of the texts, for example their length or vocabulary, in ways that affect the classifier’s accuracy.</w:t>
      </w:r>
    </w:p>
    <w:p>
      <w:pPr>
        <w:spacing w:after="0" w:before="0" w:line="480" w:lineRule="auto"/>
        <w:ind w:firstLine="720"/>
      </w:pPr>
      <w:r>
        <w:rPr>
          <w:rFonts w:ascii="Times New Roman" w:cs="Times New Roman" w:eastAsia="Times New Roman" w:hAnsi="Times New Roman"/>
          <w:i/>
          <w:iCs/>
        </w:rPr>
        <w:t xml:space="preserve">Proposition 3 (identification without a gold standard).</w:t>
      </w:r>
      <w:r>
        <w:rPr>
          <w:rFonts w:ascii="Times New Roman" w:cs="Times New Roman" w:eastAsia="Times New Roman" w:hAnsi="Times New Roman"/>
        </w:rPr>
        <w:t xml:space="preserve"> Suppose K ≥ 2 classifiers have cell-invariant error rates, their errors are independent given y, and the prevalence p_c differs across at least two cells. Then Se_k, Sp_k for every k and p_c for every c are identified from the joint distribution of the classifier outputs within cells (Hui and Walter 1980), and so is the true DiD, p_11 − p_10 − p_01 + p_00. With K = 3 binary classifiers and four cells, the cell-pattern frequencies provide 28 independent moments against 10 parameters, so the model is over-identified. The over-identification permits two tests: whether one classifier’s error rates vary by cell, which addresses Proposition 2, and whether two classifiers’ errors are dependent given y.</w:t>
      </w:r>
    </w:p>
    <w:p>
      <w:pPr>
        <w:spacing w:after="0" w:before="0" w:line="480" w:lineRule="auto"/>
        <w:ind w:firstLine="720"/>
      </w:pPr>
      <w:r>
        <w:rPr>
          <w:rFonts w:ascii="Times New Roman" w:cs="Times New Roman" w:eastAsia="Times New Roman" w:hAnsi="Times New Roman"/>
        </w:rPr>
        <w:t xml:space="preserve">Two estimators of the corrected effect follow. The first is the DiD of the estimated cell prevalences. The second divides the fixed-effects DiD on the LLM-coded outcome by the LLM’s estimated Youden index, which by Proposition 1 recovers the fixed-effects DiD on the true outcome. The second estimator retains the unit and period fixed effects of the original analysis; the first relies only on the four cell means.</w:t>
      </w:r>
    </w:p>
    <w:p>
      <w:pPr>
        <w:spacing w:after="0" w:before="0" w:line="480" w:lineRule="auto"/>
        <w:ind w:firstLine="720"/>
      </w:pPr>
      <w:r>
        <w:rPr>
          <w:rFonts w:ascii="Times New Roman" w:cs="Times New Roman" w:eastAsia="Times New Roman" w:hAnsi="Times New Roman"/>
        </w:rPr>
        <w:t xml:space="preserve">The assumptions deserve emphasis. Cell invariance of the error rates can be tested when K ≥ 3. Conditional independence cannot be tested fully, and it is most doubtful for classifiers that share training data and architecture, such as two LLMs from one family. We therefore pair the LLM with classifiers whose errors arise from different mechanisms and test the pairwise dependence that the over-identification allows.</w:t>
      </w:r>
    </w:p>
    <w:p>
      <w:pPr>
        <w:pStyle w:val="Heading1"/>
        <w:keepNext/>
        <w:spacing w:after="0" w:before="240" w:line="480" w:lineRule="auto"/>
        <w:jc w:val="center"/>
      </w:pPr>
      <w:r>
        <w:rPr>
          <w:rFonts w:ascii="Times New Roman" w:cs="Times New Roman" w:eastAsia="Times New Roman" w:hAnsi="Times New Roman"/>
          <w:b/>
          <w:bCs/>
        </w:rPr>
        <w:t xml:space="preserve">Setting and Data</w:t>
      </w:r>
    </w:p>
    <w:p>
      <w:pPr>
        <w:spacing w:after="0" w:before="0" w:line="480" w:lineRule="auto"/>
        <w:ind w:firstLine="720"/>
      </w:pPr>
      <w:r>
        <w:rPr>
          <w:rFonts w:ascii="Times New Roman" w:cs="Times New Roman" w:eastAsia="Times New Roman" w:hAnsi="Times New Roman"/>
          <w:i/>
          <w:iCs/>
        </w:rPr>
        <w:t xml:space="preserve">Policy.</w:t>
      </w:r>
      <w:r>
        <w:rPr>
          <w:rFonts w:ascii="Times New Roman" w:cs="Times New Roman" w:eastAsia="Times New Roman" w:hAnsi="Times New Roman"/>
        </w:rPr>
        <w:t xml:space="preserve"> On October 3, 2016, Amazon banned reviews written in exchange for free or discounted products, except those collected through its own Vine program, in all categories except books. The announcement was public and widely reported.</w:t>
      </w:r>
    </w:p>
    <w:p>
      <w:pPr>
        <w:spacing w:after="0" w:before="0" w:line="480" w:lineRule="auto"/>
        <w:ind w:firstLine="720"/>
      </w:pPr>
      <w:r>
        <w:rPr>
          <w:rFonts w:ascii="Times New Roman" w:cs="Times New Roman" w:eastAsia="Times New Roman" w:hAnsi="Times New Roman"/>
          <w:i/>
          <w:iCs/>
        </w:rPr>
        <w:t xml:space="preserve">Data.</w:t>
      </w:r>
      <w:r>
        <w:rPr>
          <w:rFonts w:ascii="Times New Roman" w:cs="Times New Roman" w:eastAsia="Times New Roman" w:hAnsi="Times New Roman"/>
        </w:rPr>
        <w:t xml:space="preserve"> We use the Appliances category of the Amazon Reviews 2023 data set (Hou et al. 2024), which contains 2,128,605 reviews of 94,319 products from October 2000 to September 2023. A review is flagged as incentivized if its text discloses that the product was received free or at a discount in exchange for a review, using a rule fixed in the pre-registration (estimated precision about 95% in a hand check; recall unknown and expected to be well below one, because only disclosed incentives are visible).</w:t>
      </w:r>
    </w:p>
    <w:p>
      <w:pPr>
        <w:spacing w:after="0" w:before="0" w:line="480" w:lineRule="auto"/>
        <w:ind w:firstLine="720"/>
      </w:pPr>
      <w:r>
        <w:rPr>
          <w:rFonts w:ascii="Times New Roman" w:cs="Times New Roman" w:eastAsia="Times New Roman" w:hAnsi="Times New Roman"/>
          <w:i/>
          <w:iCs/>
        </w:rPr>
        <w:t xml:space="preserve">Design.</w:t>
      </w:r>
      <w:r>
        <w:rPr>
          <w:rFonts w:ascii="Times New Roman" w:cs="Times New Roman" w:eastAsia="Times New Roman" w:hAnsi="Times New Roman"/>
        </w:rPr>
        <w:t xml:space="preserve"> The pre-registered analysis plan defines exposure as a product’s share of flagged reviews between January 2014 and September 2016. For the content analysis, products with at least two flagged pre-ban reviews were matched one to one to products with none, by Mahalanobis distance on log pre-ban review count, pre-ban mean rating, and year of first review. For each product, up to 40 non-flagged reviews were drawn at random from January to September 2016 (pre) and up to 40 from October 2016 to September 2017 (post). The resulting sample contains 17,476 reviews of 273 products: 4,609 and 4,177 reviews of control products before and after the ban, and 4,527 and 4,163 reviews of treated products.</w:t>
      </w:r>
    </w:p>
    <w:p>
      <w:pPr>
        <w:spacing w:after="0" w:before="0" w:line="480" w:lineRule="auto"/>
        <w:ind w:firstLine="720"/>
      </w:pPr>
      <w:r>
        <w:rPr>
          <w:rFonts w:ascii="Times New Roman" w:cs="Times New Roman" w:eastAsia="Times New Roman" w:hAnsi="Times New Roman"/>
          <w:i/>
          <w:iCs/>
        </w:rPr>
        <w:t xml:space="preserve">LLM coding.</w:t>
      </w:r>
      <w:r>
        <w:rPr>
          <w:rFonts w:ascii="Times New Roman" w:cs="Times New Roman" w:eastAsia="Times New Roman" w:hAnsi="Times New Roman"/>
        </w:rPr>
        <w:t xml:space="preserve"> Each review was coded from its text alone, using a written codebook, by sub-agents of an LLM coding agent (Claude Code) running claude-haiku-5-5 on October 13, 2026, with default sampling settings. The three pre-registered content outcomes are whether the review reports a defect, whether its overall sentiment is negative, and whether it praises the product’s performance. A second LLM, claude-sonnet-5-5, coded 399 randomly drawn reviews for a reliability check; the two LLMs agree on 94% to 99% of these reviews.</w:t>
      </w:r>
    </w:p>
    <w:p>
      <w:pPr>
        <w:spacing w:after="0" w:before="0" w:line="480" w:lineRule="auto"/>
        <w:ind w:firstLine="720"/>
      </w:pPr>
      <w:r>
        <w:rPr>
          <w:rFonts w:ascii="Times New Roman" w:cs="Times New Roman" w:eastAsia="Times New Roman" w:hAnsi="Times New Roman"/>
          <w:i/>
          <w:iCs/>
        </w:rPr>
        <w:t xml:space="preserve">Substantive results.</w:t>
      </w:r>
      <w:r>
        <w:rPr>
          <w:rFonts w:ascii="Times New Roman" w:cs="Times New Roman" w:eastAsia="Times New Roman" w:hAnsi="Times New Roman"/>
        </w:rPr>
        <w:t xml:space="preserve"> Table 1 summarizes the pre-registered results. The ban did not detectably change the number of reviews (H1). It lowered ratings: a 10-percentage-point higher pre-ban share of incentivized reviews predicts a 0.18-star larger decline in the average rating of non-incentivized reviews after the ban (p = 0.003; Holm-adjusted p = 0.015), with no corresponding change at a placebo date one year earlier (p = 0.94). The LLM-coded content outcomes, however, show no detectable change (H3; p = 0.25 to 0.84). The rest of the paper asks whether these nulls could be an artifact of the LLM’s classification errors.</w:t>
      </w:r>
    </w:p>
    <w:p>
      <w:pPr>
        <w:keepNext/>
        <w:spacing w:after="120" w:before="240" w:line="240" w:lineRule="auto"/>
        <w:jc w:val="center"/>
      </w:pPr>
      <w:r>
        <w:rPr>
          <w:rFonts w:ascii="Times New Roman" w:cs="Times New Roman" w:eastAsia="Times New Roman" w:hAnsi="Times New Roman"/>
          <w:b/>
          <w:bCs/>
          <w:sz w:val="22"/>
          <w:szCs w:val="22"/>
        </w:rPr>
        <w:t xml:space="preserve">Table 1. Pre-Registered Results of the Incentivized-Review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1440"/>
        <w:gridCol w:w="720"/>
        <w:gridCol w:w="720"/>
      </w:tblGrid>
      <w:tr>
        <w:trPr>
          <w:cantSplit/>
          <w:tblHeader/>
        </w:trPr>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Hypothesis</w:t>
            </w:r>
          </w:p>
        </w:tc>
        <w:tc>
          <w:tcPr>
            <w:tcW w:type="dxa" w:w="5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Outcome and estimator</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Estimate (SE)</w:t>
            </w:r>
          </w:p>
        </w:tc>
        <w:tc>
          <w:tcPr>
            <w:tcW w:type="dxa" w:w="7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w:t>
            </w:r>
          </w:p>
        </w:tc>
        <w:tc>
          <w:tcPr>
            <w:tcW w:type="dxa" w:w="7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Holm p</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H1 (supply)</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Monthly reviews; Poisson PML, exposure × post, per +10 pp of pre-ban incentive share (2,454 products)</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+0.41 (0.27)</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.51</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H2 (rating)</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Star rating of non-incentivized reviews; exposure × post, per +10 pp (306,825 reviews)</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−0.18 (0.06)</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.003</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.015</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H2 placebo</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Same, placebo date one year earlier</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 (0.17)</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H3 (content)</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Defect reported (LLM-coded); treated × post, LPM (17,476 reviews)</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+0.0085 (0.0140)</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1.00</w:t>
            </w:r>
          </w:p>
        </w:tc>
      </w:tr>
      <w:tr>
        <w:trPr>
          <w:cantSplit/>
          <w:tblHeader w:val="off"/>
        </w:trPr>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H3 (content)</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Negative sentiment (LLM-coded)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+0.0177 (0.0154)</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.25</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.75</w:t>
            </w:r>
          </w:p>
        </w:tc>
      </w:tr>
      <w:tr>
        <w:trPr>
          <w:cantSplit/>
          <w:tblHeader w:val="off"/>
        </w:trPr>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H3 (content)</w:t>
            </w:r>
          </w:p>
        </w:tc>
        <w:tc>
          <w:tcPr>
            <w:tcW w:type="dxa" w:w="5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Performance praised (LLM-coded)</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+0.0032 (0.0162)</w:t>
            </w:r>
          </w:p>
        </w:tc>
        <w:tc>
          <w:tcPr>
            <w:tcW w:type="dxa" w:w="7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.84</w:t>
            </w:r>
          </w:p>
        </w:tc>
        <w:tc>
          <w:tcPr>
            <w:tcW w:type="dxa" w:w="7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All models include unit and period fixed effects with standard errors clustered by product. Holm adjustment over the five primary tests (H1, H2, and the three H3 outcomes).</w:t>
      </w:r>
    </w:p>
    <w:p>
      <w:pPr>
        <w:pStyle w:val="Heading1"/>
        <w:keepNext/>
        <w:spacing w:after="0" w:before="240" w:line="480" w:lineRule="auto"/>
        <w:jc w:val="center"/>
      </w:pPr>
      <w:r>
        <w:rPr>
          <w:rFonts w:ascii="Times New Roman" w:cs="Times New Roman" w:eastAsia="Times New Roman" w:hAnsi="Times New Roman"/>
          <w:b/>
          <w:bCs/>
        </w:rPr>
        <w:t xml:space="preserve">Classifiers and Estimation</w:t>
      </w:r>
    </w:p>
    <w:p>
      <w:pPr>
        <w:spacing w:after="0" w:before="0" w:line="480" w:lineRule="auto"/>
        <w:ind w:firstLine="720"/>
      </w:pPr>
      <w:r>
        <w:rPr>
          <w:rFonts w:ascii="Times New Roman" w:cs="Times New Roman" w:eastAsia="Times New Roman" w:hAnsi="Times New Roman"/>
        </w:rPr>
        <w:t xml:space="preserve">We wrote a plan for the latent-class analysis before running any additional classifier and before estimating any latent-class model. It records what had already been seen (the LLM-coded DiD results and the agreement between the two LLMs), fixes the classifiers, thresholds, and decision rules, and was amended once before any output of the affected classifier was inspected (Appendix B).</w:t>
      </w:r>
    </w:p>
    <w:p>
      <w:pPr>
        <w:spacing w:after="0" w:before="0" w:line="480" w:lineRule="auto"/>
        <w:ind w:firstLine="720"/>
      </w:pPr>
      <w:r>
        <w:rPr>
          <w:rFonts w:ascii="Times New Roman" w:cs="Times New Roman" w:eastAsia="Times New Roman" w:hAnsi="Times New Roman"/>
          <w:i/>
          <w:iCs/>
        </w:rPr>
        <w:t xml:space="preserve">Classifiers.</w:t>
      </w:r>
      <w:r>
        <w:rPr>
          <w:rFonts w:ascii="Times New Roman" w:cs="Times New Roman" w:eastAsia="Times New Roman" w:hAnsi="Times New Roman"/>
        </w:rPr>
        <w:t xml:space="preserve"> Besides the LLM (H), we use three classifiers chosen for their different error mechanisms (Appendix B gives their exact specifications). A keyword rule (L) flags defect reports by the presence of any of 39 phrases such as “stopped working” or “dead on arrival,” deliberately without handling negation. A supervised sentiment model trained on social media text (S; Loureiro et al. 2022) labels a review negative when that is its most probable class. A zero-shot classifier based on natural-language inference (Z; Laurer et al. 2024; Yin et al. 2019) labels a review as positive for an outcome when the probability that the review entails a fixed hypothesis sentence is at least 0.5. Because Z is slow on the available hardware, it was run on a random subsample of 300 reviews per cell; the likelihood treats Z as missing elsewhere, which is missing at random by design. The star rating (two stars or fewer) serves as an additional test of negative sentiment in a sensitivity analysis only, because it is not a reading of the text. The classifiers available for each outcome are H, Z, and L for defect reports; H, S, and Z for negative sentiment; and H and Z for performance praise.</w:t>
      </w:r>
    </w:p>
    <w:p>
      <w:pPr>
        <w:spacing w:after="0" w:before="0" w:line="480" w:lineRule="auto"/>
        <w:ind w:firstLine="720"/>
      </w:pPr>
      <w:r>
        <w:rPr>
          <w:rFonts w:ascii="Times New Roman" w:cs="Times New Roman" w:eastAsia="Times New Roman" w:hAnsi="Times New Roman"/>
          <w:i/>
          <w:iCs/>
        </w:rPr>
        <w:t xml:space="preserve">Estimation.</w:t>
      </w:r>
      <w:r>
        <w:rPr>
          <w:rFonts w:ascii="Times New Roman" w:cs="Times New Roman" w:eastAsia="Times New Roman" w:hAnsi="Times New Roman"/>
        </w:rPr>
        <w:t xml:space="preserve"> For each outcome, we estimate the latent-class model of Proposition 3 by maximum likelihood with the EM algorithm, with cell-specific prevalences and cell-invariant sensitivities and specificities. We compute the two corrected DiD estimators described above, using the same specification as the pre-registered analysis for the fixed-effects estimator (a linear probability model with product and quarter fixed effects). Confidence intervals come from a bootstrap of 500 resamples of products, which re-estimates both the latent-class model and the fixed-effects regression in each resample. We test the over-identifying restrictions by likelihood-ratio tests of the primary model against a model in which the LLM’s error rates vary by cell (6 degrees of freedom) and, on the subsample where all classifiers are observed, against a model in which the LLM and the zero-shot classifier have an unrestricted joint distribution given y (2 degrees of freedom).</w:t>
      </w:r>
    </w:p>
    <w:p>
      <w:pPr>
        <w:spacing w:after="0" w:before="0" w:line="480" w:lineRule="auto"/>
        <w:ind w:firstLine="720"/>
      </w:pPr>
      <w:r>
        <w:rPr>
          <w:rFonts w:ascii="Times New Roman" w:cs="Times New Roman" w:eastAsia="Times New Roman" w:hAnsi="Times New Roman"/>
          <w:i/>
          <w:iCs/>
        </w:rPr>
        <w:t xml:space="preserve">Estimator check.</w:t>
      </w:r>
      <w:r>
        <w:rPr>
          <w:rFonts w:ascii="Times New Roman" w:cs="Times New Roman" w:eastAsia="Times New Roman" w:hAnsi="Times New Roman"/>
        </w:rPr>
        <w:t xml:space="preserve"> Before estimating anything on the real data, we checked that the estimator recovers known parameters in simulated data of the same size, with prevalences between 0.10 and 0.17 and three classifiers of differing accuracy. Across 200 replications, the estimated DiD and all sensitivities and specificities fell within two standard deviations of the truth in 94% to 98% of replications, above the 90% threshold set in the plan (Appendix A).</w:t>
      </w:r>
    </w:p>
    <w:p>
      <w:pPr>
        <w:pStyle w:val="Heading1"/>
        <w:keepNext/>
        <w:spacing w:after="0" w:before="240" w:line="480" w:lineRule="auto"/>
        <w:jc w:val="center"/>
      </w:pPr>
      <w:r>
        <w:rPr>
          <w:rFonts w:ascii="Times New Roman" w:cs="Times New Roman" w:eastAsia="Times New Roman" w:hAnsi="Times New Roman"/>
          <w:b/>
          <w:bCs/>
        </w:rPr>
        <w:t xml:space="preserve">Results</w:t>
      </w:r>
    </w:p>
    <w:p>
      <w:pPr>
        <w:spacing w:after="0" w:before="0" w:line="480" w:lineRule="auto"/>
        <w:ind w:firstLine="720"/>
      </w:pPr>
      <w:r>
        <w:rPr>
          <w:rFonts w:ascii="Times New Roman" w:cs="Times New Roman" w:eastAsia="Times New Roman" w:hAnsi="Times New Roman"/>
          <w:i/>
          <w:iCs/>
        </w:rPr>
        <w:t xml:space="preserve">Classifier accuracy.</w:t>
      </w:r>
      <w:r>
        <w:rPr>
          <w:rFonts w:ascii="Times New Roman" w:cs="Times New Roman" w:eastAsia="Times New Roman" w:hAnsi="Times New Roman"/>
        </w:rPr>
        <w:t xml:space="preserve"> Table 2 reports the estimated error rates. The LLM is the most accurate classifier for every outcome. Its specificity is high (0.96 to 0.99), so false positives are rare, while its sensitivity is lower for defect reports (0.82) than for negative sentiment (0.93) or performance praise (0.95). Its Youden index is 0.81 for defect reports and 0.91 for both sentiment outcomes. The supervised sentiment model is nearly as accurate as the LLM for negative sentiment (J = 0.89). The keyword rule misses about half of all defect reports (sensitivity 0.49) but rarely flags a review that does not report one. The zero-shot classifier is less accurate throughout and has low specificity for performance praise (0.65).</w:t>
      </w:r>
    </w:p>
    <w:p>
      <w:pPr>
        <w:keepNext/>
        <w:spacing w:after="120" w:before="240" w:line="240" w:lineRule="auto"/>
        <w:jc w:val="center"/>
      </w:pPr>
      <w:r>
        <w:rPr>
          <w:rFonts w:ascii="Times New Roman" w:cs="Times New Roman" w:eastAsia="Times New Roman" w:hAnsi="Times New Roman"/>
          <w:b/>
          <w:bCs/>
          <w:sz w:val="22"/>
          <w:szCs w:val="22"/>
        </w:rPr>
        <w:t xml:space="preserve">Table 2. Estimated Classifier Accuracy Without a Gold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2"/>
        <w:gridCol w:w="2535"/>
        <w:gridCol w:w="1267"/>
        <w:gridCol w:w="1072"/>
        <w:gridCol w:w="1072"/>
        <w:gridCol w:w="1562"/>
      </w:tblGrid>
      <w:tr>
        <w:trPr>
          <w:cantSplit/>
          <w:tblHeader/>
        </w:trPr>
        <w:tc>
          <w:tcPr>
            <w:tcW w:type="dxa" w:w="18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Outcome</w:t>
            </w:r>
          </w:p>
        </w:tc>
        <w:tc>
          <w:tcPr>
            <w:tcW w:type="dxa" w:w="25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Classifier</w:t>
            </w:r>
          </w:p>
        </w:tc>
        <w:tc>
          <w:tcPr>
            <w:tcW w:type="dxa" w:w="12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Reviews coded</w:t>
            </w:r>
          </w:p>
        </w:tc>
        <w:tc>
          <w:tcPr>
            <w:tcW w:type="dxa" w:w="10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Sensitivity</w:t>
            </w:r>
          </w:p>
        </w:tc>
        <w:tc>
          <w:tcPr>
            <w:tcW w:type="dxa" w:w="10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Specificity</w:t>
            </w:r>
          </w:p>
        </w:tc>
        <w:tc>
          <w:tcPr>
            <w:tcW w:type="dxa" w:w="156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Youden index J</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Defect reported</w:t>
            </w: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(claude-haiku-5-5)</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0.82</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0.99</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0.81 (0.74–0.90)</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Zero-shot NLI</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1,200</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0.79</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0.76</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Keyword rule</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0.49</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0.46</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Negative sentiment</w:t>
            </w: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(claude-haiku-5-5)</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0.93</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 (0.86–0.95)</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Supervised sentiment model</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0.89</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Zero-shot NLI</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1,200</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0.99</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0.75</w:t>
            </w:r>
          </w:p>
        </w:tc>
      </w:tr>
      <w:tr>
        <w:trPr>
          <w:cantSplit/>
          <w:tblHeader w:val="off"/>
        </w:trPr>
        <w:tc>
          <w:tcPr>
            <w:tcW w:type="dxa" w:w="18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Performance praised</w:t>
            </w:r>
          </w:p>
        </w:tc>
        <w:tc>
          <w:tcPr>
            <w:tcW w:type="dxa" w:w="253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(claude-haiku-5-5)</w:t>
            </w:r>
          </w:p>
        </w:tc>
        <w:tc>
          <w:tcPr>
            <w:tcW w:type="dxa" w:w="12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17,476</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0.95</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c>
          <w:tcPr>
            <w:tcW w:type="dxa" w:w="1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 (0.57–0.98)</w:t>
            </w:r>
          </w:p>
        </w:tc>
      </w:tr>
      <w:tr>
        <w:trPr>
          <w:cantSplit/>
          <w:tblHeader w:val="off"/>
        </w:trPr>
        <w:tc>
          <w:tcPr>
            <w:tcW w:type="dxa" w:w="18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p>
        </w:tc>
        <w:tc>
          <w:tcPr>
            <w:tcW w:type="dxa" w:w="25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Zero-shot NLI</w:t>
            </w:r>
          </w:p>
        </w:tc>
        <w:tc>
          <w:tcPr>
            <w:tcW w:type="dxa" w:w="12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1,200</w:t>
            </w:r>
          </w:p>
        </w:tc>
        <w:tc>
          <w:tcPr>
            <w:tcW w:type="dxa" w:w="10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0.88</w:t>
            </w:r>
          </w:p>
        </w:tc>
        <w:tc>
          <w:tcPr>
            <w:tcW w:type="dxa" w:w="10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0.65</w:t>
            </w:r>
          </w:p>
        </w:tc>
        <w:tc>
          <w:tcPr>
            <w:tcW w:type="dxa" w:w="156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0.53</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Maximum-likelihood estimates from the latent-class model with cell-specific prevalence and cell-invariant error rates. Intervals for the LLM are from a bootstrap of 500 resamples of products.</w:t>
      </w:r>
    </w:p>
    <w:p>
      <w:pPr>
        <w:spacing w:after="0" w:before="0" w:line="480" w:lineRule="auto"/>
        <w:ind w:firstLine="720"/>
      </w:pPr>
      <w:r>
        <w:rPr>
          <w:rFonts w:ascii="Times New Roman" w:cs="Times New Roman" w:eastAsia="Times New Roman" w:hAnsi="Times New Roman"/>
          <w:i/>
          <w:iCs/>
        </w:rPr>
        <w:t xml:space="preserve">Corrected effects.</w:t>
      </w:r>
      <w:r>
        <w:rPr>
          <w:rFonts w:ascii="Times New Roman" w:cs="Times New Roman" w:eastAsia="Times New Roman" w:hAnsi="Times New Roman"/>
        </w:rPr>
        <w:t xml:space="preserve"> Table 3 and Figure 1 compare the DiD on the LLM-coded outcomes with the two corrected estimates. Because the LLM’s Youden index is close to one, the fixed-effects estimates change little after correction: from 0.85 to 1.05 percentage points for defect reports, from 1.77 to 1.95 for negative sentiment, and from 0.32 to 0.35 for performance praise. The DiDs of the latent cell prevalences are smaller still (0.24, 0.83, and 0.60 points). Every corrected 95% interval includes zero. By the decision rule fixed in the plan, the null results on the LLM-coded outcomes hold after correction for measurement error.</w:t>
      </w:r>
    </w:p>
    <w:p>
      <w:pPr>
        <w:keepNext/>
        <w:spacing w:after="120" w:before="240" w:line="240" w:lineRule="auto"/>
        <w:jc w:val="center"/>
      </w:pPr>
      <w:r>
        <w:rPr>
          <w:rFonts w:ascii="Times New Roman" w:cs="Times New Roman" w:eastAsia="Times New Roman" w:hAnsi="Times New Roman"/>
          <w:b/>
          <w:bCs/>
          <w:sz w:val="22"/>
          <w:szCs w:val="22"/>
        </w:rPr>
        <w:t xml:space="preserve">Table 3. Uncorrected and Corrected Difference-in-Differences Estimates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7"/>
        <w:gridCol w:w="1560"/>
        <w:gridCol w:w="1276"/>
        <w:gridCol w:w="2127"/>
        <w:gridCol w:w="3050"/>
      </w:tblGrid>
      <w:tr>
        <w:trPr>
          <w:cantSplit/>
          <w:tblHeader/>
        </w:trPr>
        <w:tc>
          <w:tcPr>
            <w:tcW w:type="dxa" w:w="134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Outcome</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LLM-coded DiD (95% CI)</w:t>
            </w:r>
          </w:p>
        </w:tc>
        <w:tc>
          <w:tcPr>
            <w:tcW w:type="dxa" w:w="1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LLM Youden index Ĵ</w:t>
            </w:r>
          </w:p>
        </w:tc>
        <w:tc>
          <w:tcPr>
            <w:tcW w:type="dxa" w:w="212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Corrected: FE DiD / Ĵ (95% CI)</w:t>
            </w:r>
          </w:p>
        </w:tc>
        <w:tc>
          <w:tcPr>
            <w:tcW w:type="dxa" w:w="30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Corrected: latent cell prevalences (95% CI)</w:t>
            </w:r>
          </w:p>
        </w:tc>
      </w:tr>
      <w:tr>
        <w:trPr>
          <w:cantSplit/>
          <w:tblHeader w:val="off"/>
        </w:trPr>
        <w:tc>
          <w:tcPr>
            <w:tcW w:type="dxa" w:w="13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Defect reported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+0.85 (−1.55, 3.71)</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0.81</w:t>
            </w:r>
          </w:p>
        </w:tc>
        <w:tc>
          <w:tcPr>
            <w:tcW w:type="dxa" w:w="2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+1.05 (−1.95, 4.64)</w:t>
            </w:r>
          </w:p>
        </w:tc>
        <w:tc>
          <w:tcPr>
            <w:tcW w:type="dxa" w:w="3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+0.24 (−2.84, 3.51)</w:t>
            </w:r>
          </w:p>
        </w:tc>
      </w:tr>
      <w:tr>
        <w:trPr>
          <w:cantSplit/>
          <w:tblHeader w:val="off"/>
        </w:trPr>
        <w:tc>
          <w:tcPr>
            <w:tcW w:type="dxa" w:w="13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Negative sentiment</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+1.77 (−1.06, 5.06)</w:t>
            </w:r>
          </w:p>
        </w:tc>
        <w:tc>
          <w:tcPr>
            <w:tcW w:type="dxa" w:w="1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w:t>
            </w:r>
          </w:p>
        </w:tc>
        <w:tc>
          <w:tcPr>
            <w:tcW w:type="dxa" w:w="212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+1.95 (−1.16, 5.53)</w:t>
            </w:r>
          </w:p>
        </w:tc>
        <w:tc>
          <w:tcPr>
            <w:tcW w:type="dxa" w:w="3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+0.83 (−2.24, 4.25)</w:t>
            </w:r>
          </w:p>
        </w:tc>
      </w:tr>
      <w:tr>
        <w:trPr>
          <w:cantSplit/>
          <w:tblHeader w:val="off"/>
        </w:trPr>
        <w:tc>
          <w:tcPr>
            <w:tcW w:type="dxa" w:w="134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Performance praised</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+0.32 (−2.44, 3.42)</w:t>
            </w:r>
          </w:p>
        </w:tc>
        <w:tc>
          <w:tcPr>
            <w:tcW w:type="dxa" w:w="1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0.91</w:t>
            </w:r>
          </w:p>
        </w:tc>
        <w:tc>
          <w:tcPr>
            <w:tcW w:type="dxa" w:w="212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+0.35 (−3.35, 4.64)</w:t>
            </w:r>
          </w:p>
        </w:tc>
        <w:tc>
          <w:tcPr>
            <w:tcW w:type="dxa" w:w="30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 (−2.97, 5.84)</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The LLM-coded DiD is the pre-registered fixed-effects estimate (Table 1). All intervals are from the same bootstrap of 500 resamples of products, which re-estimates the latent-class model and the fixed-effects regression in each resample.</w:t>
      </w:r>
    </w:p>
    <w:p>
      <w:pPr>
        <w:keepNext/>
        <w:spacing w:after="0" w:before="240" w:line="240" w:lineRule="auto"/>
        <w:jc w:val="center"/>
      </w:pPr>
      <w:r>
        <w:drawing>
          <wp:inline distT="0" distB="0" distL="0" distR="0">
            <wp:extent cx="5715000" cy="2857500"/>
            <wp:effectExtent t="0" r="0" b="0" l="0"/>
            <wp:docPr id="1" name="fig_latent_did.png" descr="Figure 1. Uncorrected and Corrected Difference-in-Differences Estimates for the LLM-Coded Outcomes" title="Figure 1. Uncorrected and Corrected Difference-in-Differences Estimates for the LLM-Cod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1. Uncorrected and Corrected Difference-in-Differences Estimates for the LLM-Coded Outcomes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Percentage points; bars are 95% intervals from a bootstrap of 500 resamples of products.</w:t>
      </w:r>
    </w:p>
    <w:p>
      <w:pPr>
        <w:spacing w:after="0" w:before="0" w:line="480" w:lineRule="auto"/>
        <w:ind w:firstLine="720"/>
      </w:pPr>
      <w:r>
        <w:rPr>
          <w:rFonts w:ascii="Times New Roman" w:cs="Times New Roman" w:eastAsia="Times New Roman" w:hAnsi="Times New Roman"/>
          <w:i/>
          <w:iCs/>
        </w:rPr>
        <w:t xml:space="preserve">Specification tests.</w:t>
      </w:r>
      <w:r>
        <w:rPr>
          <w:rFonts w:ascii="Times New Roman" w:cs="Times New Roman" w:eastAsia="Times New Roman" w:hAnsi="Times New Roman"/>
        </w:rPr>
        <w:t xml:space="preserve"> Table 4 reports the over-identification tests. Allowing the LLM’s error rates to differ across the four cells does not improve the fit significantly for defect reports (p = 0.35) or negative sentiment (p = 0.39); the cell-specific Youden indices range from 0.74 to 0.82 and from 0.88 to 0.92. There is thus no evidence that the ban changed the accuracy of the LLM, which is the condition under which Proposition 2 would bias the DiD. Allowing the LLM’s errors to depend on those of the zero-shot classifier also does not improve the fit (p = 0.82 and 0.92). For performance praise, only two classifiers are available, so the model is just identified and these tests are not possible.</w:t>
      </w:r>
    </w:p>
    <w:p>
      <w:pPr>
        <w:keepNext/>
        <w:spacing w:after="120" w:before="240" w:line="240" w:lineRule="auto"/>
        <w:jc w:val="center"/>
      </w:pPr>
      <w:r>
        <w:rPr>
          <w:rFonts w:ascii="Times New Roman" w:cs="Times New Roman" w:eastAsia="Times New Roman" w:hAnsi="Times New Roman"/>
          <w:b/>
          <w:bCs/>
          <w:sz w:val="22"/>
          <w:szCs w:val="22"/>
        </w:rPr>
        <w:t xml:space="preserve">Table 4. Tests of the Over-Identifying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76"/>
        <w:gridCol w:w="936"/>
        <w:gridCol w:w="624"/>
        <w:gridCol w:w="624"/>
        <w:gridCol w:w="2496"/>
      </w:tblGrid>
      <w:tr>
        <w:trPr>
          <w:cantSplit/>
          <w:tblHeader/>
        </w:trPr>
        <w:tc>
          <w:tcPr>
            <w:tcW w:type="dxa" w:w="14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Outcome</w:t>
            </w:r>
          </w:p>
        </w:tc>
        <w:tc>
          <w:tcPr>
            <w:tcW w:type="dxa" w:w="3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Test</w:t>
            </w:r>
          </w:p>
        </w:tc>
        <w:tc>
          <w:tcPr>
            <w:tcW w:type="dxa" w:w="9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LR statistic</w:t>
            </w:r>
          </w:p>
        </w:tc>
        <w:tc>
          <w:tcPr>
            <w:tcW w:type="dxa" w:w="6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df</w:t>
            </w:r>
          </w:p>
        </w:tc>
        <w:tc>
          <w:tcPr>
            <w:tcW w:type="dxa" w:w="62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w:t>
            </w:r>
          </w:p>
        </w:tc>
        <w:tc>
          <w:tcPr>
            <w:tcW w:type="dxa" w:w="24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Detail</w:t>
            </w:r>
          </w:p>
        </w:tc>
      </w:tr>
      <w:tr>
        <w:trPr>
          <w:cantSplit/>
          <w:tblHeader w:val="off"/>
        </w:trPr>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Defect reported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error rates vary by cell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6.71</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.35</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Ĵ by cell 0.78, 0.82, 0.74, 0.82</w:t>
            </w:r>
          </w:p>
        </w:tc>
      </w:tr>
      <w:tr>
        <w:trPr>
          <w:cantSplit/>
          <w:tblHeader w:val="off"/>
        </w:trPr>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and zero-shot errors dependent given 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.82</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 = 1,200</w:t>
            </w:r>
          </w:p>
        </w:tc>
      </w:tr>
      <w:tr>
        <w:trPr>
          <w:cantSplit/>
          <w:tblHeader w:val="off"/>
        </w:trPr>
        <w:tc>
          <w:tcPr>
            <w:tcW w:type="dxa" w:w="14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Negative sentiment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error rates vary by cell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6.30</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w:t>
            </w:r>
          </w:p>
        </w:tc>
        <w:tc>
          <w:tcPr>
            <w:tcW w:type="dxa" w:w="6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.39</w:t>
            </w:r>
          </w:p>
        </w:tc>
        <w:tc>
          <w:tcPr>
            <w:tcW w:type="dxa" w:w="2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Ĵ by cell 0.89, 0.88, 0.89, 0.92</w:t>
            </w:r>
          </w:p>
        </w:tc>
      </w:tr>
      <w:tr>
        <w:trPr>
          <w:cantSplit/>
          <w:tblHeader w:val="off"/>
        </w:trPr>
        <w:tc>
          <w:tcPr>
            <w:tcW w:type="dxa" w:w="14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p>
        </w:tc>
        <w:tc>
          <w:tcPr>
            <w:tcW w:type="dxa" w:w="3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LLM and zero-shot errors dependent given y</w:t>
            </w:r>
          </w:p>
        </w:tc>
        <w:tc>
          <w:tcPr>
            <w:tcW w:type="dxa" w:w="9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0.16</w:t>
            </w:r>
          </w:p>
        </w:tc>
        <w:tc>
          <w:tcPr>
            <w:tcW w:type="dxa" w:w="6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w:t>
            </w:r>
          </w:p>
        </w:tc>
        <w:tc>
          <w:tcPr>
            <w:tcW w:type="dxa" w:w="62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.92</w:t>
            </w:r>
          </w:p>
        </w:tc>
        <w:tc>
          <w:tcPr>
            <w:tcW w:type="dxa" w:w="24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 = 1,200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in the order control–pre, control–post, treated–pre, treated–post. With only two classifiers, the model for performance praise is just identified and cannot be tested.</w:t>
      </w:r>
    </w:p>
    <w:p>
      <w:pPr>
        <w:spacing w:after="0" w:before="0" w:line="480" w:lineRule="auto"/>
        <w:ind w:firstLine="720"/>
      </w:pPr>
      <w:r>
        <w:rPr>
          <w:rFonts w:ascii="Times New Roman" w:cs="Times New Roman" w:eastAsia="Times New Roman" w:hAnsi="Times New Roman"/>
          <w:i/>
          <w:iCs/>
        </w:rPr>
        <w:t xml:space="preserve">Sensitivity.</w:t>
      </w:r>
      <w:r>
        <w:rPr>
          <w:rFonts w:ascii="Times New Roman" w:cs="Times New Roman" w:eastAsia="Times New Roman" w:hAnsi="Times New Roman"/>
        </w:rPr>
        <w:t xml:space="preserve"> Adding the star rating as a fourth test for negative sentiment changes the corrected DiD of the cell prevalences from 0.83 to 1.12 percentage points, still within the interval of the primary estimate. The two LLMs agree on 94% to 99% of the reviews they both coded, which is consistent with the concern that LLMs of one family make similar errors and supports the choice of classifiers with different error mechanisms.</w:t>
      </w:r>
    </w:p>
    <w:p>
      <w:pPr>
        <w:pStyle w:val="Heading1"/>
        <w:keepNext/>
        <w:spacing w:after="0" w:before="240" w:line="480" w:lineRule="auto"/>
        <w:jc w:val="center"/>
      </w:pPr>
      <w:r>
        <w:rPr>
          <w:rFonts w:ascii="Times New Roman" w:cs="Times New Roman" w:eastAsia="Times New Roman" w:hAnsi="Times New Roman"/>
          <w:b/>
          <w:bCs/>
        </w:rPr>
        <w:t xml:space="preserve">Validation Against Human Labels</w:t>
      </w:r>
    </w:p>
    <w:p>
      <w:pPr>
        <w:spacing w:after="0" w:before="0" w:line="480" w:lineRule="auto"/>
        <w:ind w:firstLine="720"/>
      </w:pPr>
      <w:r>
        <w:rPr>
          <w:rFonts w:ascii="Times New Roman" w:cs="Times New Roman" w:eastAsia="Times New Roman" w:hAnsi="Times New Roman"/>
        </w:rPr>
        <w:t xml:space="preserve">The identification result rests on assumptions that the specification tests can only partly check. To see whether the gold-standard-free estimates agree with human judgments when both are available, we applied the same estimator to a different corpus in which every unit carries human labels: 191 posts made by the U.S. president during the 2026 closure of the Strait of Hormuz, each labelled by two human coders as escalation, de-escalation, mixed, or other, with disagreements resolved by an independent third coder. We wrote a separate plan, with classifiers, populations, outcomes, and a decision rule, before running any additional classifier on these posts (Appendix C).</w:t>
      </w:r>
    </w:p>
    <w:p>
      <w:pPr>
        <w:spacing w:after="0" w:before="0" w:line="480" w:lineRule="auto"/>
        <w:ind w:firstLine="720"/>
      </w:pPr>
      <w:r>
        <w:rPr>
          <w:rFonts w:ascii="Times New Roman" w:cs="Times New Roman" w:eastAsia="Times New Roman" w:hAnsi="Times New Roman"/>
          <w:i/>
          <w:iCs/>
        </w:rPr>
        <w:t xml:space="preserve">Design.</w:t>
      </w:r>
      <w:r>
        <w:rPr>
          <w:rFonts w:ascii="Times New Roman" w:cs="Times New Roman" w:eastAsia="Times New Roman" w:hAnsi="Times New Roman"/>
        </w:rPr>
        <w:t xml:space="preserve"> Lacking a DiD design, we used four blocks of equal size by posting time as the populations, because the prevalence of escalation and de-escalation changed across the phases of the war. The outcomes are escalation content (escalation or mixed) and de-escalation content (de-escalation or mixed). The primary classifier set mirrors the one used for the reviews: the original LLM labels (claude-sonnet-5-5, without the codebook), a keyword rule, and the zero-shot classifier. A secondary set consists of three LLM runs of one model family, to illustrate the effect of correlated errors. The plan judged the estimates consistent with the human labels if the human-based sensitivity and specificity of the LLM fell inside the latent-class 95% intervals and the latent-class block prevalences differed from the human ones by at most 0.05 on average.</w:t>
      </w:r>
    </w:p>
    <w:p>
      <w:pPr>
        <w:spacing w:after="0" w:before="0" w:line="480" w:lineRule="auto"/>
        <w:ind w:firstLine="720"/>
      </w:pPr>
      <w:r>
        <w:rPr>
          <w:rFonts w:ascii="Times New Roman" w:cs="Times New Roman" w:eastAsia="Times New Roman" w:hAnsi="Times New Roman"/>
          <w:i/>
          <w:iCs/>
        </w:rPr>
        <w:t xml:space="preserve">Results.</w:t>
      </w:r>
      <w:r>
        <w:rPr>
          <w:rFonts w:ascii="Times New Roman" w:cs="Times New Roman" w:eastAsia="Times New Roman" w:hAnsi="Times New Roman"/>
        </w:rPr>
        <w:t xml:space="preserve"> Table 5 shows that the estimates are not consistent with the human labels for either outcome. For escalation, the human-based sensitivity and specificity of the LLM (0.79 and 0.80) fall inside the wide latent-class intervals, but the latent-class prevalences are far from the human ones (mean absolute difference 0.22; in the first block, 0.93 against 0.42), and the test of block invariance rejects (p = 0.002). For de-escalation, the latent-class model overstates the LLM’s accuracy (specificity 0.98 against 0.85; sensitivity 0.95 against 0.65), the prevalences differ by 0.13 on average, and neither specification test rejects at the 5% level (block invariance p = 0.69; dependence between the LLM and the zero-shot classifier p = 0.06). In the secondary set, three LLM runs agree with one another so closely that the model attributes near-perfect accuracy to two of them (sensitivity and specificity of 0.96 to 1.00), whereas their human-based specificities are 0.73 to 0.86; the block-invariance test rejects for both outcomes (p &lt; 0.001 and p = 0.024).</w:t>
      </w:r>
    </w:p>
    <w:p>
      <w:pPr>
        <w:keepNext/>
        <w:spacing w:after="120" w:before="240" w:line="240" w:lineRule="auto"/>
        <w:jc w:val="center"/>
      </w:pPr>
      <w:r>
        <w:rPr>
          <w:rFonts w:ascii="Times New Roman" w:cs="Times New Roman" w:eastAsia="Times New Roman" w:hAnsi="Times New Roman"/>
          <w:b/>
          <w:bCs/>
          <w:sz w:val="22"/>
          <w:szCs w:val="22"/>
        </w:rPr>
        <w:t xml:space="preserve">Table 5. Gold-Standard-Free Estimates Versus Human Labels (191 Political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7"/>
        <w:gridCol w:w="1642"/>
        <w:gridCol w:w="1642"/>
        <w:gridCol w:w="1313"/>
        <w:gridCol w:w="985"/>
        <w:gridCol w:w="738"/>
        <w:gridCol w:w="1193"/>
      </w:tblGrid>
      <w:tr>
        <w:trPr>
          <w:cantSplit/>
          <w:tblHeader/>
        </w:trPr>
        <w:tc>
          <w:tcPr>
            <w:tcW w:type="dxa" w:w="184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Outcome and classifier set</w:t>
            </w:r>
          </w:p>
        </w:tc>
        <w:tc>
          <w:tcPr>
            <w:tcW w:type="dxa" w:w="164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LLM sensitivity: latent [95% CI] / human</w:t>
            </w:r>
          </w:p>
        </w:tc>
        <w:tc>
          <w:tcPr>
            <w:tcW w:type="dxa" w:w="164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LLM specificity: latent [95% CI] / human</w:t>
            </w:r>
          </w:p>
        </w:tc>
        <w:tc>
          <w:tcPr>
            <w:tcW w:type="dxa" w:w="131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Prevalence error (mean absolute)</w:t>
            </w:r>
          </w:p>
        </w:tc>
        <w:tc>
          <w:tcPr>
            <w:tcW w:type="dxa" w:w="98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Block-invariance test, p</w:t>
            </w:r>
          </w:p>
        </w:tc>
        <w:tc>
          <w:tcPr>
            <w:tcW w:type="dxa" w:w="7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Dependence test, p</w:t>
            </w:r>
          </w:p>
        </w:tc>
        <w:tc>
          <w:tcPr>
            <w:tcW w:type="dxa" w:w="119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Consistent with human labels?</w:t>
            </w:r>
          </w:p>
        </w:tc>
      </w:tr>
      <w:tr>
        <w:trPr>
          <w:cantSplit/>
          <w:tblHeader w:val="off"/>
        </w:trPr>
        <w:tc>
          <w:tcPr>
            <w:tcW w:type="dxa" w:w="18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Escalation, primary (LLM, keyword, zero-shot)</w:t>
            </w:r>
          </w:p>
        </w:tc>
        <w:tc>
          <w:tcPr>
            <w:tcW w:type="dxa" w:w="164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0.65 [0.54, 0.87] / 0.79</w:t>
            </w:r>
          </w:p>
        </w:tc>
        <w:tc>
          <w:tcPr>
            <w:tcW w:type="dxa" w:w="164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0.91 [0.73, 1.00] / 0.80</w:t>
            </w:r>
          </w:p>
        </w:tc>
        <w:tc>
          <w:tcPr>
            <w:tcW w:type="dxa" w:w="13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0.22</w:t>
            </w:r>
          </w:p>
        </w:tc>
        <w:tc>
          <w:tcPr>
            <w:tcW w:type="dxa" w:w="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.002</w:t>
            </w:r>
          </w:p>
        </w:tc>
        <w:tc>
          <w:tcPr>
            <w:tcW w:type="dxa" w:w="7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.68</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No</w:t>
            </w:r>
          </w:p>
        </w:tc>
      </w:tr>
      <w:tr>
        <w:trPr>
          <w:cantSplit/>
          <w:tblHeader w:val="off"/>
        </w:trPr>
        <w:tc>
          <w:tcPr>
            <w:tcW w:type="dxa" w:w="18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De-escalation, primary</w:t>
            </w:r>
          </w:p>
        </w:tc>
        <w:tc>
          <w:tcPr>
            <w:tcW w:type="dxa" w:w="164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0.95 [0.58, 1.00] / 0.65</w:t>
            </w:r>
          </w:p>
        </w:tc>
        <w:tc>
          <w:tcPr>
            <w:tcW w:type="dxa" w:w="164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0.98 [0.92, 1.00] / 0.85</w:t>
            </w:r>
          </w:p>
        </w:tc>
        <w:tc>
          <w:tcPr>
            <w:tcW w:type="dxa" w:w="13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0.13</w:t>
            </w:r>
          </w:p>
        </w:tc>
        <w:tc>
          <w:tcPr>
            <w:tcW w:type="dxa" w:w="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.69</w:t>
            </w:r>
          </w:p>
        </w:tc>
        <w:tc>
          <w:tcPr>
            <w:tcW w:type="dxa" w:w="7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No</w:t>
            </w:r>
          </w:p>
        </w:tc>
      </w:tr>
      <w:tr>
        <w:trPr>
          <w:cantSplit/>
          <w:tblHeader w:val="off"/>
        </w:trPr>
        <w:tc>
          <w:tcPr>
            <w:tcW w:type="dxa" w:w="184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Escalation, three LLM runs</w:t>
            </w:r>
          </w:p>
        </w:tc>
        <w:tc>
          <w:tcPr>
            <w:tcW w:type="dxa" w:w="164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0.79 [0.71, 0.88] / 0.79</w:t>
            </w:r>
          </w:p>
        </w:tc>
        <w:tc>
          <w:tcPr>
            <w:tcW w:type="dxa" w:w="164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0.95 [0.90, 0.99] / 0.80</w:t>
            </w:r>
          </w:p>
        </w:tc>
        <w:tc>
          <w:tcPr>
            <w:tcW w:type="dxa" w:w="131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0.14</w:t>
            </w:r>
          </w:p>
        </w:tc>
        <w:tc>
          <w:tcPr>
            <w:tcW w:type="dxa" w:w="9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&lt;.001</w:t>
            </w:r>
          </w:p>
        </w:tc>
        <w:tc>
          <w:tcPr>
            <w:tcW w:type="dxa" w:w="7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.84</w:t>
            </w:r>
          </w:p>
        </w:tc>
        <w:tc>
          <w:tcPr>
            <w:tcW w:type="dxa" w:w="1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No</w:t>
            </w:r>
          </w:p>
        </w:tc>
      </w:tr>
      <w:tr>
        <w:trPr>
          <w:cantSplit/>
          <w:tblHeader w:val="off"/>
        </w:trPr>
        <w:tc>
          <w:tcPr>
            <w:tcW w:type="dxa" w:w="184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De-escalation, three LLM runs</w:t>
            </w:r>
          </w:p>
        </w:tc>
        <w:tc>
          <w:tcPr>
            <w:tcW w:type="dxa" w:w="164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0.90 [0.82, 0.97] / 0.65</w:t>
            </w:r>
          </w:p>
        </w:tc>
        <w:tc>
          <w:tcPr>
            <w:tcW w:type="dxa" w:w="164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0.93 [0.88, 0.97] / 0.85</w:t>
            </w:r>
          </w:p>
        </w:tc>
        <w:tc>
          <w:tcPr>
            <w:tcW w:type="dxa" w:w="131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0.12</w:t>
            </w:r>
          </w:p>
        </w:tc>
        <w:tc>
          <w:tcPr>
            <w:tcW w:type="dxa" w:w="98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.024</w:t>
            </w:r>
          </w:p>
        </w:tc>
        <w:tc>
          <w:tcPr>
            <w:tcW w:type="dxa" w:w="7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.76</w:t>
            </w:r>
          </w:p>
        </w:tc>
        <w:tc>
          <w:tcPr>
            <w:tcW w:type="dxa" w:w="119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No</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Human values use the final human labels. Populations are four blocks of posts by time. The block-invariance test compares the primary model with one in which the LLM’s error rates vary by block (6 df); the dependence test allows a free joint distribution of the first and third classifiers given the latent class (2 df). The decision rule required the human-based sensitivity and specificity inside the latent-class intervals and a mean absolute prevalence error of at most 0.05.</w:t>
      </w:r>
    </w:p>
    <w:p>
      <w:pPr>
        <w:spacing w:after="0" w:before="0" w:line="480" w:lineRule="auto"/>
        <w:ind w:firstLine="720"/>
      </w:pPr>
      <w:r>
        <w:rPr>
          <w:rFonts w:ascii="Times New Roman" w:cs="Times New Roman" w:eastAsia="Times New Roman" w:hAnsi="Times New Roman"/>
          <w:i/>
          <w:iCs/>
        </w:rPr>
        <w:t xml:space="preserve">Interpretation.</w:t>
      </w:r>
      <w:r>
        <w:rPr>
          <w:rFonts w:ascii="Times New Roman" w:cs="Times New Roman" w:eastAsia="Times New Roman" w:hAnsi="Times New Roman"/>
        </w:rPr>
        <w:t xml:space="preserve"> Three features of this corpus explain the failure. First, the latent class is whatever the classifiers jointly detect. The keyword rule and the zero-shot classifier respond to threatening or conciliatory language, whereas the human codebook defines escalation by context, for example counting a demand without an announced pause as escalation; the shared latent class therefore drifts away from the human construct. Second, the auxiliary classifiers are weak against the human labels (the keyword rule’s specificity for escalation is 0.41; the zero-shot classifier’s sensitivity for de-escalation is 0.19). Third, the corpus is small, with about 48 posts per population. The review outcomes in the main analysis differ on all three counts: defect reports and negative sentiment are concrete constructs that keyword, sentiment, and entailment models measure directly; the auxiliary sentiment model is nearly as accurate as the LLM; and the populations contain more than 4,000 reviews each. These differences make the main results more credible than the validation alone would, but they do not substitute for a validation on the review data itself, which we have prepared (Appendix D).</w:t>
      </w:r>
    </w:p>
    <w:p>
      <w:pPr>
        <w:spacing w:after="0" w:before="0" w:line="480" w:lineRule="auto"/>
        <w:ind w:firstLine="720"/>
      </w:pPr>
      <w:r>
        <w:rPr>
          <w:rFonts w:ascii="Times New Roman" w:cs="Times New Roman" w:eastAsia="Times New Roman" w:hAnsi="Times New Roman"/>
        </w:rPr>
        <w:t xml:space="preserve">The validation has two lessons for practice. The specification tests are useful, since they detected the failure for escalation and for the all-LLM set, but they are not sufficient, since they missed the failure for de-escalation. And agreement among LLMs of one family is not evidence of accuracy: the latent-class model takes their shared errors for truth.</w:t>
      </w:r>
    </w:p>
    <w:p>
      <w:pPr>
        <w:pStyle w:val="Heading1"/>
        <w:keepNext/>
        <w:spacing w:after="0" w:before="240" w:line="480" w:lineRule="auto"/>
        <w:jc w:val="center"/>
      </w:pPr>
      <w:r>
        <w:rPr>
          <w:rFonts w:ascii="Times New Roman" w:cs="Times New Roman" w:eastAsia="Times New Roman" w:hAnsi="Times New Roman"/>
          <w:b/>
          <w:bCs/>
        </w:rPr>
        <w:t xml:space="preserve">Discussion</w:t>
      </w:r>
    </w:p>
    <w:p>
      <w:pPr>
        <w:spacing w:after="0" w:before="0" w:line="480" w:lineRule="auto"/>
        <w:ind w:firstLine="720"/>
      </w:pPr>
      <w:r>
        <w:rPr>
          <w:rFonts w:ascii="Times New Roman" w:cs="Times New Roman" w:eastAsia="Times New Roman" w:hAnsi="Times New Roman"/>
          <w:i/>
          <w:iCs/>
        </w:rPr>
        <w:t xml:space="preserve">What the evidence supports.</w:t>
      </w:r>
      <w:r>
        <w:rPr>
          <w:rFonts w:ascii="Times New Roman" w:cs="Times New Roman" w:eastAsia="Times New Roman" w:hAnsi="Times New Roman"/>
        </w:rPr>
        <w:t xml:space="preserve"> In the review setting, the estimates indicate that the LLM’s classification errors are small and do not vary with treatment, and correcting for them does not change the conclusion that the ban on incentivized reviews left the content of non-incentivized reviews unchanged while lowering their ratings. This conclusion rests on the method’s assumptions, which passed the available tests here but which the validation shows can fail without being detected. The value of the exercise lies less in a changed estimate than in a tested one: before correction, a reader could not tell whether the nulls reflected the absence of an effect or a misclassification that masked it.</w:t>
      </w:r>
    </w:p>
    <w:p>
      <w:pPr>
        <w:spacing w:after="0" w:before="0" w:line="480" w:lineRule="auto"/>
        <w:ind w:firstLine="720"/>
      </w:pPr>
      <w:r>
        <w:rPr>
          <w:rFonts w:ascii="Times New Roman" w:cs="Times New Roman" w:eastAsia="Times New Roman" w:hAnsi="Times New Roman"/>
          <w:i/>
          <w:iCs/>
        </w:rPr>
        <w:t xml:space="preserve">Contributions.</w:t>
      </w:r>
      <w:r>
        <w:rPr>
          <w:rFonts w:ascii="Times New Roman" w:cs="Times New Roman" w:eastAsia="Times New Roman" w:hAnsi="Times New Roman"/>
        </w:rPr>
        <w:t xml:space="preserve"> The paper shows that a DiD design contains the information needed to audit an LLM-coded outcome without human labels. Because the cells of the design differ in the prevalence of the outcome, several imperfect classifiers suffice to identify each classifier’s error rates, the attenuation of the DiD, and the corrected effect, and with three classifiers the key assumptions can be tested. The procedure complements validation with human labels rather than replacing it. It is cheapest and most credible when classifiers with different error mechanisms measure the same concrete construct, as they do for sentiment and for many complaint or attribute categories; for abstract, context-dependent constructs defined by a codebook, the validation shows that it can fail.</w:t>
      </w:r>
    </w:p>
    <w:p>
      <w:pPr>
        <w:spacing w:after="0" w:before="0" w:line="480" w:lineRule="auto"/>
        <w:ind w:firstLine="720"/>
      </w:pPr>
      <w:r>
        <w:rPr>
          <w:rFonts w:ascii="Times New Roman" w:cs="Times New Roman" w:eastAsia="Times New Roman" w:hAnsi="Times New Roman"/>
          <w:i/>
          <w:iCs/>
        </w:rPr>
        <w:t xml:space="preserve">Implications for research practice.</w:t>
      </w:r>
      <w:r>
        <w:rPr>
          <w:rFonts w:ascii="Times New Roman" w:cs="Times New Roman" w:eastAsia="Times New Roman" w:hAnsi="Times New Roman"/>
        </w:rPr>
        <w:t xml:space="preserve"> Researchers who use LLM-coded outcomes in DiD or event-study designs can (1) report the classifier’s Youden index, estimated from the design if no gold standard is available, and interpret a coded effect as the true effect times that index; (2) pair the LLM with at least two classifiers whose errors arise from different mechanisms, such as keyword rules, supervised models, and zero-shot models; (3) test whether the LLM’s accuracy varies across the cells of the design, which is the condition under which misclassification can create or hide an effect; (4) when the tests reject, fall back on bounds that require only an upper bound on the error rates (Horowitz and Manski 1995); and (5) validate the gold-standard-free estimates against a small human-labelled sample whenever the construct is abstract or the auxiliary classifiers are weak, because passing the specification tests is not sufficient.</w:t>
      </w:r>
    </w:p>
    <w:p>
      <w:pPr>
        <w:spacing w:after="0" w:before="0" w:line="480" w:lineRule="auto"/>
        <w:ind w:firstLine="720"/>
      </w:pPr>
      <w:r>
        <w:rPr>
          <w:rFonts w:ascii="Times New Roman" w:cs="Times New Roman" w:eastAsia="Times New Roman" w:hAnsi="Times New Roman"/>
          <w:i/>
          <w:iCs/>
        </w:rPr>
        <w:t xml:space="preserve">Limitations.</w:t>
      </w:r>
      <w:r>
        <w:rPr>
          <w:rFonts w:ascii="Times New Roman" w:cs="Times New Roman" w:eastAsia="Times New Roman" w:hAnsi="Times New Roman"/>
        </w:rPr>
        <w:t xml:space="preserve"> The most important limitation is that the gold-standard-free estimates have not yet been validated against human labels on the review data, and that they failed such a validation on a corpus of political posts. Conditional independence of the classifiers’ errors is an assumption. Our tests do not reject it for the LLM and the zero-shot classifier, but they cannot rule out every form of dependence, and they could not be run for performance praise, for which only two classifiers were available. The zero-shot classifier was run on a subsample because of computing limits, which reduces the power of the dependence tests. The estimated error rates describe the classifiers relative to a latent class that the classifiers jointly define; if all of them share a systematic misunderstanding of the codebook, that error is not detected. The substantive results come from one product category and one policy, and the exposure measure captures only disclosed incentives, which biases the substantive estimates toward zero. Finally, the latent-class analysis was planned after the uncorrected content results were known, although before any additional classifier was run.</w:t>
      </w:r>
    </w:p>
    <w:p>
      <w:pPr>
        <w:spacing w:after="0" w:before="0" w:line="480" w:lineRule="auto"/>
        <w:ind w:firstLine="720"/>
      </w:pPr>
      <w:r>
        <w:rPr>
          <w:rFonts w:ascii="Times New Roman" w:cs="Times New Roman" w:eastAsia="Times New Roman" w:hAnsi="Times New Roman"/>
          <w:i/>
          <w:iCs/>
        </w:rPr>
        <w:t xml:space="preserve">Future research.</w:t>
      </w:r>
      <w:r>
        <w:rPr>
          <w:rFonts w:ascii="Times New Roman" w:cs="Times New Roman" w:eastAsia="Times New Roman" w:hAnsi="Times New Roman"/>
        </w:rPr>
        <w:t xml:space="preserve"> The immediate next step is the pre-registered human validation on the review data (Appendix D). Natural extensions are a systematic study of when design-based estimates of error rates agree with human-based ones, across constructs of different abstraction; designs with more cells, such as staggered adoption, which add identifying variation; continuous or ordinal outcomes; and the use of the same idea for LLM-coded treatment variables rather than outcomes.</w:t>
      </w:r>
    </w:p>
    <w:p>
      <w:pPr>
        <w:pStyle w:val="Heading1"/>
        <w:keepNext/>
        <w:spacing w:after="0" w:before="240" w:line="480" w:lineRule="auto"/>
        <w:jc w:val="center"/>
      </w:pPr>
      <w:r>
        <w:rPr>
          <w:rFonts w:ascii="Times New Roman" w:cs="Times New Roman" w:eastAsia="Times New Roman" w:hAnsi="Times New Roman"/>
          <w:b/>
          <w:bCs/>
        </w:rPr>
        <w:t xml:space="preserve">Conclusion</w:t>
      </w:r>
    </w:p>
    <w:p>
      <w:pPr>
        <w:spacing w:after="0" w:before="0" w:line="480" w:lineRule="auto"/>
        <w:ind w:firstLine="720"/>
      </w:pPr>
      <w:r>
        <w:rPr>
          <w:rFonts w:ascii="Times New Roman" w:cs="Times New Roman" w:eastAsia="Times New Roman" w:hAnsi="Times New Roman"/>
        </w:rPr>
        <w:t xml:space="preserve">LLM-coded outcomes are measurements, and their errors can attenuate, hide, or create treatment effects. We show that a DiD design carries the information needed to estimate those errors without a gold standard, provided that several classifiers with different error mechanisms are available, and that the key assumption can be tested. Applied to Amazon’s ban on incentivized reviews, the procedure indicates that the LLM measured review content well, that its accuracy did not change with the policy, and that the ban did not change what reviewers wrote about defects, sentiment, or performance. A validation on political posts with human labels shows the limits of the approach: for abstract, codebook-defined constructs, the latent class that several classifiers share need not be the construct that humans code, and the specification tests do not always detect the difference.</w:t>
      </w:r>
    </w:p>
    <w:p>
      <w:pPr>
        <w:pStyle w:val="Heading1"/>
        <w:keepNext/>
        <w:spacing w:after="0" w:before="240" w:line="480" w:lineRule="auto"/>
        <w:jc w:val="center"/>
      </w:pPr>
      <w:r>
        <w:rPr>
          <w:rFonts w:ascii="Times New Roman" w:cs="Times New Roman" w:eastAsia="Times New Roman" w:hAnsi="Times New Roman"/>
          <w:b/>
          <w:bCs/>
        </w:rPr>
        <w:t xml:space="preserve">Declarations</w:t>
      </w:r>
    </w:p>
    <w:p>
      <w:pPr>
        <w:spacing w:after="0" w:before="0" w:line="480" w:lineRule="auto"/>
      </w:pPr>
      <w:r>
        <w:rPr>
          <w:rFonts w:ascii="Times New Roman" w:cs="Times New Roman" w:eastAsia="Times New Roman" w:hAnsi="Times New Roman"/>
          <w:i/>
          <w:iCs/>
        </w:rPr>
        <w:t xml:space="preserve">Use of generative AI.</w:t>
      </w:r>
      <w:r>
        <w:rPr>
          <w:rFonts w:ascii="Times New Roman" w:cs="Times New Roman" w:eastAsia="Times New Roman" w:hAnsi="Times New Roman"/>
        </w:rPr>
        <w:t xml:space="preserve"> Large language models were used as classification instruments in the study, as described in the Setting and Data section and Appendix B. Generative AI tools were also used to write analysis code and to draft and edit the manuscript; the authors reviewed all content and take full responsibility for it. [Authors: check this statement against the journal’s disclosure policy before submission.]</w:t>
      </w:r>
    </w:p>
    <w:p>
      <w:pPr>
        <w:spacing w:after="0" w:before="0" w:line="480" w:lineRule="auto"/>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The review data are public (Amazon Reviews 2023). Analysis plans, classifier outputs, code, and results are available in an anonymized repository on request.</w:t>
      </w:r>
    </w:p>
    <w:p>
      <w:pPr>
        <w:pStyle w:val="Heading1"/>
        <w:keepNext/>
        <w:pageBreakBefore/>
        <w:spacing w:after="0" w:before="240" w:line="480" w:lineRule="auto"/>
        <w:jc w:val="center"/>
      </w:pPr>
      <w:r>
        <w:rPr>
          <w:rFonts w:ascii="Times New Roman" w:cs="Times New Roman" w:eastAsia="Times New Roman" w:hAnsi="Times New Roman"/>
          <w:b/>
          <w:bCs/>
        </w:rPr>
        <w:t xml:space="preserve">References</w:t>
      </w:r>
    </w:p>
    <w:p>
      <w:pPr>
        <w:spacing w:after="0" w:before="0" w:line="480" w:lineRule="auto"/>
        <w:ind w:left="720" w:hanging="720"/>
      </w:pPr>
      <w:r>
        <w:rPr>
          <w:rFonts w:ascii="Times New Roman" w:cs="Times New Roman" w:eastAsia="Times New Roman" w:hAnsi="Times New Roman"/>
        </w:rPr>
        <w:t xml:space="preserve">Aigner, D. J. 1973. “Regression with a Binary Independent Variable Subject to Errors of Observation,”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(1:1), pp. 49-59.</w:t>
      </w:r>
    </w:p>
    <w:p>
      <w:pPr>
        <w:spacing w:after="0" w:before="0" w:line="480" w:lineRule="auto"/>
        <w:ind w:left="720" w:hanging="720"/>
      </w:pPr>
      <w:r>
        <w:rPr>
          <w:rFonts w:ascii="Times New Roman" w:cs="Times New Roman" w:eastAsia="Times New Roman" w:hAnsi="Times New Roman"/>
        </w:rPr>
        <w:t xml:space="preserve">Angelopoulos, A. N., Bates, S., Fannjiang, C., Jordan, M. I., and Zrnic, T. 2023. “Prediction-Powered Inference,”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(382:6671), pp. 669-674.</w:t>
      </w:r>
    </w:p>
    <w:p>
      <w:pPr>
        <w:spacing w:after="0" w:before="0" w:line="480" w:lineRule="auto"/>
        <w:ind w:left="720" w:hanging="720"/>
      </w:pPr>
      <w:r>
        <w:rPr>
          <w:rFonts w:ascii="Times New Roman" w:cs="Times New Roman" w:eastAsia="Times New Roman" w:hAnsi="Times New Roman"/>
        </w:rPr>
        <w:t xml:space="preserve">Bound, J., Brown, C., and Mathiowetz, N. 2001. “Measurement Error in Survey Data,” in </w:t>
      </w:r>
      <w:r>
        <w:rPr>
          <w:rFonts w:ascii="Times New Roman" w:cs="Times New Roman" w:eastAsia="Times New Roman" w:hAnsi="Times New Roman"/>
          <w:i/>
          <w:iCs/>
        </w:rPr>
        <w:t xml:space="preserve">Handbook of Econometrics</w:t>
      </w:r>
      <w:r>
        <w:rPr>
          <w:rFonts w:ascii="Times New Roman" w:cs="Times New Roman" w:eastAsia="Times New Roman" w:hAnsi="Times New Roman"/>
        </w:rPr>
        <w:t xml:space="preserve"> (Volume 5), J. J. Heckman and E. Leamer (eds.), Amsterdam: North-Holland, pp. 3705-3843.</w:t>
      </w:r>
    </w:p>
    <w:p>
      <w:pPr>
        <w:spacing w:after="0" w:before="0" w:line="480" w:lineRule="auto"/>
        <w:ind w:left="720" w:hanging="720"/>
      </w:pPr>
      <w:r>
        <w:rPr>
          <w:rFonts w:ascii="Times New Roman" w:cs="Times New Roman" w:eastAsia="Times New Roman" w:hAnsi="Times New Roman"/>
        </w:rPr>
        <w:t xml:space="preserve">Chevalier, J. A., and Mayzlin, D. 2006. “The Effect of Word of Mouth on Sales: Online Book Reviews,” </w:t>
      </w:r>
      <w:r>
        <w:rPr>
          <w:rFonts w:ascii="Times New Roman" w:cs="Times New Roman" w:eastAsia="Times New Roman" w:hAnsi="Times New Roman"/>
          <w:i/>
          <w:iCs/>
        </w:rPr>
        <w:t xml:space="preserve">Journal of Marketing Research</w:t>
      </w:r>
      <w:r>
        <w:rPr>
          <w:rFonts w:ascii="Times New Roman" w:cs="Times New Roman" w:eastAsia="Times New Roman" w:hAnsi="Times New Roman"/>
        </w:rPr>
        <w:t xml:space="preserve"> (43:3), pp. 345-354.</w:t>
      </w:r>
    </w:p>
    <w:p>
      <w:pPr>
        <w:spacing w:after="0" w:before="0" w:line="480" w:lineRule="auto"/>
        <w:ind w:left="720" w:hanging="720"/>
      </w:pPr>
      <w:r>
        <w:rPr>
          <w:rFonts w:ascii="Times New Roman" w:cs="Times New Roman" w:eastAsia="Times New Roman" w:hAnsi="Times New Roman"/>
        </w:rPr>
        <w:t xml:space="preserve">Dawid, A. P., and Skene, A. M. 1979. “Maximum Likelihood Estimation of Observer Error-Rates Using the EM Algorithm,” </w:t>
      </w:r>
      <w:r>
        <w:rPr>
          <w:rFonts w:ascii="Times New Roman" w:cs="Times New Roman" w:eastAsia="Times New Roman" w:hAnsi="Times New Roman"/>
          <w:i/>
          <w:iCs/>
        </w:rPr>
        <w:t xml:space="preserve">Journal of the Royal Statistical Society, Series C (Applied Statistics)</w:t>
      </w:r>
      <w:r>
        <w:rPr>
          <w:rFonts w:ascii="Times New Roman" w:cs="Times New Roman" w:eastAsia="Times New Roman" w:hAnsi="Times New Roman"/>
        </w:rPr>
        <w:t xml:space="preserve"> (28:1), pp. 20-28.</w:t>
      </w:r>
    </w:p>
    <w:p>
      <w:pPr>
        <w:spacing w:after="0" w:before="0" w:line="480" w:lineRule="auto"/>
        <w:ind w:left="720" w:hanging="720"/>
      </w:pPr>
      <w:r>
        <w:rPr>
          <w:rFonts w:ascii="Times New Roman" w:cs="Times New Roman" w:eastAsia="Times New Roman" w:hAnsi="Times New Roman"/>
        </w:rPr>
        <w:t xml:space="preserve">Egami, N., Hinck, M., Stewart, B., and Wei, H. 2023. “Using Imperfect Surrogates for Downstream Inference: Design-Based Supervised Learning for Social Science Applications of Large Language Models,” in </w:t>
      </w:r>
      <w:r>
        <w:rPr>
          <w:rFonts w:ascii="Times New Roman" w:cs="Times New Roman" w:eastAsia="Times New Roman" w:hAnsi="Times New Roman"/>
          <w:i/>
          <w:iCs/>
        </w:rPr>
        <w:t xml:space="preserve">Advances in Neural Information Processing Systems 36</w:t>
      </w:r>
      <w:r>
        <w:rPr>
          <w:rFonts w:ascii="Times New Roman" w:cs="Times New Roman" w:eastAsia="Times New Roman" w:hAnsi="Times New Roman"/>
        </w:rPr>
        <w:t xml:space="preserve">, pp. 68589-68601.</w:t>
      </w:r>
    </w:p>
    <w:p>
      <w:pPr>
        <w:spacing w:after="0" w:before="0" w:line="480" w:lineRule="auto"/>
        <w:ind w:left="720" w:hanging="720"/>
      </w:pPr>
      <w:r>
        <w:rPr>
          <w:rFonts w:ascii="Times New Roman" w:cs="Times New Roman" w:eastAsia="Times New Roman" w:hAnsi="Times New Roman"/>
        </w:rPr>
        <w:t xml:space="preserve">Gilardi, F., Alizadeh, M., and Kubli, M. 2023. “ChatGPT Outperforms Crowd Workers for Text-Annotation Tasks,”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(120:30), e2305016120.</w:t>
      </w:r>
    </w:p>
    <w:p>
      <w:pPr>
        <w:spacing w:after="0" w:before="0" w:line="480" w:lineRule="auto"/>
        <w:ind w:left="720" w:hanging="720"/>
      </w:pPr>
      <w:r>
        <w:rPr>
          <w:rFonts w:ascii="Times New Roman" w:cs="Times New Roman" w:eastAsia="Times New Roman" w:hAnsi="Times New Roman"/>
        </w:rPr>
        <w:t xml:space="preserve">Grimmer, J., and Stewart, B. M. 2013. “Text as Data: The Promise and Pitfalls of Automatic Content Analysis Methods for Political Texts,”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(21:3), pp. 267-297.</w:t>
      </w:r>
    </w:p>
    <w:p>
      <w:pPr>
        <w:spacing w:after="0" w:before="0" w:line="480" w:lineRule="auto"/>
        <w:ind w:left="720" w:hanging="720"/>
      </w:pPr>
      <w:r>
        <w:rPr>
          <w:rFonts w:ascii="Times New Roman" w:cs="Times New Roman" w:eastAsia="Times New Roman" w:hAnsi="Times New Roman"/>
        </w:rPr>
        <w:t xml:space="preserve">Hausman, J. A., Abrevaya, J., and Scott-Morton, F. M. 1998. “Misclassification of the Dependent Variable in a Discrete-Response Setting,”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(87:2), pp. 239-269.</w:t>
      </w:r>
    </w:p>
    <w:p>
      <w:pPr>
        <w:spacing w:after="0" w:before="0" w:line="480" w:lineRule="auto"/>
        <w:ind w:left="720" w:hanging="720"/>
      </w:pPr>
      <w:r>
        <w:rPr>
          <w:rFonts w:ascii="Times New Roman" w:cs="Times New Roman" w:eastAsia="Times New Roman" w:hAnsi="Times New Roman"/>
        </w:rPr>
        <w:t xml:space="preserve">He, S., Hollenbeck, B., and Proserpio, D. 2022. “The Market for Fake Reviews,” </w:t>
      </w:r>
      <w:r>
        <w:rPr>
          <w:rFonts w:ascii="Times New Roman" w:cs="Times New Roman" w:eastAsia="Times New Roman" w:hAnsi="Times New Roman"/>
          <w:i/>
          <w:iCs/>
        </w:rPr>
        <w:t xml:space="preserve">Marketing Science</w:t>
      </w:r>
      <w:r>
        <w:rPr>
          <w:rFonts w:ascii="Times New Roman" w:cs="Times New Roman" w:eastAsia="Times New Roman" w:hAnsi="Times New Roman"/>
        </w:rPr>
        <w:t xml:space="preserve"> (41:5), pp. 896-921.</w:t>
      </w:r>
    </w:p>
    <w:p>
      <w:pPr>
        <w:spacing w:after="0" w:before="0" w:line="480" w:lineRule="auto"/>
        <w:ind w:left="720" w:hanging="720"/>
      </w:pPr>
      <w:r>
        <w:rPr>
          <w:rFonts w:ascii="Times New Roman" w:cs="Times New Roman" w:eastAsia="Times New Roman" w:hAnsi="Times New Roman"/>
        </w:rPr>
        <w:t xml:space="preserve">Horowitz, J. L., and Manski, C. F. 1995. “Identification and Robustness with Contaminated and Corrupted Data,”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(63:2), pp. 281-302.</w:t>
      </w:r>
    </w:p>
    <w:p>
      <w:pPr>
        <w:spacing w:after="0" w:before="0" w:line="480" w:lineRule="auto"/>
        <w:ind w:left="720" w:hanging="720"/>
      </w:pPr>
      <w:r>
        <w:rPr>
          <w:rFonts w:ascii="Times New Roman" w:cs="Times New Roman" w:eastAsia="Times New Roman" w:hAnsi="Times New Roman"/>
        </w:rPr>
        <w:t xml:space="preserve">Hou, Y., Li, J., He, Z., Yan, A., Chen, X., and McAuley, J. 2024. “Bridging Language and Items for Retrieval and Recommendation,” arXiv:2403.03952.</w:t>
      </w:r>
    </w:p>
    <w:p>
      <w:pPr>
        <w:spacing w:after="0" w:before="0" w:line="480" w:lineRule="auto"/>
        <w:ind w:left="720" w:hanging="720"/>
      </w:pPr>
      <w:r>
        <w:rPr>
          <w:rFonts w:ascii="Times New Roman" w:cs="Times New Roman" w:eastAsia="Times New Roman" w:hAnsi="Times New Roman"/>
        </w:rPr>
        <w:t xml:space="preserve">Hu, Y. 2008. “Identification and Estimation of Nonlinear Models with Misclassification Error Using Instrumental Variables: A General Solution,”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(144:1), pp. 27-61.</w:t>
      </w:r>
    </w:p>
    <w:p>
      <w:pPr>
        <w:spacing w:after="0" w:before="0" w:line="480" w:lineRule="auto"/>
        <w:ind w:left="720" w:hanging="720"/>
      </w:pPr>
      <w:r>
        <w:rPr>
          <w:rFonts w:ascii="Times New Roman" w:cs="Times New Roman" w:eastAsia="Times New Roman" w:hAnsi="Times New Roman"/>
        </w:rPr>
        <w:t xml:space="preserve">Hui, S. L., and Walter, S. D. 1980. “Estimating the Error Rates of Diagnostic Tests,”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(36:1), pp. 167-171.</w:t>
      </w:r>
    </w:p>
    <w:p>
      <w:pPr>
        <w:spacing w:after="0" w:before="0" w:line="480" w:lineRule="auto"/>
        <w:ind w:left="720" w:hanging="720"/>
      </w:pPr>
      <w:r>
        <w:rPr>
          <w:rFonts w:ascii="Times New Roman" w:cs="Times New Roman" w:eastAsia="Times New Roman" w:hAnsi="Times New Roman"/>
        </w:rPr>
        <w:t xml:space="preserve">Laurer, M., van Atteveldt, W., Casas, A., and Welbers, K. 2024. “Less Annotating, More Classifying: Addressing the Data Scarcity Issue of Supervised Machine Learning with Deep Transfer Learning and BERT-NLI,”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(32:1), pp. 84-100.</w:t>
      </w:r>
    </w:p>
    <w:p>
      <w:pPr>
        <w:spacing w:after="0" w:before="0" w:line="480" w:lineRule="auto"/>
        <w:ind w:left="720" w:hanging="720"/>
      </w:pPr>
      <w:r>
        <w:rPr>
          <w:rFonts w:ascii="Times New Roman" w:cs="Times New Roman" w:eastAsia="Times New Roman" w:hAnsi="Times New Roman"/>
        </w:rPr>
        <w:t xml:space="preserve">Lewbel, A. 2007. “Estimation of Average Treatment Effects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(75:2), pp. 537-551.</w:t>
      </w:r>
    </w:p>
    <w:p>
      <w:pPr>
        <w:spacing w:after="0" w:before="0" w:line="480" w:lineRule="auto"/>
        <w:ind w:left="720" w:hanging="720"/>
      </w:pPr>
      <w:r>
        <w:rPr>
          <w:rFonts w:ascii="Times New Roman" w:cs="Times New Roman" w:eastAsia="Times New Roman" w:hAnsi="Times New Roman"/>
        </w:rPr>
        <w:t xml:space="preserve">Loureiro, D., Barbieri, F., Neves, L., Espinosa Anke, L., and Camacho-Collados, J. 2022. “TimeLMs: Diachronic Language Models from Twitter,” in </w:t>
      </w:r>
      <w:r>
        <w:rPr>
          <w:rFonts w:ascii="Times New Roman" w:cs="Times New Roman" w:eastAsia="Times New Roman" w:hAnsi="Times New Roman"/>
          <w:i/>
          <w:iCs/>
        </w:rPr>
        <w:t xml:space="preserve">Proceedings of the 60th Annual Meeting of the Association for Computational Linguistics: System Demonstrations</w:t>
      </w:r>
      <w:r>
        <w:rPr>
          <w:rFonts w:ascii="Times New Roman" w:cs="Times New Roman" w:eastAsia="Times New Roman" w:hAnsi="Times New Roman"/>
        </w:rPr>
        <w:t xml:space="preserve">, pp. 251-260.</w:t>
      </w:r>
    </w:p>
    <w:p>
      <w:pPr>
        <w:spacing w:after="0" w:before="0" w:line="480" w:lineRule="auto"/>
        <w:ind w:left="720" w:hanging="720"/>
      </w:pPr>
      <w:r>
        <w:rPr>
          <w:rFonts w:ascii="Times New Roman" w:cs="Times New Roman" w:eastAsia="Times New Roman" w:hAnsi="Times New Roman"/>
        </w:rPr>
        <w:t xml:space="preserve">Luca, M., and Zervas, G. 2016. “Fake It Till You Make It: Reputation, Competition, and Yelp Review Fraud,” </w:t>
      </w:r>
      <w:r>
        <w:rPr>
          <w:rFonts w:ascii="Times New Roman" w:cs="Times New Roman" w:eastAsia="Times New Roman" w:hAnsi="Times New Roman"/>
          <w:i/>
          <w:iCs/>
        </w:rPr>
        <w:t xml:space="preserve">Management Science</w:t>
      </w:r>
      <w:r>
        <w:rPr>
          <w:rFonts w:ascii="Times New Roman" w:cs="Times New Roman" w:eastAsia="Times New Roman" w:hAnsi="Times New Roman"/>
        </w:rPr>
        <w:t xml:space="preserve"> (62:12), pp. 3412-3427.</w:t>
      </w:r>
    </w:p>
    <w:p>
      <w:pPr>
        <w:spacing w:after="0" w:before="0" w:line="480" w:lineRule="auto"/>
        <w:ind w:left="720" w:hanging="720"/>
      </w:pPr>
      <w:r>
        <w:rPr>
          <w:rFonts w:ascii="Times New Roman" w:cs="Times New Roman" w:eastAsia="Times New Roman" w:hAnsi="Times New Roman"/>
        </w:rPr>
        <w:t xml:space="preserve">Mahajan, A. 2006. “Identification and Estimation of Regression Models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(74:3), pp. 631-665.</w:t>
      </w:r>
    </w:p>
    <w:p>
      <w:pPr>
        <w:spacing w:after="0" w:before="0" w:line="480" w:lineRule="auto"/>
        <w:ind w:left="720" w:hanging="720"/>
      </w:pPr>
      <w:r>
        <w:rPr>
          <w:rFonts w:ascii="Times New Roman" w:cs="Times New Roman" w:eastAsia="Times New Roman" w:hAnsi="Times New Roman"/>
        </w:rPr>
        <w:t xml:space="preserve">Mayzlin, D., Dover, Y., and Chevalier, J. 2014. “Promotional Reviews: An Empirical Investigation of Online Review Manipulation,” </w:t>
      </w:r>
      <w:r>
        <w:rPr>
          <w:rFonts w:ascii="Times New Roman" w:cs="Times New Roman" w:eastAsia="Times New Roman" w:hAnsi="Times New Roman"/>
          <w:i/>
          <w:iCs/>
        </w:rPr>
        <w:t xml:space="preserve">American Economic Review</w:t>
      </w:r>
      <w:r>
        <w:rPr>
          <w:rFonts w:ascii="Times New Roman" w:cs="Times New Roman" w:eastAsia="Times New Roman" w:hAnsi="Times New Roman"/>
        </w:rPr>
        <w:t xml:space="preserve"> (104:8), pp. 2421-2455.</w:t>
      </w:r>
    </w:p>
    <w:p>
      <w:pPr>
        <w:spacing w:after="0" w:before="0" w:line="480" w:lineRule="auto"/>
        <w:ind w:left="720" w:hanging="720"/>
      </w:pPr>
      <w:r>
        <w:rPr>
          <w:rFonts w:ascii="Times New Roman" w:cs="Times New Roman" w:eastAsia="Times New Roman" w:hAnsi="Times New Roman"/>
        </w:rPr>
        <w:t xml:space="preserve">Vacek, P. M. 1985. “The Effect of Conditional Dependence on the Evaluation of Diagnostic Tests,”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(41:4), pp. 959-968.</w:t>
      </w:r>
    </w:p>
    <w:p>
      <w:pPr>
        <w:spacing w:after="0" w:before="0" w:line="480" w:lineRule="auto"/>
        <w:ind w:left="720" w:hanging="720"/>
      </w:pPr>
      <w:r>
        <w:rPr>
          <w:rFonts w:ascii="Times New Roman" w:cs="Times New Roman" w:eastAsia="Times New Roman" w:hAnsi="Times New Roman"/>
        </w:rPr>
        <w:t xml:space="preserve">Yin, W., Hay, J., and Roth, D. 2019. “Benchmarking Zero-Shot Text Classification: Datasets, Evaluation and Entailment Approach,” in </w:t>
      </w:r>
      <w:r>
        <w:rPr>
          <w:rFonts w:ascii="Times New Roman" w:cs="Times New Roman" w:eastAsia="Times New Roman" w:hAnsi="Times New Roman"/>
          <w:i/>
          <w:iCs/>
        </w:rPr>
        <w:t xml:space="preserve">Proceedings of the 2019 Conference on Empirical Methods in Natural Language Processing</w:t>
      </w:r>
      <w:r>
        <w:rPr>
          <w:rFonts w:ascii="Times New Roman" w:cs="Times New Roman" w:eastAsia="Times New Roman" w:hAnsi="Times New Roman"/>
        </w:rPr>
        <w:t xml:space="preserve">, pp. 3914-3923.</w:t>
      </w:r>
    </w:p>
    <w:p>
      <w:pPr>
        <w:spacing w:after="0" w:before="0" w:line="480" w:lineRule="auto"/>
        <w:ind w:left="720" w:hanging="720"/>
      </w:pPr>
      <w:r>
        <w:rPr>
          <w:rFonts w:ascii="Times New Roman" w:cs="Times New Roman" w:eastAsia="Times New Roman" w:hAnsi="Times New Roman"/>
        </w:rPr>
        <w:t xml:space="preserve">Ziems, C., Held, W., Shaikh, O., Chen, J., Zhang, Z., and Yang, D. 2024. “Can Large Language Models Transform Computational Social Science?,”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(50:1), pp. 237-291.</w:t>
      </w:r>
    </w:p>
    <w:p>
      <w:pPr>
        <w:pStyle w:val="Heading1"/>
        <w:keepNext/>
        <w:pageBreakBefore/>
        <w:spacing w:after="0" w:before="240" w:line="480" w:lineRule="auto"/>
        <w:jc w:val="center"/>
      </w:pPr>
      <w:r>
        <w:rPr>
          <w:rFonts w:ascii="Times New Roman" w:cs="Times New Roman" w:eastAsia="Times New Roman" w:hAnsi="Times New Roman"/>
          <w:b/>
          <w:bCs/>
        </w:rPr>
        <w:t xml:space="preserve">Appendix A. Estimator Check by Simulation</w:t>
      </w:r>
    </w:p>
    <w:p>
      <w:pPr>
        <w:spacing w:after="0" w:before="0" w:line="480" w:lineRule="auto"/>
        <w:ind w:firstLine="720"/>
      </w:pPr>
      <w:r>
        <w:rPr>
          <w:rFonts w:ascii="Times New Roman" w:cs="Times New Roman" w:eastAsia="Times New Roman" w:hAnsi="Times New Roman"/>
        </w:rPr>
        <w:t xml:space="preserve">Before the real data were analysed, we simulated 200 data sets with 4,300 reviews per cell, true cell prevalences of 0.12, 0.15, 0.10, and 0.17 (a true DiD of 0.04), and three classifiers with sensitivities 0.80, 0.70, and 0.60 and specificities 0.95, 0.90, and 0.97, with errors independent given the true outcome. Table A1 compares the estimates with the truth. The plan required that each parameter fall within two standard deviations of the truth in at least 90% of replications. In the same data, the DiD on the first classifier alone would be 0.03, the true DiD times that classifier’s Youden index of 0.75, as Proposition 1 implies.</w:t>
      </w:r>
    </w:p>
    <w:p>
      <w:pPr>
        <w:keepNext/>
        <w:spacing w:after="120" w:before="240" w:line="240" w:lineRule="auto"/>
        <w:jc w:val="center"/>
      </w:pPr>
      <w:r>
        <w:rPr>
          <w:rFonts w:ascii="Times New Roman" w:cs="Times New Roman" w:eastAsia="Times New Roman" w:hAnsi="Times New Roman"/>
          <w:b/>
          <w:bCs/>
          <w:sz w:val="22"/>
          <w:szCs w:val="22"/>
        </w:rPr>
        <w:t xml:space="preserve">Table A1. Recovery of Known Parameters in 200 Simulated Data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1207"/>
        <w:gridCol w:w="1962"/>
        <w:gridCol w:w="1207"/>
        <w:gridCol w:w="2569"/>
      </w:tblGrid>
      <w:tr>
        <w:trPr>
          <w:cantSplit/>
          <w:tblHeader/>
        </w:trPr>
        <w:tc>
          <w:tcPr>
            <w:tcW w:type="dxa" w:w="241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Parameter</w:t>
            </w:r>
          </w:p>
        </w:tc>
        <w:tc>
          <w:tcPr>
            <w:tcW w:type="dxa" w:w="12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Truth</w:t>
            </w:r>
          </w:p>
        </w:tc>
        <w:tc>
          <w:tcPr>
            <w:tcW w:type="dxa" w:w="196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Mean estimate</w:t>
            </w:r>
          </w:p>
        </w:tc>
        <w:tc>
          <w:tcPr>
            <w:tcW w:type="dxa" w:w="12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SD</w:t>
            </w:r>
          </w:p>
        </w:tc>
        <w:tc>
          <w:tcPr>
            <w:tcW w:type="dxa" w:w="25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Share within 2 SD</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DiD</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0.040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0.039</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0.013</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Se, classifier 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0.802</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0.016</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0.98</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Se, classifier 2</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0.701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0.014</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0.94</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Se, classifier 3</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0.015</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Sp, classifier 1</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0.95</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0.950</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0.003</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r>
        <w:trPr>
          <w:cantSplit/>
          <w:tblHeader w:val="off"/>
        </w:trPr>
        <w:tc>
          <w:tcPr>
            <w:tcW w:type="dxa" w:w="2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Sp, classifier 2</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0.90</w:t>
            </w:r>
          </w:p>
        </w:tc>
        <w:tc>
          <w:tcPr>
            <w:tcW w:type="dxa" w:w="19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0.900</w:t>
            </w:r>
          </w:p>
        </w:tc>
        <w:tc>
          <w:tcPr>
            <w:tcW w:type="dxa" w:w="12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0.003</w:t>
            </w:r>
          </w:p>
        </w:tc>
        <w:tc>
          <w:tcPr>
            <w:tcW w:type="dxa" w:w="25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r>
        <w:trPr>
          <w:cantSplit/>
          <w:tblHeader w:val="off"/>
        </w:trPr>
        <w:tc>
          <w:tcPr>
            <w:tcW w:type="dxa" w:w="241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Sp, classifier 3</w:t>
            </w:r>
          </w:p>
        </w:tc>
        <w:tc>
          <w:tcPr>
            <w:tcW w:type="dxa" w:w="12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w:t>
            </w:r>
          </w:p>
        </w:tc>
        <w:tc>
          <w:tcPr>
            <w:tcW w:type="dxa" w:w="196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0.970</w:t>
            </w:r>
          </w:p>
        </w:tc>
        <w:tc>
          <w:tcPr>
            <w:tcW w:type="dxa" w:w="12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0.002</w:t>
            </w:r>
          </w:p>
        </w:tc>
        <w:tc>
          <w:tcPr>
            <w:tcW w:type="dxa" w:w="25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0.96</w:t>
            </w:r>
          </w:p>
        </w:tc>
      </w:tr>
    </w:tbl>
    <w:p>
      <w:pPr>
        <w:spacing w:after="240" w:before="0" w:line="240" w:lineRule="auto"/>
      </w:pPr>
    </w:p>
    <w:p>
      <w:pPr>
        <w:pStyle w:val="Heading1"/>
        <w:keepNext/>
        <w:spacing w:after="0" w:before="240" w:line="480" w:lineRule="auto"/>
        <w:jc w:val="center"/>
      </w:pPr>
      <w:r>
        <w:rPr>
          <w:rFonts w:ascii="Times New Roman" w:cs="Times New Roman" w:eastAsia="Times New Roman" w:hAnsi="Times New Roman"/>
          <w:b/>
          <w:bCs/>
        </w:rPr>
        <w:t xml:space="preserve">Appendix B. Classifier Specifications and Plan Amendment</w:t>
      </w:r>
    </w:p>
    <w:p>
      <w:pPr>
        <w:spacing w:after="0" w:before="0" w:line="480" w:lineRule="auto"/>
        <w:ind w:firstLine="720"/>
      </w:pPr>
      <w:r>
        <w:rPr>
          <w:rFonts w:ascii="Times New Roman" w:cs="Times New Roman" w:eastAsia="Times New Roman" w:hAnsi="Times New Roman"/>
          <w:i/>
          <w:iCs/>
        </w:rPr>
        <w:t xml:space="preserve">LLM (H).</w:t>
      </w:r>
      <w:r>
        <w:rPr>
          <w:rFonts w:ascii="Times New Roman" w:cs="Times New Roman" w:eastAsia="Times New Roman" w:hAnsi="Times New Roman"/>
        </w:rPr>
        <w:t xml:space="preserve"> claude-haiku-5-5, run as sub-agents of the Claude Code agent (version 2.1.300) on October 13, 2026, with default sampling settings, coding each review from its text with the study codebook. Outcomes: defect reported (defect = 1); negative overall sentiment (overall = neg); performance praised (performance = +1). The reliability coder was claude-sonnet-5-5 (399 reviews).</w:t>
      </w:r>
    </w:p>
    <w:p>
      <w:pPr>
        <w:spacing w:after="0" w:before="0" w:line="480" w:lineRule="auto"/>
        <w:ind w:firstLine="720"/>
      </w:pPr>
      <w:r>
        <w:rPr>
          <w:rFonts w:ascii="Times New Roman" w:cs="Times New Roman" w:eastAsia="Times New Roman" w:hAnsi="Times New Roman"/>
          <w:i/>
          <w:iCs/>
        </w:rPr>
        <w:t xml:space="preserve">Keyword rule (L).</w:t>
      </w:r>
      <w:r>
        <w:rPr>
          <w:rFonts w:ascii="Times New Roman" w:cs="Times New Roman" w:eastAsia="Times New Roman" w:hAnsi="Times New Roman"/>
        </w:rPr>
        <w:t xml:space="preserve"> A review is flagged as reporting a defect if it contains, as whole words and in any case, any of the phrases: broke, broken, breaks, stopped working, quit working, stop working, doesn’t work, does not work, didn’t work, did not work, not working, won’t work, defective, defect, malfunction, malfunctioned, failed, fails, failure, damaged, dented, cracked, leak, leaks, leaking, leaked, wrong item, wrong part, missing parts, missing part, dead on arrival, doa, died, burned out, burnt out, shorted, faulty, not as described, wrong size.</w:t>
      </w:r>
    </w:p>
    <w:p>
      <w:pPr>
        <w:spacing w:after="0" w:before="0" w:line="480" w:lineRule="auto"/>
        <w:ind w:firstLine="720"/>
      </w:pPr>
      <w:r>
        <w:rPr>
          <w:rFonts w:ascii="Times New Roman" w:cs="Times New Roman" w:eastAsia="Times New Roman" w:hAnsi="Times New Roman"/>
          <w:i/>
          <w:iCs/>
        </w:rPr>
        <w:t xml:space="preserve">Sentiment model (S).</w:t>
      </w:r>
      <w:r>
        <w:rPr>
          <w:rFonts w:ascii="Times New Roman" w:cs="Times New Roman" w:eastAsia="Times New Roman" w:hAnsi="Times New Roman"/>
        </w:rPr>
        <w:t xml:space="preserve"> cardiffnlp/twitter-roberta-base-sentiment-latest (revision 3216a57f2a0d9c45a2e6c20157c20c49fb4bf9c7); texts truncated to 512 tokens; negative if “negative” is the most probable of three classes.</w:t>
      </w:r>
    </w:p>
    <w:p>
      <w:pPr>
        <w:spacing w:after="0" w:before="0" w:line="480" w:lineRule="auto"/>
        <w:ind w:firstLine="720"/>
      </w:pPr>
      <w:r>
        <w:rPr>
          <w:rFonts w:ascii="Times New Roman" w:cs="Times New Roman" w:eastAsia="Times New Roman" w:hAnsi="Times New Roman"/>
          <w:i/>
          <w:iCs/>
        </w:rPr>
        <w:t xml:space="preserve">Zero-shot classifier (Z).</w:t>
      </w:r>
      <w:r>
        <w:rPr>
          <w:rFonts w:ascii="Times New Roman" w:cs="Times New Roman" w:eastAsia="Times New Roman" w:hAnsi="Times New Roman"/>
        </w:rPr>
        <w:t xml:space="preserve"> MoritzLaurer/deberta-v3-xsmall-zeroshot-v1.1-all-33 (revision 262ae02f29173eec1c250f90804dc7edc677dcff); texts truncated to 256 tokens; positive if the entailment probability is at least 0.5. Hypotheses: “The reviewer reports that the product was defective, broken, damaged, or stopped working.” “The reviewer is dissatisfied with the product.” “The reviewer praises how well the product works.” Random subsample of 300 reviews per cell (seed 20261015).</w:t>
      </w:r>
    </w:p>
    <w:p>
      <w:pPr>
        <w:spacing w:after="0" w:before="0" w:line="480" w:lineRule="auto"/>
        <w:ind w:firstLine="720"/>
      </w:pPr>
      <w:r>
        <w:rPr>
          <w:rFonts w:ascii="Times New Roman" w:cs="Times New Roman" w:eastAsia="Times New Roman" w:hAnsi="Times New Roman"/>
          <w:i/>
          <w:iCs/>
        </w:rPr>
        <w:t xml:space="preserve">Amendment.</w:t>
      </w:r>
      <w:r>
        <w:rPr>
          <w:rFonts w:ascii="Times New Roman" w:cs="Times New Roman" w:eastAsia="Times New Roman" w:hAnsi="Times New Roman"/>
        </w:rPr>
        <w:t xml:space="preserve"> The plan originally specified a larger zero-shot model (MoritzLaurer/deberta-v3-base-zeroshot-v2.0) on 1,000 reviews per cell. On the available CPU, it processed 96 reviews in ten minutes, implying about seven hours for the subsample. Its 96 outputs were deleted without being inspected, and the smaller model, shorter truncation, and smaller subsample above were adopted in a dated amendment before any output of the smaller model existed.</w:t>
      </w:r>
    </w:p>
    <w:p>
      <w:pPr>
        <w:pStyle w:val="Heading1"/>
        <w:keepNext/>
        <w:spacing w:after="0" w:before="240" w:line="480" w:lineRule="auto"/>
        <w:jc w:val="center"/>
      </w:pPr>
      <w:r>
        <w:rPr>
          <w:rFonts w:ascii="Times New Roman" w:cs="Times New Roman" w:eastAsia="Times New Roman" w:hAnsi="Times New Roman"/>
          <w:b/>
          <w:bCs/>
        </w:rPr>
        <w:t xml:space="preserve">Appendix C. Validation Design (Political Posts)</w:t>
      </w:r>
    </w:p>
    <w:p>
      <w:pPr>
        <w:spacing w:after="0" w:before="0" w:line="480" w:lineRule="auto"/>
        <w:ind w:firstLine="720"/>
      </w:pPr>
      <w:r>
        <w:rPr>
          <w:rFonts w:ascii="Times New Roman" w:cs="Times New Roman" w:eastAsia="Times New Roman" w:hAnsi="Times New Roman"/>
          <w:i/>
          <w:iCs/>
        </w:rPr>
        <w:t xml:space="preserve">Units and populations.</w:t>
      </w:r>
      <w:r>
        <w:rPr>
          <w:rFonts w:ascii="Times New Roman" w:cs="Times New Roman" w:eastAsia="Times New Roman" w:hAnsi="Times New Roman"/>
        </w:rPr>
        <w:t xml:space="preserve"> The 191 war-period posts of the Hormuz study, divided into four blocks of 48, 48, 47, and 48 posts by posting time. </w:t>
      </w:r>
      <w:r>
        <w:rPr>
          <w:rFonts w:ascii="Times New Roman" w:cs="Times New Roman" w:eastAsia="Times New Roman" w:hAnsi="Times New Roman"/>
          <w:i/>
          <w:iCs/>
        </w:rPr>
        <w:t xml:space="preserve">Reference labels.</w:t>
      </w:r>
      <w:r>
        <w:rPr>
          <w:rFonts w:ascii="Times New Roman" w:cs="Times New Roman" w:eastAsia="Times New Roman" w:hAnsi="Times New Roman"/>
        </w:rPr>
        <w:t xml:space="preserve"> Final human labels after an independent third coder resolved the original coders’ disagreements (primary); investigator-adjudicated labels and coder-consensus posts (secondary). </w:t>
      </w:r>
      <w:r>
        <w:rPr>
          <w:rFonts w:ascii="Times New Roman" w:cs="Times New Roman" w:eastAsia="Times New Roman" w:hAnsi="Times New Roman"/>
          <w:i/>
          <w:iCs/>
        </w:rPr>
        <w:t xml:space="preserve">Classifiers.</w:t>
      </w:r>
      <w:r>
        <w:rPr>
          <w:rFonts w:ascii="Times New Roman" w:cs="Times New Roman" w:eastAsia="Times New Roman" w:hAnsi="Times New Roman"/>
        </w:rPr>
        <w:t xml:space="preserve"> The original LLM labels (two-run first stage, first run, claude-sonnet-5-5 without the codebook); keyword rules for escalation and de-escalation language; the zero-shot classifier of the main analysis with the hypotheses “The post threatens, warns of, or announces military action or pressure against Iran.” and “The post announces a pause, ceasefire, deal, talks, or easing of the conflict with Iran.”; and, in the secondary set, the codebook runs of claude-opus-5-5 and claude-haiku-5-5. </w:t>
      </w:r>
      <w:r>
        <w:rPr>
          <w:rFonts w:ascii="Times New Roman" w:cs="Times New Roman" w:eastAsia="Times New Roman" w:hAnsi="Times New Roman"/>
          <w:i/>
          <w:iCs/>
        </w:rPr>
        <w:t xml:space="preserve">Inference.</w:t>
      </w:r>
      <w:r>
        <w:rPr>
          <w:rFonts w:ascii="Times New Roman" w:cs="Times New Roman" w:eastAsia="Times New Roman" w:hAnsi="Times New Roman"/>
        </w:rPr>
        <w:t xml:space="preserve"> Bootstrap of posts with 1,000 resamples. With the investigator-adjudicated labels as the reference, the human-based sensitivities and specificities change by at most 0.07 (Table 5 reports the final labels).</w:t>
      </w:r>
    </w:p>
    <w:p>
      <w:pPr>
        <w:pStyle w:val="Heading1"/>
        <w:keepNext/>
        <w:spacing w:after="0" w:before="240" w:line="480" w:lineRule="auto"/>
        <w:jc w:val="center"/>
      </w:pPr>
      <w:r>
        <w:rPr>
          <w:rFonts w:ascii="Times New Roman" w:cs="Times New Roman" w:eastAsia="Times New Roman" w:hAnsi="Times New Roman"/>
          <w:b/>
          <w:bCs/>
        </w:rPr>
        <w:t xml:space="preserve">Appendix D. Planned Human Validation on the Review Data</w:t>
      </w:r>
    </w:p>
    <w:p>
      <w:pPr>
        <w:spacing w:after="0" w:before="0" w:line="480" w:lineRule="auto"/>
        <w:ind w:firstLine="720"/>
      </w:pPr>
      <w:r>
        <w:rPr>
          <w:rFonts w:ascii="Times New Roman" w:cs="Times New Roman" w:eastAsia="Times New Roman" w:hAnsi="Times New Roman"/>
        </w:rPr>
        <w:t xml:space="preserve">A pre-registered validation on the review data is prepared but not yet carried out. It draws 200 reviews, 50 per DiD cell, at random from the 1,200 reviews coded by all four classifiers. Two coders, each working alone with a different random order and the study codebook, code the three outcomes from the text only; an independent third coder resolves their disagreements, and the investigators do not adjudicate. Human-based sensitivity, specificity, and Youden index of each classifier will be compared with the latent-class estimates. The plan fixes in advance that the correction counts as validated for an outcome if the latent-class Youden index of the LLM lies inside the human-based 95% interval and differs from it by at most 0.10; otherwise, the paper will report the corrected DiD using the human-based Youden index.</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836f9972b410a0511d485afe3a46b354d91968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cp:lastModifiedBy>Un-named</cp:lastModifiedBy>
  <cp:revision>1</cp:revision>
  <dcterms:created xsi:type="dcterms:W3CDTF">2026-10-15T11:05:34.281Z</dcterms:created>
  <dcterms:modified xsi:type="dcterms:W3CDTF">2026-10-15T11:05:34.281Z</dcterms:modified>
</cp:coreProperties>
</file>

<file path=docProps/custom.xml><?xml version="1.0" encoding="utf-8"?>
<Properties xmlns="http://schemas.openxmlformats.org/officeDocument/2006/custom-properties" xmlns:vt="http://schemas.openxmlformats.org/officeDocument/2006/docPropsVTypes"/>
</file>