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 Table 1 gives the decision rule for each hypothesis.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state both predictions in advance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TableCaption"/>
        <w:keepNext/>
      </w:pPr>
      <w:r>
        <w:rPr>
          <w:b/>
          <w:bCs/>
        </w:rPr>
        <w:t xml:space="preserve">Table 1. </w:t>
      </w:r>
      <w:r>
        <w:t xml:space="preserve">Decision rules for H1–H5</w:t>
      </w:r>
    </w:p>
    <w:tbl>
      <w:tblPr>
        <w:tblW w:w="9360" w:type="dxa"/>
        <w:tblLayout w:type="fixed"/>
        <w:tblCellMar>
          <w:left w:w="80" w:type="dxa"/>
          <w:right w:w="80" w:type="dxa"/>
        </w:tblCellMar>
      </w:tblPr>
      <w:tblGrid>
        <w:gridCol w:w="1300"/>
        <w:gridCol w:w="2700"/>
        <w:gridCol w:w="5360"/>
      </w:tblGrid>
      <w:tr>
        <w:trPr>
          <w:cantSplit/>
          <w:tblHeader/>
        </w:trPr>
        <w:tc>
          <w:tcPr>
            <w:tcW w:w="1300" w:type="dxa"/>
            <w:tcBorders>
              <w:top w:val="single" w:sz="8" w:space="0" w:color="000000"/>
              <w:bottom w:val="single" w:sz="4" w:space="0" w:color="000000"/>
            </w:tcBorders>
          </w:tcPr>
          <w:p>
            <w:pPr>
              <w:pStyle w:val="Compact"/>
              <w:spacing w:before="40" w:after="40"/>
            </w:pPr>
            <w:r>
              <w:rPr>
                <w:b/>
                <w:bCs/>
              </w:rPr>
              <w:t xml:space="preserve">Hypothesis</w:t>
            </w:r>
          </w:p>
        </w:tc>
        <w:tc>
          <w:tcPr>
            <w:tcW w:w="2700" w:type="dxa"/>
            <w:tcBorders>
              <w:top w:val="single" w:sz="8" w:space="0" w:color="000000"/>
              <w:bottom w:val="single" w:sz="4" w:space="0" w:color="000000"/>
            </w:tcBorders>
          </w:tcPr>
          <w:p>
            <w:pPr>
              <w:pStyle w:val="Compact"/>
              <w:spacing w:before="40" w:after="40"/>
            </w:pPr>
            <w:r>
              <w:rPr>
                <w:b/>
                <w:bCs/>
              </w:rPr>
              <w:t xml:space="preserve">Quantity</w:t>
            </w:r>
          </w:p>
        </w:tc>
        <w:tc>
          <w:tcPr>
            <w:tcW w:w="5360" w:type="dxa"/>
            <w:tcBorders>
              <w:top w:val="single" w:sz="8" w:space="0" w:color="000000"/>
              <w:bottom w:val="single" w:sz="4" w:space="0" w:color="000000"/>
            </w:tcBorders>
          </w:tcPr>
          <w:p>
            <w:pPr>
              <w:pStyle w:val="Compact"/>
              <w:spacing w:before="40" w:after="40"/>
            </w:pPr>
            <w:r>
              <w:rPr>
                <w:b/>
                <w:bCs/>
              </w:rPr>
              <w:t xml:space="preserve">Supported if</w:t>
            </w:r>
          </w:p>
        </w:tc>
      </w:tr>
      <w:tr>
        <w:trPr>
          <w:cantSplit/>
        </w:trPr>
        <w:tc>
          <w:tcPr>
            <w:tcW w:w="1300" w:type="dxa"/>
          </w:tcPr>
          <w:p>
            <w:pPr>
              <w:pStyle w:val="Compact"/>
              <w:spacing w:before="40" w:after="40"/>
            </w:pPr>
            <w:r>
              <w:rPr>
                <w:b/>
                <w:bCs/>
              </w:rPr>
              <w:t xml:space="preserve">H1</w:t>
            </w:r>
          </w:p>
        </w:tc>
        <w:tc>
          <w:tcPr>
            <w:tcW w:w="2700" w:type="dxa"/>
          </w:tcPr>
          <w:p>
            <w:pPr>
              <w:pStyle w:val="Compact"/>
              <w:spacing w:before="40" w:after="40"/>
            </w:pPr>
            <w:r>
              <w:t xml:space="preserve">ρ; rank correlation of ν with the share removed</w:t>
            </w:r>
          </w:p>
        </w:tc>
        <w:tc>
          <w:tcPr>
            <w:tcW w:w="5360" w:type="dxa"/>
          </w:tcPr>
          <w:p>
            <w:pPr>
              <w:pStyle w:val="Compact"/>
              <w:spacing w:before="40" w:after="40"/>
            </w:pPr>
            <w:r>
              <w:t xml:space="preserve">Supported for a model if the interval for ρ excludes 0, and overall if it does so for a majority of models. The clause on small, unstable models is supported if the rank correlation is positive with an interval excluding 0.</w:t>
            </w:r>
          </w:p>
        </w:tc>
      </w:tr>
      <w:tr>
        <w:trPr>
          <w:cantSplit/>
        </w:trPr>
        <w:tc>
          <w:tcPr>
            <w:tcW w:w="1300" w:type="dxa"/>
          </w:tcPr>
          <w:p>
            <w:pPr>
              <w:pStyle w:val="Compact"/>
              <w:spacing w:before="40" w:after="40"/>
            </w:pPr>
            <w:r>
              <w:rPr>
                <w:b/>
                <w:bCs/>
              </w:rPr>
              <w:t xml:space="preserve">H2</w:t>
            </w:r>
          </w:p>
        </w:tc>
        <w:tc>
          <w:tcPr>
            <w:tcW w:w="2700" w:type="dxa"/>
          </w:tcPr>
          <w:p>
            <w:pPr>
              <w:pStyle w:val="Compact"/>
              <w:spacing w:before="40" w:after="40"/>
            </w:pPr>
            <w:r>
              <w:t xml:space="preserve">Large minus small within a family: ability and s*</w:t>
            </w:r>
          </w:p>
        </w:tc>
        <w:tc>
          <w:tcPr>
            <w:tcW w:w="5360" w:type="dxa"/>
          </w:tcPr>
          <w:p>
            <w:pPr>
              <w:pStyle w:val="Compact"/>
              <w:spacing w:before="40" w:after="40"/>
            </w:pPr>
            <w:r>
              <w:t xml:space="preserve">Supported in a family if the paired interval excludes 0 in the stated direction for both (higher ability, lower s*). Across families: exact two-sided sign test and its smallest attainable p value; no general claim about scale.</w:t>
            </w:r>
          </w:p>
        </w:tc>
      </w:tr>
      <w:tr>
        <w:trPr>
          <w:cantSplit/>
        </w:trPr>
        <w:tc>
          <w:tcPr>
            <w:tcW w:w="1300" w:type="dxa"/>
          </w:tcPr>
          <w:p>
            <w:pPr>
              <w:pStyle w:val="Compact"/>
              <w:spacing w:before="40" w:after="40"/>
            </w:pPr>
            <w:r>
              <w:rPr>
                <w:b/>
                <w:bCs/>
              </w:rPr>
              <w:t xml:space="preserve">H3</w:t>
            </w:r>
          </w:p>
        </w:tc>
        <w:tc>
          <w:tcPr>
            <w:tcW w:w="2700" w:type="dxa"/>
          </w:tcPr>
          <w:p>
            <w:pPr>
              <w:pStyle w:val="Compact"/>
              <w:spacing w:before="40" w:after="40"/>
            </w:pPr>
            <w:r>
              <w:t xml:space="preserve">Evidence slope, accuracy slope, disclaimer effect</w:t>
            </w:r>
          </w:p>
        </w:tc>
        <w:tc>
          <w:tcPr>
            <w:tcW w:w="5360" w:type="dxa"/>
          </w:tcPr>
          <w:p>
            <w:pPr>
              <w:pStyle w:val="Compact"/>
              <w:spacing w:before="40" w:after="40"/>
            </w:pPr>
            <w:r>
              <w:t xml:space="preserve">Deference-consistent: all three intervals include 0 and the evidence-slope interval lies within ±0.08 per level. Evidence-weighing-consistent: evidence slope &gt; 0, accuracy slope &gt; 0 and disclaimer effect &lt; 0, all intervals excluding 0. Otherwise mixed or unclassified.</w:t>
            </w:r>
          </w:p>
        </w:tc>
      </w:tr>
      <w:tr>
        <w:trPr>
          <w:cantSplit/>
        </w:trPr>
        <w:tc>
          <w:tcPr>
            <w:tcW w:w="1300" w:type="dxa"/>
          </w:tcPr>
          <w:p>
            <w:pPr>
              <w:pStyle w:val="Compact"/>
              <w:spacing w:before="40" w:after="40"/>
            </w:pPr>
            <w:r>
              <w:rPr>
                <w:b/>
                <w:bCs/>
              </w:rPr>
              <w:t xml:space="preserve">H4</w:t>
            </w:r>
          </w:p>
        </w:tc>
        <w:tc>
          <w:tcPr>
            <w:tcW w:w="2700" w:type="dxa"/>
          </w:tcPr>
          <w:p>
            <w:pPr>
              <w:pStyle w:val="Compact"/>
              <w:spacing w:before="40" w:after="40"/>
            </w:pPr>
            <w:r>
              <w:t xml:space="preserve">Cov(a</w:t>
            </w:r>
            <w:r>
              <w:rPr>
                <w:vertAlign w:val="subscript"/>
              </w:rPr>
              <w:t xml:space="preserve">i</w:t>
            </w:r>
            <w:r>
              <w:t xml:space="preserve">, s</w:t>
            </w:r>
            <w:r>
              <w:rPr>
                <w:vertAlign w:val="subscript"/>
              </w:rPr>
              <w:t xml:space="preserve">i</w:t>
            </w:r>
            <w:r>
              <w:t xml:space="preserve">); model-free value minus closed form at π = .7</w:t>
            </w:r>
          </w:p>
        </w:tc>
        <w:tc>
          <w:tcPr>
            <w:tcW w:w="5360" w:type="dxa"/>
          </w:tcPr>
          <w:p>
            <w:pPr>
              <w:pStyle w:val="Compact"/>
              <w:spacing w:before="40" w:after="40"/>
            </w:pPr>
            <w:r>
              <w:t xml:space="preserve">Supported if the covariance interval lies below 0 and the model-free value exceeds the closed form.</w:t>
            </w:r>
          </w:p>
        </w:tc>
      </w:tr>
      <w:tr>
        <w:trPr>
          <w:cantSplit/>
        </w:trPr>
        <w:tc>
          <w:tcPr>
            <w:tcW w:w="1300" w:type="dxa"/>
            <w:tcBorders>
              <w:bottom w:val="single" w:sz="8" w:space="0" w:color="000000"/>
            </w:tcBorders>
          </w:tcPr>
          <w:p>
            <w:pPr>
              <w:pStyle w:val="Compact"/>
              <w:spacing w:before="40" w:after="40"/>
            </w:pPr>
            <w:r>
              <w:rPr>
                <w:b/>
                <w:bCs/>
              </w:rPr>
              <w:t xml:space="preserve">H5</w:t>
            </w:r>
          </w:p>
        </w:tc>
        <w:tc>
          <w:tcPr>
            <w:tcW w:w="2700" w:type="dxa"/>
            <w:tcBorders>
              <w:bottom w:val="single" w:sz="8" w:space="0" w:color="000000"/>
            </w:tcBorders>
          </w:tcPr>
          <w:p>
            <w:pPr>
              <w:pStyle w:val="Compact"/>
              <w:spacing w:before="40" w:after="40"/>
            </w:pPr>
            <w:r>
              <w:t xml:space="preserve">Share of model pairs in which ranking by ability is value-optimal at both endpoints of π</w:t>
            </w:r>
          </w:p>
        </w:tc>
        <w:tc>
          <w:tcPr>
            <w:tcW w:w="5360" w:type="dxa"/>
            <w:tcBorders>
              <w:bottom w:val="single" w:sz="8" w:space="0" w:color="000000"/>
            </w:tcBorders>
          </w:tcPr>
          <w:p>
            <w:pPr>
              <w:pStyle w:val="Compact"/>
              <w:spacing w:before="40" w:after="40"/>
            </w:pPr>
            <w:r>
              <w:t xml:space="preserve">Supported if the share exceeds .5 with an interval excluding .5. Rank correlations, the regret from ranking by ability and the overstatement are also reported.</w:t>
            </w:r>
          </w:p>
        </w:tc>
      </w:tr>
    </w:tbl>
    <w:p>
      <w:pPr>
        <w:pStyle w:val="BodyText"/>
        <w:spacing w:before="60"/>
      </w:pPr>
      <w:r>
        <w:rPr>
          <w:sz w:val="20"/>
        </w:rPr>
        <w:t xml:space="preserve">Notes. All intervals are 95% percentile bootstrap intervals that resample stems (Section 5.4). The ±0.08 margin was set from simulated interval widths.</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Both reviewers answered all 100 items as the key does (agreement with the key was 100% for each reviewer and between reviewers, Cohen’s kappa = 1.0), so no item was revised or removed. One reviewer noted that the rounding rule was not stated for values that are not exact cents; we added an explicit rounding sentence to the numeric items, and no key changed. Because the review covers a sample, the keys of the other items rest on the second-program check alone. The bank was frozen before the main run (SHA-256 of the bank file c2f61e2721b525db…, frozen 22 October 2026).</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Analysis plan and deviations</w:t>
      </w:r>
    </w:p>
    <w:p>
      <w:pPr>
        <w:pStyle w:val="FirstParagraph"/>
        <w:rPr/>
      </w:pPr>
      <w:bookmarkStart w:id="33" w:name="registration-and-deviations"/>
      <w:r>
        <w:rPr/>
        <w:t>We fixed the hypotheses, estimators, and decision rules before any model answered the frozen bank (SHA-256 c2f61e2721b525db…, frozen 22 October 2026). The plan is recorded in the project’s version-controlled repository; it was not registered with a third-party platform, so its timing rests on that record. The plan fixes the primary stance level e* (the stated preference without claimed evidence); the conditional set (stems the model answers correctly in replicate 0 of the stance-free channel); the corrected effect s* = f(e*) − ρ, with s_mix = (f(e*) − ρ)/(1 − ρ) as a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plan are listed in a deviation log and are reported where they affect a result; analyses not in the plan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