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2"/>
          <w:szCs w:val="32"/>
        </w:rPr>
        <w:t xml:space="preserve">Release timing in open-source AI software follows a calendar rather than accumulating errors</w:t>
      </w:r>
    </w:p>
    <w:p>
      <w:pPr>
        <w:spacing w:after="40"/>
      </w:pPr>
      <w:r>
        <w:rPr>
          <w:rFonts w:ascii="Times New Roman" w:cs="Times New Roman" w:eastAsia="Times New Roman" w:hAnsi="Times New Roman"/>
          <w:sz w:val="22"/>
          <w:szCs w:val="22"/>
        </w:rPr>
        <w:t xml:space="preserve">Ook Lee</w:t>
      </w:r>
      <w:r>
        <w:rPr>
          <w:rFonts w:ascii="Times New Roman" w:cs="Times New Roman" w:eastAsia="Times New Roman" w:hAnsi="Times New Roman"/>
          <w:sz w:val="22"/>
          <w:szCs w:val="22"/>
          <w:vertAlign w:val="superscript"/>
        </w:rPr>
        <w:t xml:space="preserve">1</w:t>
      </w:r>
    </w:p>
    <w:p>
      <w:pPr>
        <w:spacing w:after="40"/>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Department of Information System, Hanyang University, Seoul, Korea.</w:t>
      </w:r>
    </w:p>
    <w:p>
      <w:pPr>
        <w:spacing w:after="200"/>
      </w:pPr>
      <w:r>
        <w:rPr>
          <w:rFonts w:ascii="Times New Roman" w:cs="Times New Roman" w:eastAsia="Times New Roman" w:hAnsi="Times New Roman"/>
          <w:sz w:val="20"/>
          <w:szCs w:val="20"/>
        </w:rPr>
        <w:t xml:space="preserve">e-mail: ooklee@hanyang.ac.kr</w:t>
      </w:r>
    </w:p>
    <w:p>
      <w:pPr>
        <w:spacing w:after="120" w:line="360"/>
        <w:jc w:val="left"/>
      </w:pPr>
      <w:r>
        <w:rPr>
          <w:rFonts w:ascii="Times New Roman" w:cs="Times New Roman" w:eastAsia="Times New Roman" w:hAnsi="Times New Roman"/>
          <w:b/>
          <w:bCs/>
          <w:sz w:val="22"/>
          <w:szCs w:val="22"/>
        </w:rPr>
        <w:t xml:space="preserve">Abstract</w:t>
      </w:r>
    </w:p>
    <w:p>
      <w:pPr>
        <w:spacing w:after="120" w:line="360"/>
        <w:jc w:val="left"/>
      </w:pPr>
      <w:r>
        <w:rPr>
          <w:rFonts w:ascii="Times New Roman" w:cs="Times New Roman" w:eastAsia="Times New Roman" w:hAnsi="Times New Roman"/>
          <w:sz w:val="22"/>
          <w:szCs w:val="22"/>
        </w:rPr>
        <w:t xml:space="preserve">Software built on large language models is expected to degrade as the world drifts away from a model’s training data, and replacement models imply that maintainers should refresh such systems once accumulated errors justify the cost. Borrowing the distinction between state-dependent and time-dependent adjustment from the price-setting literature, we ask which kind of rule governs release timing in the open-source ecosystem around these models. Using weekly issue and release histories for 19 widely used repositories (3,432 repository-weeks; 2,456 releases), we find that bug reports do not rise with the time since the last release once total issue volume is controlled (pooled slope −0.0013 per week; 95% CI −0.009 to 0.007), and that the release hazard does not rise with age. Hot-fixes depress the raw hazard, and regular releases follow a steady cadence. Release frequency should not be read as evidence that degradation is managed.</w:t>
      </w:r>
    </w:p>
    <w:p>
      <w:pPr>
        <w:spacing w:after="120" w:line="360"/>
        <w:jc w:val="left"/>
      </w:pPr>
      <w:r>
        <w:rPr>
          <w:rFonts w:ascii="Times New Roman" w:cs="Times New Roman" w:eastAsia="Times New Roman" w:hAnsi="Times New Roman"/>
          <w:sz w:val="22"/>
          <w:szCs w:val="22"/>
        </w:rP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spacing w:after="120" w:line="360"/>
        <w:jc w:val="left"/>
      </w:pPr>
      <w:r>
        <w:rPr>
          <w:rFonts w:ascii="Times New Roman" w:cs="Times New Roman" w:eastAsia="Times New Roman" w:hAnsi="Times New Roman"/>
          <w:sz w:val="22"/>
          <w:szCs w:val="22"/>
        </w:rPr>
        <w:t xml:space="preserve">Economics offers two broad classes of rules for when an agent adjusts a costly choice variable. Under a state-dependent rule, the agent adjusts when the gap between the current and the desired state becomes large enough, as in menu-cost models of pricing</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Under a time-dependent rule, the agent adjusts on a schedule, or at a constant random rate, that does not depend on the state, as in the staggered-contract models of Taylor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and Calvo</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Which class better describes behaviour has been a central empirical question in the study of price setting</w:t>
      </w:r>
      <w:r>
        <w:rPr>
          <w:rFonts w:ascii="Times New Roman" w:cs="Times New Roman" w:eastAsia="Times New Roman" w:hAnsi="Times New Roman"/>
          <w:sz w:val="22"/>
          <w:szCs w:val="22"/>
          <w:vertAlign w:val="superscript"/>
        </w:rPr>
        <w:t xml:space="preserve">4,5</w:t>
      </w:r>
      <w:r>
        <w:rPr>
          <w:rFonts w:ascii="Times New Roman" w:cs="Times New Roman" w:eastAsia="Times New Roman" w:hAnsi="Times New Roman"/>
          <w:sz w:val="22"/>
          <w:szCs w:val="22"/>
        </w:rPr>
        <w:t xml:space="preserve">,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w:t>
      </w:r>
    </w:p>
    <w:p>
      <w:pPr>
        <w:spacing w:after="120" w:line="360"/>
        <w:jc w:val="left"/>
      </w:pPr>
      <w:r>
        <w:rPr>
          <w:rFonts w:ascii="Times New Roman" w:cs="Times New Roman" w:eastAsia="Times New Roman" w:hAnsi="Times New Roman"/>
          <w:sz w:val="22"/>
          <w:szCs w:val="22"/>
        </w:rPr>
        <w:t xml:space="preserve">The price literature also supplies the diagnostic. Under state dependence the probability of adjustment rises with the gap, and under time dependence it is flat in the age of the price</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Hazards estimated from micro-data often decline with age, however, and much of that decline has been attributed to heterogeneity in adjustment frequency and to temporary price changes</w:t>
      </w:r>
      <w:r>
        <w:rPr>
          <w:rFonts w:ascii="Times New Roman" w:cs="Times New Roman" w:eastAsia="Times New Roman" w:hAnsi="Times New Roman"/>
          <w:sz w:val="22"/>
          <w:szCs w:val="22"/>
          <w:vertAlign w:val="superscript"/>
        </w:rPr>
        <w:t xml:space="preserve">4,5</w:t>
      </w:r>
      <w:r>
        <w:rPr>
          <w:rFonts w:ascii="Times New Roman" w:cs="Times New Roman" w:eastAsia="Times New Roman" w:hAnsi="Times New Roman"/>
          <w:sz w:val="22"/>
          <w:szCs w:val="22"/>
        </w:rPr>
        <w:t xml:space="preserve">; the statistical mechanism, the dynamic selection of frequent adjusters out of the population at risk, is well understood in duration analysis</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Time dependence need not reflect irrationality either. When observing the state is costly, it can be optimal to review a decision only at planned intervals</w:t>
      </w:r>
      <w:r>
        <w:rPr>
          <w:rFonts w:ascii="Times New Roman" w:cs="Times New Roman" w:eastAsia="Times New Roman" w:hAnsi="Times New Roman"/>
          <w:sz w:val="22"/>
          <w:szCs w:val="22"/>
          <w:vertAlign w:val="superscript"/>
        </w:rPr>
        <w:t xml:space="preserve">8,9,10</w:t>
      </w:r>
      <w:r>
        <w:rPr>
          <w:rFonts w:ascii="Times New Roman" w:cs="Times New Roman" w:eastAsia="Times New Roman" w:hAnsi="Times New Roman"/>
          <w:sz w:val="22"/>
          <w:szCs w:val="22"/>
        </w:rPr>
        <w:t xml:space="preserve">, and the resulting rule is time-dependent in when the agent looks and state-dependent in whether the agent acts after looking</w:t>
      </w:r>
      <w:r>
        <w:rPr>
          <w:rFonts w:ascii="Times New Roman" w:cs="Times New Roman" w:eastAsia="Times New Roman" w:hAnsi="Times New Roman"/>
          <w:sz w:val="22"/>
          <w:szCs w:val="22"/>
          <w:vertAlign w:val="superscript"/>
        </w:rPr>
        <w:t xml:space="preserve">11</w:t>
      </w:r>
      <w:r>
        <w:rPr>
          <w:rFonts w:ascii="Times New Roman" w:cs="Times New Roman" w:eastAsia="Times New Roman" w:hAnsi="Times New Roman"/>
          <w:sz w:val="22"/>
          <w:szCs w:val="22"/>
        </w:rPr>
        <w:t xml:space="preserve">. This suits AI systems, because the degradation of a model is hard to observe directly. Replacement models from reliability engineering and structural econometrics, by contrast, are state-dependent by construction</w:t>
      </w:r>
      <w:r>
        <w:rPr>
          <w:rFonts w:ascii="Times New Roman" w:cs="Times New Roman" w:eastAsia="Times New Roman" w:hAnsi="Times New Roman"/>
          <w:sz w:val="22"/>
          <w:szCs w:val="22"/>
          <w:vertAlign w:val="superscript"/>
        </w:rPr>
        <w:t xml:space="preserve">12,13,14,15,16</w:t>
      </w:r>
      <w:r>
        <w:rPr>
          <w:rFonts w:ascii="Times New Roman" w:cs="Times New Roman" w:eastAsia="Times New Roman" w:hAnsi="Times New Roman"/>
          <w:sz w:val="22"/>
          <w:szCs w:val="22"/>
        </w:rPr>
        <w:t xml:space="preserve">.</w:t>
      </w:r>
    </w:p>
    <w:p>
      <w:pPr>
        <w:spacing w:after="120" w:line="360"/>
        <w:jc w:val="left"/>
      </w:pPr>
      <w:r>
        <w:rPr>
          <w:rFonts w:ascii="Times New Roman" w:cs="Times New Roman" w:eastAsia="Times New Roman" w:hAnsi="Times New Roman"/>
          <w:sz w:val="22"/>
          <w:szCs w:val="22"/>
        </w:rPr>
        <w:t xml:space="preserve">Work on open-source software has focused mainly on why developers contribute and how projects are organized</w:t>
      </w:r>
      <w:r>
        <w:rPr>
          <w:rFonts w:ascii="Times New Roman" w:cs="Times New Roman" w:eastAsia="Times New Roman" w:hAnsi="Times New Roman"/>
          <w:sz w:val="22"/>
          <w:szCs w:val="22"/>
          <w:vertAlign w:val="superscript"/>
        </w:rPr>
        <w:t xml:space="preserve">17,18</w:t>
      </w:r>
      <w:r>
        <w:rPr>
          <w:rFonts w:ascii="Times New Roman" w:cs="Times New Roman" w:eastAsia="Times New Roman" w:hAnsi="Times New Roman"/>
          <w:sz w:val="22"/>
          <w:szCs w:val="22"/>
        </w:rPr>
        <w:t xml:space="preserve">, and less on the timing of maintenance. In software engineering, rapid-release practice has been studied extensively; for example, shorter release cycles in Firefox did not produce significantly more post-release bugs</w:t>
      </w:r>
      <w:r>
        <w:rPr>
          <w:rFonts w:ascii="Times New Roman" w:cs="Times New Roman" w:eastAsia="Times New Roman" w:hAnsi="Times New Roman"/>
          <w:sz w:val="22"/>
          <w:szCs w:val="22"/>
          <w:vertAlign w:val="superscript"/>
        </w:rPr>
        <w:t xml:space="preserve">19</w:t>
      </w:r>
      <w:r>
        <w:rPr>
          <w:rFonts w:ascii="Times New Roman" w:cs="Times New Roman" w:eastAsia="Times New Roman" w:hAnsi="Times New Roman"/>
          <w:sz w:val="22"/>
          <w:szCs w:val="22"/>
        </w:rPr>
        <w:t xml:space="preserve">. Studies of industrial machine-learning practice describe maintenance burdens that traditional software does not have</w:t>
      </w:r>
      <w:r>
        <w:rPr>
          <w:rFonts w:ascii="Times New Roman" w:cs="Times New Roman" w:eastAsia="Times New Roman" w:hAnsi="Times New Roman"/>
          <w:sz w:val="22"/>
          <w:szCs w:val="22"/>
          <w:vertAlign w:val="superscript"/>
        </w:rPr>
        <w:t xml:space="preserve">20,21</w:t>
      </w:r>
      <w:r>
        <w:rPr>
          <w:rFonts w:ascii="Times New Roman" w:cs="Times New Roman" w:eastAsia="Times New Roman" w:hAnsi="Times New Roman"/>
          <w:sz w:val="22"/>
          <w:szCs w:val="22"/>
        </w:rPr>
        <w:t xml:space="preserve">, the concept-drift literature documents declining predictive performance when the data distribution shifts</w:t>
      </w:r>
      <w:r>
        <w:rPr>
          <w:rFonts w:ascii="Times New Roman" w:cs="Times New Roman" w:eastAsia="Times New Roman" w:hAnsi="Times New Roman"/>
          <w:sz w:val="22"/>
          <w:szCs w:val="22"/>
          <w:vertAlign w:val="superscript"/>
        </w:rPr>
        <w:t xml:space="preserve">22</w:t>
      </w:r>
      <w:r>
        <w:rPr>
          <w:rFonts w:ascii="Times New Roman" w:cs="Times New Roman" w:eastAsia="Times New Roman" w:hAnsi="Times New Roman"/>
          <w:sz w:val="22"/>
          <w:szCs w:val="22"/>
        </w:rPr>
        <w:t xml:space="preserve">, and language models perform worse on text from after their training period, with the behaviour of hosted models changing substantially within months</w:t>
      </w:r>
      <w:r>
        <w:rPr>
          <w:rFonts w:ascii="Times New Roman" w:cs="Times New Roman" w:eastAsia="Times New Roman" w:hAnsi="Times New Roman"/>
          <w:sz w:val="22"/>
          <w:szCs w:val="22"/>
          <w:vertAlign w:val="superscript"/>
        </w:rPr>
        <w:t xml:space="preserve">23,24,25</w:t>
      </w:r>
      <w:r>
        <w:rPr>
          <w:rFonts w:ascii="Times New Roman" w:cs="Times New Roman" w:eastAsia="Times New Roman" w:hAnsi="Times New Roman"/>
          <w:sz w:val="22"/>
          <w:szCs w:val="22"/>
        </w:rPr>
        <w:t xml:space="preserve">. These studies measure how performance changes. They do not ask how, or whether, maintainers respond to it, which is the question this paper takes up.</w:t>
      </w:r>
    </w:p>
    <w:p>
      <w:pPr>
        <w:spacing w:after="120" w:line="360"/>
        <w:jc w:val="left"/>
      </w:pPr>
      <w:r>
        <w:rPr>
          <w:rFonts w:ascii="Times New Roman" w:cs="Times New Roman" w:eastAsia="Times New Roman" w:hAnsi="Times New Roman"/>
          <w:sz w:val="22"/>
          <w:szCs w:val="22"/>
        </w:rPr>
        <w:t xml:space="preserve">We study 19 widely used projects in the open-source ecosystem around large language models (LLMs), such as inference engines, training libraries and client SDKs, using their issue trackers and release histories. We pose two research questions. </w:t>
      </w: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Does the weekly rate of bug reports rise with the time since the last release? A positive answer would mean that there is an accumulating state to which a maintainer could respond. </w:t>
      </w: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Does the probability of a release rise with the time since the last release, as state-dependent rules imply, or is it flat in age, as time-dependent rules imply?</w:t>
      </w:r>
    </w:p>
    <w:p>
      <w:pPr>
        <w:spacing w:after="120" w:line="360"/>
        <w:jc w:val="left"/>
      </w:pPr>
      <w:r>
        <w:rPr>
          <w:rFonts w:ascii="Times New Roman" w:cs="Times New Roman" w:eastAsia="Times New Roman" w:hAnsi="Times New Roman"/>
          <w:sz w:val="22"/>
          <w:szCs w:val="22"/>
        </w:rPr>
        <w:t xml:space="preserve">The answer to RQ1 is no. Once total issue volume is controlled, bug reports do not rise with the age of a release, and the pooled estimate is precise enough to rule out a 1 percent weekly increase. The answer to RQ2 is that release timing looks time-dependent. Only one repository (vLLM) has a release hazard that rises significantly with age, about what chance alone would produce among 19 tests, and the pooled slope is not distinguishable from zero. The raw hazard is highest in the week after a release, when hot-fixes are issued, and it falls afterward. Once hot-fixes are set apart, the hazard of a regular release is flat to mildly rising in the time since the last regular release, and regular releases are spaced more evenly than a constant-hazard process would space them. This is the signature of a fixed cadence</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and not of random timing</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and because bug reports do not accumulate, it cannot be read as a response to an error state. The price literature has met a similar pattern: pooling units that adjust at different frequencies yields a declining hazard even when each unit’s own hazard is flat</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and temporary price changes such as sales dominate raw adjustment frequencies</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Hot-fixes play the role of sales in our data.</w:t>
      </w:r>
    </w:p>
    <w:p>
      <w:pPr>
        <w:spacing w:after="120" w:line="360"/>
        <w:jc w:val="left"/>
      </w:pPr>
      <w:r>
        <w:rPr>
          <w:rFonts w:ascii="Times New Roman" w:cs="Times New Roman" w:eastAsia="Times New Roman" w:hAnsi="Times New Roman"/>
          <w:sz w:val="22"/>
          <w:szCs w:val="22"/>
        </w:rPr>
        <w:t xml:space="preserve">We should say at the outset what the study does not show. The repositories are tools and not model-retraining pipelines, so a release is a proxy for a refresh, and the results do not speak directly to how commercial operators maintain hosted models. The Discussion returns to how this limits interpretation.</w:t>
      </w:r>
    </w:p>
    <w:p>
      <w:pPr>
        <w:pStyle w:val="Heading1"/>
        <w:keepNext/>
        <w:spacing w:after="120" w:before="280"/>
      </w:pPr>
      <w:r>
        <w:rPr>
          <w:rFonts w:ascii="Times New Roman" w:cs="Times New Roman" w:eastAsia="Times New Roman" w:hAnsi="Times New Roman"/>
          <w:b/>
          <w:bCs/>
          <w:color w:val="000000"/>
          <w:sz w:val="26"/>
          <w:szCs w:val="26"/>
        </w:rPr>
        <w:t xml:space="preserve">Results</w:t>
      </w:r>
    </w:p>
    <w:p>
      <w:pPr>
        <w:pStyle w:val="Heading2"/>
        <w:keepNext/>
        <w:spacing w:after="80" w:before="200"/>
      </w:pPr>
      <w:r>
        <w:rPr>
          <w:rFonts w:ascii="Times New Roman" w:cs="Times New Roman" w:eastAsia="Times New Roman" w:hAnsi="Times New Roman"/>
          <w:b/>
          <w:bCs/>
          <w:color w:val="000000"/>
          <w:sz w:val="22"/>
          <w:szCs w:val="22"/>
        </w:rPr>
        <w:t xml:space="preserve">A Poisson model of accumulating errors</w:t>
      </w:r>
    </w:p>
    <w:p>
      <w:pPr>
        <w:spacing w:after="120" w:line="360"/>
        <w:jc w:val="left"/>
      </w:pPr>
      <w:r>
        <w:rPr>
          <w:rFonts w:ascii="Times New Roman" w:cs="Times New Roman" w:eastAsia="Times New Roman" w:hAnsi="Times New Roman"/>
          <w:sz w:val="22"/>
          <w:szCs w:val="22"/>
        </w:rPr>
        <w:t xml:space="preserve">Time is discrete and measured in weeks. A maintainer operates one deployed system. Let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denote the drift accumulated since the system was last refreshed, where a refresh stands for any renewal action (retraining, fine-tuning, or upgrading the underlying model). Drift grows each week by a non-negative increment with mean </w:t>
      </w:r>
      <w:r>
        <w:rPr>
          <w:rFonts w:ascii="Times New Roman" w:cs="Times New Roman" w:eastAsia="Times New Roman" w:hAnsi="Times New Roman"/>
          <w:i/>
          <w:iCs/>
          <w:sz w:val="22"/>
          <w:szCs w:val="22"/>
        </w:rPr>
        <w:t xml:space="preserve">μ</w:t>
      </w:r>
      <w:r>
        <w:rPr>
          <w:rFonts w:ascii="Times New Roman" w:cs="Times New Roman" w:eastAsia="Times New Roman" w:hAnsi="Times New Roman"/>
          <w:sz w:val="22"/>
          <w:szCs w:val="22"/>
        </w:rPr>
        <w:t xml:space="preserve"> and is reset to zero by a refresh. The number of errors in week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is assumed to follow a Poisson distribution whose rate rises linearly with drift:</w:t>
      </w:r>
    </w:p>
    <w:p>
      <w:pPr>
        <w:spacing w:after="120" w:line="360"/>
        <w:jc w:val="center"/>
      </w:pP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 Poisson(</w:t>
      </w:r>
      <w:r>
        <w:rPr>
          <w:rFonts w:ascii="Times New Roman" w:cs="Times New Roman" w:eastAsia="Times New Roman" w:hAnsi="Times New Roman"/>
          <w:sz w:val="22"/>
          <w:szCs w:val="22"/>
        </w:rPr>
        <w:t xml:space="preserve">λ</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w:t>
      </w:r>
      <w:r>
        <w:rPr>
          <w:rFonts w:ascii="Times New Roman" w:cs="Times New Roman" w:eastAsia="Times New Roman" w:hAnsi="Times New Roman"/>
          <w:sz w:val="22"/>
          <w:szCs w:val="22"/>
        </w:rPr>
        <w:t xml:space="preserve">γ x~</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(1)</w:t>
      </w:r>
    </w:p>
    <w:p>
      <w:pPr>
        <w:spacing w:after="120" w:line="360"/>
        <w:jc w:val="left"/>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the error rate of a freshly refreshed system and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 0 is the marginal effect of drift.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Drift is rarely observed, so we restate (1) in terms of the age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the number of weeks since the last refresh. Because the expected drift at age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is </w:t>
      </w:r>
      <w:r>
        <w:rPr>
          <w:rFonts w:ascii="Times New Roman" w:cs="Times New Roman" w:eastAsia="Times New Roman" w:hAnsi="Times New Roman"/>
          <w:i/>
          <w:iCs/>
          <w:sz w:val="22"/>
          <w:szCs w:val="22"/>
        </w:rPr>
        <w:t xml:space="preserve">μa</w:t>
      </w:r>
      <w:r>
        <w:rPr>
          <w:rFonts w:ascii="Times New Roman" w:cs="Times New Roman" w:eastAsia="Times New Roman" w:hAnsi="Times New Roman"/>
          <w:sz w:val="22"/>
          <w:szCs w:val="22"/>
        </w:rPr>
        <w:t xml:space="preserve">, the expected error count is</w:t>
      </w:r>
    </w:p>
    <w:p>
      <w:pPr>
        <w:spacing w:after="120" w:line="360"/>
        <w:jc w:val="center"/>
      </w:pPr>
      <w:r>
        <w:rPr>
          <w:rFonts w:ascii="Times New Roman" w:cs="Times New Roman" w:eastAsia="Times New Roman" w:hAnsi="Times New Roman"/>
          <w:sz w:val="22"/>
          <w:szCs w:val="22"/>
        </w:rPr>
        <w:t xml:space="preserve">E[</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γμa</w:t>
      </w:r>
      <w:r>
        <w:rPr>
          <w:rFonts w:ascii="Times New Roman" w:cs="Times New Roman" w:eastAsia="Times New Roman" w:hAnsi="Times New Roman"/>
          <w:sz w:val="22"/>
          <w:szCs w:val="22"/>
        </w:rPr>
        <w:t xml:space="preserve">.     (2)</w:t>
      </w:r>
    </w:p>
    <w:p>
      <w:pPr>
        <w:spacing w:after="120" w:line="360"/>
        <w:jc w:val="left"/>
      </w:pPr>
      <w:r>
        <w:rPr>
          <w:rFonts w:ascii="Times New Roman" w:cs="Times New Roman" w:eastAsia="Times New Roman" w:hAnsi="Times New Roman"/>
          <w:sz w:val="22"/>
          <w:szCs w:val="22"/>
        </w:rPr>
        <w:t xml:space="preserve">Whether there is an accumulating state for a maintainer to respond to depends on the sign of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w:t>
      </w:r>
    </w:p>
    <w:p>
      <w:pPr>
        <w:pStyle w:val="Heading2"/>
        <w:keepNext/>
        <w:spacing w:after="80" w:before="200"/>
      </w:pPr>
      <w:r>
        <w:rPr>
          <w:rFonts w:ascii="Times New Roman" w:cs="Times New Roman" w:eastAsia="Times New Roman" w:hAnsi="Times New Roman"/>
          <w:b/>
          <w:bCs/>
          <w:color w:val="000000"/>
          <w:sz w:val="22"/>
          <w:szCs w:val="22"/>
        </w:rPr>
        <w:t xml:space="preserve">Two classes of refresh rule</w:t>
      </w:r>
    </w:p>
    <w:p>
      <w:pPr>
        <w:spacing w:after="120" w:line="360"/>
        <w:jc w:val="left"/>
      </w:pPr>
      <w:r>
        <w:rPr>
          <w:rFonts w:ascii="Times New Roman" w:cs="Times New Roman" w:eastAsia="Times New Roman" w:hAnsi="Times New Roman"/>
          <w:b/>
          <w:bCs/>
          <w:sz w:val="22"/>
          <w:szCs w:val="22"/>
        </w:rPr>
        <w:t xml:space="preserve">State-dependent rule.</w:t>
      </w:r>
      <w:r>
        <w:rPr>
          <w:rFonts w:ascii="Times New Roman" w:cs="Times New Roman" w:eastAsia="Times New Roman" w:hAnsi="Times New Roman"/>
          <w:sz w:val="22"/>
          <w:szCs w:val="22"/>
        </w:rPr>
        <w:t xml:space="preserve"> Suppose that each error costs the maintainer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and a refresh costs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By (2), the expected error cost over a cycle of length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is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γμT</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/2), so the expected cost per week is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cλ</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cγμT</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/2)/</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Minimizing over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gives the refresh interval</w:t>
      </w:r>
    </w:p>
    <w:p>
      <w:pPr>
        <w:spacing w:after="120" w:line="360"/>
        <w:jc w:val="center"/>
      </w:pP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 √(2</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cγμ</w:t>
      </w:r>
      <w:r>
        <w:rPr>
          <w:rFonts w:ascii="Times New Roman" w:cs="Times New Roman" w:eastAsia="Times New Roman" w:hAnsi="Times New Roman"/>
          <w:sz w:val="22"/>
          <w:szCs w:val="22"/>
        </w:rPr>
        <w:t xml:space="preserve">)),     (3)</w:t>
      </w:r>
    </w:p>
    <w:p>
      <w:pPr>
        <w:spacing w:after="120" w:line="360"/>
        <w:jc w:val="left"/>
      </w:pPr>
      <w:r>
        <w:rPr>
          <w:rFonts w:ascii="Times New Roman" w:cs="Times New Roman" w:eastAsia="Times New Roman" w:hAnsi="Times New Roman"/>
          <w:sz w:val="22"/>
          <w:szCs w:val="22"/>
        </w:rPr>
        <w:t xml:space="preserve">and the corresponding drift threshold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μT</w:t>
      </w:r>
      <w:r>
        <w:rPr>
          <w:rFonts w:ascii="Times New Roman" w:cs="Times New Roman" w:eastAsia="Times New Roman" w:hAnsi="Times New Roman"/>
          <w:sz w:val="22"/>
          <w:szCs w:val="22"/>
        </w:rPr>
        <w:t xml:space="preserve">* = √(2</w:t>
      </w:r>
      <w:r>
        <w:rPr>
          <w:rFonts w:ascii="Times New Roman" w:cs="Times New Roman" w:eastAsia="Times New Roman" w:hAnsi="Times New Roman"/>
          <w:i/>
          <w:iCs/>
          <w:sz w:val="22"/>
          <w:szCs w:val="22"/>
        </w:rPr>
        <w:t xml:space="preserve">RCμ</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cγ</w:t>
      </w:r>
      <w:r>
        <w:rPr>
          <w:rFonts w:ascii="Times New Roman" w:cs="Times New Roman" w:eastAsia="Times New Roman" w:hAnsi="Times New Roman"/>
          <w:sz w:val="22"/>
          <w:szCs w:val="22"/>
        </w:rPr>
        <w:t xml:space="preserve">)). Equation (3) has three properties. First, a finite refresh interval exists only if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&gt; 0. If drift does not raise the error rate, drift gives no reason to refresh, and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rFonts w:ascii="Times New Roman" w:cs="Times New Roman" w:eastAsia="Times New Roman" w:hAnsi="Times New Roman"/>
          <w:i/>
          <w:iCs/>
          <w:sz w:val="22"/>
          <w:szCs w:val="22"/>
        </w:rPr>
        <w:t xml:space="preserve">cγμa</w:t>
      </w:r>
      <w:r>
        <w:rPr>
          <w:rFonts w:ascii="Times New Roman" w:cs="Times New Roman" w:eastAsia="Times New Roman" w:hAnsi="Times New Roman"/>
          <w:sz w:val="22"/>
          <w:szCs w:val="22"/>
        </w:rPr>
        <w:t xml:space="preserve"> per week, grows with age. A maintainer who weighs this cost against the cost of refreshing, subject to week-to-week noise in costs or attention, therefore refreshes with a probability that rises with age. This rising hazard is the signature of state dependence. The same properties hold in a discounted dynamic version of the model with unobserved payoff shocks</w:t>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rPr>
        <w:t xml:space="preserve">, where the monotonicity of the refresh probability can be proved (Methods).</w:t>
      </w:r>
    </w:p>
    <w:p>
      <w:pPr>
        <w:spacing w:after="120" w:line="360"/>
        <w:jc w:val="left"/>
      </w:pPr>
      <w:r>
        <w:rPr>
          <w:rFonts w:ascii="Times New Roman" w:cs="Times New Roman" w:eastAsia="Times New Roman" w:hAnsi="Times New Roman"/>
          <w:b/>
          <w:bCs/>
          <w:sz w:val="22"/>
          <w:szCs w:val="22"/>
        </w:rPr>
        <w:t xml:space="preserve">Time-dependent rules.</w:t>
      </w:r>
      <w:r>
        <w:rPr>
          <w:rFonts w:ascii="Times New Roman" w:cs="Times New Roman" w:eastAsia="Times New Roman" w:hAnsi="Times New Roman"/>
          <w:sz w:val="22"/>
          <w:szCs w:val="22"/>
        </w:rPr>
        <w:t xml:space="preserve"> Under a time-dependent rule, the probability of a refresh does not depend on drift or on age. In the Calvo form</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a refresh occurs each week with a constant probability </w:t>
      </w:r>
      <w:r>
        <w:rPr>
          <w:rFonts w:ascii="Times New Roman" w:cs="Times New Roman" w:eastAsia="Times New Roman" w:hAnsi="Times New Roman"/>
          <w:i/>
          <w:iCs/>
          <w:sz w:val="22"/>
          <w:szCs w:val="22"/>
        </w:rPr>
        <w:t xml:space="preserve">θ</w:t>
      </w:r>
      <w:r>
        <w:rPr>
          <w:rFonts w:ascii="Times New Roman" w:cs="Times New Roman" w:eastAsia="Times New Roman" w:hAnsi="Times New Roman"/>
          <w:sz w:val="22"/>
          <w:szCs w:val="22"/>
        </w:rPr>
        <w:t xml:space="preserve">, so the hazard is flat in age and the time between refreshes is geometric with mean 1/</w:t>
      </w:r>
      <w:r>
        <w:rPr>
          <w:rFonts w:ascii="Times New Roman" w:cs="Times New Roman" w:eastAsia="Times New Roman" w:hAnsi="Times New Roman"/>
          <w:i/>
          <w:iCs/>
          <w:sz w:val="22"/>
          <w:szCs w:val="22"/>
        </w:rPr>
        <w:t xml:space="preserve">θ</w:t>
      </w:r>
      <w:r>
        <w:rPr>
          <w:rFonts w:ascii="Times New Roman" w:cs="Times New Roman" w:eastAsia="Times New Roman" w:hAnsi="Times New Roman"/>
          <w:sz w:val="22"/>
          <w:szCs w:val="22"/>
        </w:rPr>
        <w:t xml:space="preserve">. In the Taylor form</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spacing w:after="120" w:line="360"/>
        <w:jc w:val="left"/>
      </w:pPr>
      <w:r>
        <w:rPr>
          <w:rFonts w:ascii="Times New Roman" w:cs="Times New Roman" w:eastAsia="Times New Roman" w:hAnsi="Times New Roman"/>
          <w:sz w:val="22"/>
          <w:szCs w:val="22"/>
        </w:rP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w:t>
      </w:r>
      <w:r>
        <w:rPr>
          <w:rFonts w:ascii="Times New Roman" w:cs="Times New Roman" w:eastAsia="Times New Roman" w:hAnsi="Times New Roman"/>
          <w:sz w:val="22"/>
          <w:szCs w:val="22"/>
          <w:vertAlign w:val="superscript"/>
        </w:rPr>
        <w:t xml:space="preserve">9,11</w:t>
      </w:r>
      <w:r>
        <w:rPr>
          <w:rFonts w:ascii="Times New Roman" w:cs="Times New Roman" w:eastAsia="Times New Roman" w:hAnsi="Times New Roman"/>
          <w:sz w:val="22"/>
          <w:szCs w:val="22"/>
        </w:rPr>
        <w:t xml:space="preserve">. The second follows from the model itself. If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together with a flat hazard would point to inattention, while a zero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together with a flat hazard would mean that there is no accumulating degradation for timing to respond to.</w:t>
      </w:r>
    </w:p>
    <w:p>
      <w:pPr>
        <w:pStyle w:val="Heading2"/>
        <w:keepNext/>
        <w:spacing w:after="80" w:before="200"/>
      </w:pPr>
      <w:r>
        <w:rPr>
          <w:rFonts w:ascii="Times New Roman" w:cs="Times New Roman" w:eastAsia="Times New Roman" w:hAnsi="Times New Roman"/>
          <w:b/>
          <w:bCs/>
          <w:color w:val="000000"/>
          <w:sz w:val="22"/>
          <w:szCs w:val="22"/>
        </w:rPr>
        <w:t xml:space="preserve">Testable implications</w:t>
      </w:r>
    </w:p>
    <w:p>
      <w:pPr>
        <w:spacing w:after="120" w:line="360"/>
        <w:jc w:val="left"/>
      </w:pPr>
      <w:r>
        <w:rPr>
          <w:rFonts w:ascii="Times New Roman" w:cs="Times New Roman" w:eastAsia="Times New Roman" w:hAnsi="Times New Roman"/>
          <w:b/>
          <w:bCs/>
          <w:sz w:val="22"/>
          <w:szCs w:val="22"/>
        </w:rPr>
        <w:t xml:space="preserve">H1 (error signature).</w:t>
      </w:r>
      <w:r>
        <w:rPr>
          <w:rFonts w:ascii="Times New Roman" w:cs="Times New Roman" w:eastAsia="Times New Roman" w:hAnsi="Times New Roman"/>
          <w:sz w:val="22"/>
          <w:szCs w:val="22"/>
        </w:rPr>
        <w:t xml:space="preserve"> The expected bug count rises with the time since the last release, that is,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&gt; 0 in (2).</w:t>
      </w:r>
    </w:p>
    <w:p>
      <w:pPr>
        <w:spacing w:after="120" w:line="360"/>
        <w:jc w:val="left"/>
      </w:pPr>
      <w:r>
        <w:rPr>
          <w:rFonts w:ascii="Times New Roman" w:cs="Times New Roman" w:eastAsia="Times New Roman" w:hAnsi="Times New Roman"/>
          <w:b/>
          <w:bCs/>
          <w:sz w:val="22"/>
          <w:szCs w:val="22"/>
        </w:rPr>
        <w:t xml:space="preserve">H2a (state dependence).</w:t>
      </w:r>
      <w:r>
        <w:rPr>
          <w:rFonts w:ascii="Times New Roman" w:cs="Times New Roman" w:eastAsia="Times New Roman" w:hAnsi="Times New Roman"/>
          <w:sz w:val="22"/>
          <w:szCs w:val="22"/>
        </w:rPr>
        <w:t xml:space="preserve"> Within a repository, the release hazard rises with the time since the last release.</w:t>
      </w:r>
    </w:p>
    <w:p>
      <w:pPr>
        <w:spacing w:after="120" w:line="360"/>
        <w:jc w:val="left"/>
      </w:pPr>
      <w:r>
        <w:rPr>
          <w:rFonts w:ascii="Times New Roman" w:cs="Times New Roman" w:eastAsia="Times New Roman" w:hAnsi="Times New Roman"/>
          <w:b/>
          <w:bCs/>
          <w:sz w:val="22"/>
          <w:szCs w:val="22"/>
        </w:rPr>
        <w:t xml:space="preserve">H2b (time dependence).</w:t>
      </w:r>
      <w:r>
        <w:rPr>
          <w:rFonts w:ascii="Times New Roman" w:cs="Times New Roman" w:eastAsia="Times New Roman" w:hAnsi="Times New Roman"/>
          <w:sz w:val="22"/>
          <w:szCs w:val="22"/>
        </w:rP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spacing w:after="120" w:line="360"/>
        <w:jc w:val="left"/>
      </w:pPr>
      <w:r>
        <w:rPr>
          <w:rFonts w:ascii="Times New Roman" w:cs="Times New Roman" w:eastAsia="Times New Roman" w:hAnsi="Times New Roman"/>
          <w:b/>
          <w:bCs/>
          <w:sz w:val="22"/>
          <w:szCs w:val="22"/>
        </w:rPr>
        <w:t xml:space="preserve">H3 (aggregation).</w:t>
      </w:r>
      <w:r>
        <w:rPr>
          <w:rFonts w:ascii="Times New Roman" w:cs="Times New Roman" w:eastAsia="Times New Roman" w:hAnsi="Times New Roman"/>
          <w:sz w:val="22"/>
          <w:szCs w:val="22"/>
        </w:rP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spacing w:after="120" w:line="360"/>
        <w:jc w:val="left"/>
      </w:pPr>
      <w:r>
        <w:rPr>
          <w:rFonts w:ascii="Times New Roman" w:cs="Times New Roman" w:eastAsia="Times New Roman" w:hAnsi="Times New Roman"/>
          <w:sz w:val="22"/>
          <w:szCs w:val="22"/>
        </w:rPr>
        <w:t xml:space="preserve">RQ1 tests H1. RQ2 discriminates between H2a and H2b, and H3 governs how the pooled estimates should be read. The refresh cost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is identified only under H1 and H2a, so we do not report an estimate of it. To check that the tests would detect the state-dependent signatures if they were present, we simulated the dynamic version of the model (Methods). The central parameter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was recovered with a mean of 0.499 against a true value of 0.5 (s.d. 0.011), so it is well identified whenever errors and drift are observed. The refresh cost is harder to recover, and its precision falls with sample length: the s.d. of the estimated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is 6.7 at 100 weeks, 4.8 at 250 weeks, 2.8 at 500 weeks and 2.1 at 1,000 weeks. The repositories we study have between 143 and 197 weekly observations, so a cost estimate would be imprecise even under ideal conditions. This is a further reason to concentrate on the shape of the hazard rather than on the level of the cost.</w:t>
      </w:r>
    </w:p>
    <w:p>
      <w:pPr>
        <w:pStyle w:val="Heading2"/>
        <w:keepNext/>
        <w:spacing w:after="80" w:before="200"/>
      </w:pPr>
      <w:r>
        <w:rPr>
          <w:rFonts w:ascii="Times New Roman" w:cs="Times New Roman" w:eastAsia="Times New Roman" w:hAnsi="Times New Roman"/>
          <w:b/>
          <w:bCs/>
          <w:color w:val="000000"/>
          <w:sz w:val="22"/>
          <w:szCs w:val="22"/>
        </w:rPr>
        <w:t xml:space="preserve">Sample and measures</w:t>
      </w:r>
    </w:p>
    <w:p>
      <w:pPr>
        <w:spacing w:after="120" w:line="360"/>
        <w:jc w:val="left"/>
      </w:pPr>
      <w:r>
        <w:rPr>
          <w:rFonts w:ascii="Times New Roman" w:cs="Times New Roman" w:eastAsia="Times New Roman" w:hAnsi="Times New Roman"/>
          <w:sz w:val="22"/>
          <w:szCs w:val="22"/>
        </w:rPr>
        <w:t xml:space="preserve">We selected open-source projects in the LLM ecosystem whose releases are made by people and are neither absent nor automated; the three-step selection is described in Methods and yields 19 eligible repositories. This is a convenience sample of prominent projects and not a random sample of the ecosystem, and nearly all of them are software and tooling and not model-retraining pipelines. A release is therefore a proxy for a refresh. For each repository we collected every issue and every non-draft, non-prerelease release from 1 January 2023 and aggregated them by ISO week. A bug report is an issue with a label containing “bug” or a title matching a fixed keyword list, and the age of a repository-week is the number of weeks since the last release. Table 1 summarizes the sample.</w:t>
      </w:r>
    </w:p>
    <w:p>
      <w:pPr>
        <w:keepNext/>
        <w:spacing w:after="80" w:before="200"/>
      </w:pPr>
      <w:r>
        <w:rPr>
          <w:rFonts w:ascii="Times New Roman" w:cs="Times New Roman" w:eastAsia="Times New Roman" w:hAnsi="Times New Roman"/>
          <w:b/>
          <w:bCs/>
          <w:sz w:val="20"/>
          <w:szCs w:val="20"/>
        </w:rPr>
        <w:t xml:space="preserve">Table 1 | Eligible repositories (3,432 repository-weeks; 2,456 releases) and repository-level slopes.</w:t>
      </w:r>
      <w:r>
        <w:rPr>
          <w:rFonts w:ascii="Times New Roman" w:cs="Times New Roman" w:eastAsia="Times New Roman" w:hAnsi="Times New Roman"/>
          <w:sz w:val="20"/>
          <w:szCs w:val="20"/>
        </w:rPr>
        <w:t xml:space="preserve"> Bug log-rate slope: change in the log share of issues that are bug reports per week since release (Poisson regression with a log total-issue offset). Release-hazard logit slope: change in the log odds of a release per week since the last release. Standard errors (SE) are from a cluster bootstrap over release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800"/>
        <w:gridCol w:w="950"/>
        <w:gridCol w:w="1050"/>
        <w:gridCol w:w="1563"/>
        <w:gridCol w:w="1563"/>
      </w:tblGrid>
      <w:tr>
        <w:trPr>
          <w:tblHeader/>
        </w:trPr>
        <w:tc>
          <w:tcPr>
            <w:tcW w:type="dxa" w:w="31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Repository</w:t>
            </w:r>
          </w:p>
        </w:tc>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Weeks</w:t>
            </w:r>
          </w:p>
        </w:tc>
        <w:tc>
          <w:tcPr>
            <w:tcW w:type="dxa" w:w="95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Releases</w:t>
            </w:r>
          </w:p>
        </w:tc>
        <w:tc>
          <w:tcPr>
            <w:tcW w:type="dxa" w:w="105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Median cycle (weeks)</w:t>
            </w:r>
          </w:p>
        </w:tc>
        <w:tc>
          <w:tcPr>
            <w:tcW w:type="dxa" w:w="1563"/>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Bug log-rate slope (SE)</w:t>
            </w:r>
          </w:p>
        </w:tc>
        <w:tc>
          <w:tcPr>
            <w:tcW w:type="dxa" w:w="1563"/>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Release-hazard logit slope (SE)</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anthropics/anthropic-sdk-python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235</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−0.005 (0.083)</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−0.255 (0.098)</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Dao-AILab/flash-attention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197</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89</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−0.007 (0.011)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−0.272 (0.063)</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EleutherAI/lm-evaluation-harness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149</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9</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0.010 (0.010)</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0.365 (0.205)</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ggml-org/whisper.cpp</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0.007 (0.013)</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−0.103 (0.065)</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huggingface/transformers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−0.020 (0.021)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−0.031 (0.102)</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huggingface/accelerate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51</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−0.007 (0.020)</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0.168 (0.132)</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huggingface/diffusers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69</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0.017 (0.015)</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0.002 (0.060)</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huggingface/peft</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7</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−0.023 (0.016)</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0.127 (0.078)</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huggingface/text-generation-inference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67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−0.045 (0.034)</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−0.290 (0.138)</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huggingface/trl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99</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−0.030 (0.026)</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0.023 (0.117)</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lm-sys/FastChat</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182</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0.006 (0.038)</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−0.439 (1.627)</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microsoft/autogen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160</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86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−0.019 (0.047)</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−0.491 (0.275)</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microsoft/semantic-kernel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225</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−0.151 (0.064)</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−0.333 (0.182)</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NVIDIA/TensorRT-LLM</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156</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23</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6</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0.018 (0.016)</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0.224 (0.176)</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ollama/ollama</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171</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257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0.014 (0.033)</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−0.128 (1.615)</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openai/openai-python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197</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396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0.021 (0.028)</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−0.535 (0.110)</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run-llama/llama_index</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194</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434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−0.012 (0.034)</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−0.615 (0.107)</w:t>
            </w:r>
          </w:p>
        </w:tc>
      </w:tr>
      <w:tr>
        <w:trPr>
          <w:cantSplit/>
        </w:trPr>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sgl-project/sglang</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143</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61</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0.005 (0.011)</w:t>
            </w:r>
          </w:p>
        </w:tc>
        <w:tc>
          <w:tcPr>
            <w:tcW w:type="dxa" w:w="1563"/>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0.175 (0.117)</w:t>
            </w:r>
          </w:p>
        </w:tc>
      </w:tr>
      <w:tr>
        <w:trPr>
          <w:cantSplit/>
        </w:trPr>
        <w:tc>
          <w:tcPr>
            <w:tcW w:type="dxa" w:w="3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vllm-project/vllm</w:t>
            </w:r>
          </w:p>
        </w:tc>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173</w:t>
            </w:r>
          </w:p>
        </w:tc>
        <w:tc>
          <w:tcPr>
            <w:tcW w:type="dxa" w:w="95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98</w:t>
            </w:r>
          </w:p>
        </w:tc>
        <w:tc>
          <w:tcPr>
            <w:tcW w:type="dxa" w:w="1050"/>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w:t>
            </w:r>
          </w:p>
        </w:tc>
        <w:tc>
          <w:tcPr>
            <w:tcW w:type="dxa" w:w="1563"/>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−0.012 (0.010)</w:t>
            </w:r>
          </w:p>
        </w:tc>
        <w:tc>
          <w:tcPr>
            <w:tcW w:type="dxa" w:w="1563"/>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0.473 (0.210)</w:t>
            </w:r>
          </w:p>
        </w:tc>
      </w:tr>
    </w:tbl>
    <w:p>
      <w:pPr>
        <w:pStyle w:val="Heading2"/>
        <w:keepNext/>
        <w:spacing w:after="80" w:before="200"/>
      </w:pPr>
      <w:r>
        <w:rPr>
          <w:rFonts w:ascii="Times New Roman" w:cs="Times New Roman" w:eastAsia="Times New Roman" w:hAnsi="Times New Roman"/>
          <w:b/>
          <w:bCs/>
          <w:color w:val="000000"/>
          <w:sz w:val="22"/>
          <w:szCs w:val="22"/>
        </w:rPr>
        <w:t xml:space="preserve">Bug reports do not rise with the age of a release (RQ1)</w:t>
      </w:r>
    </w:p>
    <w:p>
      <w:pPr>
        <w:spacing w:after="120" w:line="360"/>
        <w:jc w:val="left"/>
      </w:pPr>
      <w:r>
        <w:rPr>
          <w:rFonts w:ascii="Times New Roman" w:cs="Times New Roman" w:eastAsia="Times New Roman" w:hAnsi="Times New Roman"/>
          <w:sz w:val="22"/>
          <w:szCs w:val="22"/>
        </w:rPr>
        <w:t xml:space="preserve">Pooling the 19 repository-level slopes with a random-effects model, the log-rate slope of bug reports on weeks since release is −0.0013 per week (95% CI −0.009 to 0.007), with no detectable heterogeneity across repositories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0). The estimate is precise enough to rule out, for instance, a 1 percent weekly increase in the bug rate. Eight of the 19 repository-level slopes are positive and 11 are negative. None is significantly positive at the 5 percent level and one (semantic-kernel) is significantly negative, about what chance alone would produce among 19 tests. Negative binomial models give a pooled slope of −0.0013 (95% CI −0.009 to 0.007) </w:t>
      </w:r>
      <w:r>
        <w:rPr>
          <w:rFonts w:ascii="Times New Roman" w:cs="Times New Roman" w:eastAsia="Times New Roman" w:hAnsi="Times New Roman"/>
          <w:sz w:val="22"/>
          <w:szCs w:val="22"/>
          <w:highlight w:val="yellow"/>
          <w:highlightCs w:val="yellow"/>
        </w:rPr>
        <w:t xml:space="preserve">verify: identical to the Poisson estimate to four digits</w:t>
      </w:r>
      <w:r>
        <w:rPr>
          <w:rFonts w:ascii="Times New Roman" w:cs="Times New Roman" w:eastAsia="Times New Roman" w:hAnsi="Times New Roman"/>
          <w:sz w:val="22"/>
          <w:szCs w:val="22"/>
        </w:rPr>
        <w:t xml:space="preserve">, so the result does not depend on the Poisson variance assumption. H1 is not supported.</w:t>
      </w:r>
    </w:p>
    <w:p>
      <w:pPr>
        <w:spacing w:after="120" w:line="360"/>
        <w:jc w:val="left"/>
      </w:pPr>
      <w:r>
        <w:rPr>
          <w:rFonts w:ascii="Times New Roman" w:cs="Times New Roman" w:eastAsia="Times New Roman" w:hAnsi="Times New Roman"/>
          <w:sz w:val="22"/>
          <w:szCs w:val="22"/>
        </w:rPr>
        <w:t xml:space="preserve">Raw bug counts do fall with age. Without the offset for total issue volume the pooled slope is −0.032 (95% CI −0.054 to −0.010), and in huggingface/transformers bug counts fell from 22.1 per week in the first week after a release to 11.5 after five weeks. Once we account for the total number of issues filed, however, the decline disappears. The early surge appears to be a general burst of issue-filing right after a release, driven by attention, announcements and defects together, and not a change in the share of reports that concern bugs. In the terms of the model, there is no evidence of an accumulating error state in these data.</w:t>
      </w:r>
    </w:p>
    <w:p>
      <w:pPr>
        <w:pStyle w:val="Heading2"/>
        <w:keepNext/>
        <w:spacing w:after="80" w:before="200"/>
      </w:pPr>
      <w:r>
        <w:rPr>
          <w:rFonts w:ascii="Times New Roman" w:cs="Times New Roman" w:eastAsia="Times New Roman" w:hAnsi="Times New Roman"/>
          <w:b/>
          <w:bCs/>
          <w:color w:val="000000"/>
          <w:sz w:val="22"/>
          <w:szCs w:val="22"/>
        </w:rPr>
        <w:t xml:space="preserve">The release hazard does not rise with age (RQ2)</w:t>
      </w:r>
    </w:p>
    <w:p>
      <w:pPr>
        <w:spacing w:after="120" w:line="360"/>
        <w:jc w:val="left"/>
      </w:pPr>
      <w:r>
        <w:rPr>
          <w:rFonts w:ascii="Times New Roman" w:cs="Times New Roman" w:eastAsia="Times New Roman" w:hAnsi="Times New Roman"/>
          <w:sz w:val="22"/>
          <w:szCs w:val="22"/>
        </w:rPr>
        <w:t xml:space="preserve">The pooled release-hazard logit slope is −0.091 per week of age (95% CI −0.213 to 0.032;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0.050), which is not distinguishable from zero. Eight of the 19 repository-level slopes are positive. One, for vLLM, is significantly positive at the 5 percent level (a ratio of slope to standard error of about 2.3), which is about what chance alone would produce among 19 tests and does not survive a correction for multiple testing; the next largest ratio, for lm-evaluation-harness, is about 1.8 (Table 1). H2a is not supported in 18 of the 19 repositories.</w:t>
      </w:r>
    </w:p>
    <w:p>
      <w:pPr>
        <w:spacing w:after="120" w:line="360"/>
        <w:jc w:val="left"/>
      </w:pPr>
      <w:r>
        <w:rPr>
          <w:rFonts w:ascii="Times New Roman" w:cs="Times New Roman" w:eastAsia="Times New Roman" w:hAnsi="Times New Roman"/>
          <w:sz w:val="22"/>
          <w:szCs w:val="22"/>
        </w:rPr>
        <w:t xml:space="preserve">Five repositories have a significantly negative slope, and three of them (anthropic-sdk-python, openai-python and llama_index) are among the seven repositories with a median release cycle of one week, which also publish hot-fixes soon after a release. Excluding the seven weekly releasers gives a pooled slope of 0.038 (95% CI −0.084 to 0.159), which is close to zero and consistent with H2b. In the language of the price literature, hot-fixes resemble temporary sales. They are frequent, short-lived adjustments that dominate the raw hazard and obscure a regular cadence underneath</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w:t>
      </w:r>
    </w:p>
    <w:p>
      <w:pPr>
        <w:spacing w:after="120" w:line="360"/>
        <w:jc w:val="left"/>
      </w:pPr>
      <w:r>
        <w:rPr>
          <w:rFonts w:ascii="Times New Roman" w:cs="Times New Roman" w:eastAsia="Times New Roman" w:hAnsi="Times New Roman"/>
          <w:b/>
          <w:bCs/>
          <w:sz w:val="22"/>
          <w:szCs w:val="22"/>
        </w:rPr>
        <w:t xml:space="preserve">Separating hot-fixes.</w:t>
      </w:r>
      <w:r>
        <w:rPr>
          <w:rFonts w:ascii="Times New Roman" w:cs="Times New Roman" w:eastAsia="Times New Roman" w:hAnsi="Times New Roman"/>
          <w:sz w:val="22"/>
          <w:szCs w:val="22"/>
        </w:rPr>
        <w:t xml:space="preserve"> A release is classified as a hot-fix if its version number differs from the previous release only in the patch component and it appears within seven days of the previous release; all other releases are regular. Of the </w:t>
      </w:r>
      <w:r>
        <w:rPr>
          <w:rFonts w:ascii="Times New Roman" w:cs="Times New Roman" w:eastAsia="Times New Roman" w:hAnsi="Times New Roman"/>
          <w:sz w:val="22"/>
          <w:szCs w:val="22"/>
          <w:highlight w:val="yellow"/>
          <w:highlightCs w:val="yellow"/>
        </w:rPr>
        <w:t xml:space="preserve">2,456; the draft said 2,659, please verify</w:t>
      </w:r>
      <w:r>
        <w:rPr>
          <w:rFonts w:ascii="Times New Roman" w:cs="Times New Roman" w:eastAsia="Times New Roman" w:hAnsi="Times New Roman"/>
          <w:sz w:val="22"/>
          <w:szCs w:val="22"/>
        </w:rPr>
        <w:t xml:space="preserve"> releases in the panel, 45 percent are classified as hot-fixes, from none in lm-evaluation-harness and FastChat to about three quarters in ollama and llama_index. The hot-fix hazard is concentrated in the first week after a release: 40 percent of repository-weeks at an age of one week contain a hot-fix, against 5 to 8 percent at ages of two to seven weeks. When age is measured from the last regular release, the repository-level slopes of the regular-release hazard (18 repositories; FastChat has too few regular releases) pool to 0.096 (95% CI −0.006 to 0.198;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0.030). Five are significantly positive (diffusers, peft, transformers, ollama and vLLM) and one is significantly negative. In the pooled data, by contrast, the share of repository-weeks with a regular release falls from 0.37 at two weeks to 0.26 at seven weeks, because repositories that release often leave the sample at risk early. This is the dynamic selection described by Heckman and Singer</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Within repositories the regular hazard is flat to mildly rising, which is what a fixed cadence implies.</w:t>
      </w:r>
    </w:p>
    <w:p>
      <w:pPr>
        <w:spacing w:after="120" w:line="360"/>
        <w:jc w:val="left"/>
      </w:pPr>
      <w:r>
        <w:rPr>
          <w:rFonts w:ascii="Times New Roman" w:cs="Times New Roman" w:eastAsia="Times New Roman" w:hAnsi="Times New Roman"/>
          <w:b/>
          <w:bCs/>
          <w:sz w:val="22"/>
          <w:szCs w:val="22"/>
        </w:rPr>
        <w:t xml:space="preserve">Frailty model.</w:t>
      </w:r>
      <w:r>
        <w:rPr>
          <w:rFonts w:ascii="Times New Roman" w:cs="Times New Roman" w:eastAsia="Times New Roman" w:hAnsi="Times New Roman"/>
          <w:sz w:val="22"/>
          <w:szCs w:val="22"/>
        </w:rPr>
        <w:t xml:space="preserve"> In a pooled logit with a repository-level random intercept, the slope on age is −0.117 per week for all releases (standard error 0.027; standard deviation of the intercept 1.10). It is −0.045 (0.018) when the seven weekly releasers are excluded and −0.099 (0.017) when only ages of two weeks or more are used; this is the pooled estimate for the restriction to surviving the first week, because the corresponding repository-level slopes are unstable when several repositories have too few releases at later ages. For regular releases measured from the last regular release the slope is 0.017 (0.015), and 0.059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spacing w:after="120" w:line="360"/>
        <w:jc w:val="left"/>
      </w:pPr>
      <w:r>
        <w:rPr>
          <w:rFonts w:ascii="Times New Roman" w:cs="Times New Roman" w:eastAsia="Times New Roman" w:hAnsi="Times New Roman"/>
          <w:b/>
          <w:bCs/>
          <w:sz w:val="22"/>
          <w:szCs w:val="22"/>
        </w:rPr>
        <w:t xml:space="preserve">Release intervals.</w:t>
      </w:r>
      <w:r>
        <w:rPr>
          <w:rFonts w:ascii="Times New Roman" w:cs="Times New Roman" w:eastAsia="Times New Roman" w:hAnsi="Times New Roman"/>
          <w:sz w:val="22"/>
          <w:szCs w:val="22"/>
        </w:rPr>
        <w:t xml:space="preserve"> The coefficient of variation (CV) of the intervals between releases of any kind has a median of 1.05 across the 19 repositories, and 11 of them exceed one, which indicates bursts and gaps. For regular releases only, the median is 0.77 (range 0.33 to 1.72) and 14 of the 19 repositories are below one, so regular releases are spaced more evenly than a constant-hazard process would space them. The pattern of a mildly rising regular hazard and a CV below one is that of a Taylor-type cadence. It would also be produced by a state-dependent rule, but not in a setting where, as in the RQ1 analysis, the error rate that would drive such a rule is flat.</w:t>
      </w:r>
    </w:p>
    <w:p>
      <w:pPr>
        <w:spacing w:after="120" w:line="360"/>
        <w:jc w:val="left"/>
      </w:pPr>
      <w:r>
        <w:rPr>
          <w:rFonts w:ascii="Times New Roman" w:cs="Times New Roman" w:eastAsia="Times New Roman" w:hAnsi="Times New Roman"/>
          <w:b/>
          <w:bCs/>
          <w:sz w:val="22"/>
          <w:szCs w:val="22"/>
        </w:rPr>
        <w:t xml:space="preserve">Documented release policies.</w:t>
      </w:r>
      <w:r>
        <w:rPr>
          <w:rFonts w:ascii="Times New Roman" w:cs="Times New Roman" w:eastAsia="Times New Roman" w:hAnsi="Times New Roman"/>
          <w:sz w:val="22"/>
          <w:szCs w:val="22"/>
        </w:rPr>
        <w:t xml:space="preserve"> 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spacing w:after="120" w:line="360"/>
        <w:jc w:val="left"/>
      </w:pPr>
      <w:r>
        <w:rPr>
          <w:rFonts w:ascii="Times New Roman" w:cs="Times New Roman" w:eastAsia="Times New Roman" w:hAnsi="Times New Roman"/>
          <w:sz w:val="22"/>
          <w:szCs w:val="22"/>
        </w:rPr>
        <w:t xml:space="preserve">Taken together, the evidence favours the second explanation of time dependence given above. Release timing is time-dependent in the sense that it follows a cadence, and there is no accumulating error state in these data to which a state-dependent rule could have responded. We cannot exclude that maintainers would also be inattentive if such a state existed.</w:t>
      </w:r>
    </w:p>
    <w:p>
      <w:pPr>
        <w:pStyle w:val="Heading1"/>
        <w:keepNext/>
        <w:spacing w:after="120" w:before="280"/>
      </w:pPr>
      <w:r>
        <w:rPr>
          <w:rFonts w:ascii="Times New Roman" w:cs="Times New Roman" w:eastAsia="Times New Roman" w:hAnsi="Times New Roman"/>
          <w:b/>
          <w:bCs/>
          <w:color w:val="000000"/>
          <w:sz w:val="26"/>
          <w:szCs w:val="26"/>
        </w:rPr>
        <w:t xml:space="preserve">Discussion</w:t>
      </w:r>
    </w:p>
    <w:p>
      <w:pPr>
        <w:spacing w:after="120" w:line="360"/>
        <w:jc w:val="left"/>
      </w:pPr>
      <w:r>
        <w:rPr>
          <w:rFonts w:ascii="Times New Roman" w:cs="Times New Roman" w:eastAsia="Times New Roman" w:hAnsi="Times New Roman"/>
          <w:sz w:val="22"/>
          <w:szCs w:val="22"/>
        </w:rPr>
        <w:t xml:space="preserve">The repositories we examined behave like price setters with a Calvo or Taylor rule, not like menu-cost firms. Releases follow engineering cadence, feature work and defect fixes, and the probability of a release does not build up as a release ages. Because bug reports do not build up either, these data cannot distinguish a maintainer who ignores an accumulating state from one who has no such state to respond to. Both readings carry the same practical message: in this ecosystem, release timing is not a mechanism through which degradation, if it occurs, would be corrected.</w:t>
      </w:r>
    </w:p>
    <w:p>
      <w:pPr>
        <w:spacing w:after="120" w:line="360"/>
        <w:jc w:val="left"/>
      </w:pPr>
      <w:r>
        <w:rPr>
          <w:rFonts w:ascii="Times New Roman" w:cs="Times New Roman" w:eastAsia="Times New Roman" w:hAnsi="Times New Roman"/>
          <w:b/>
          <w:bCs/>
          <w:sz w:val="22"/>
          <w:szCs w:val="22"/>
        </w:rPr>
        <w:t xml:space="preserve">Release cadence is not a signal of responsiveness.</w:t>
      </w:r>
      <w:r>
        <w:rPr>
          <w:rFonts w:ascii="Times New Roman" w:cs="Times New Roman" w:eastAsia="Times New Roman" w:hAnsi="Times New Roman"/>
          <w:sz w:val="22"/>
          <w:szCs w:val="22"/>
        </w:rPr>
        <w:t xml:space="preserve"> A project that releases every week looks actively maintained, but under a time-dependent rule its timing need not respond to degradation. Buyers, auditors and regulators that use update frequency as an indicator of maintenance quality should not read it as evidence that degradation is being corrected.</w:t>
      </w:r>
    </w:p>
    <w:p>
      <w:pPr>
        <w:spacing w:after="120" w:line="360"/>
        <w:jc w:val="left"/>
      </w:pPr>
      <w:r>
        <w:rPr>
          <w:rFonts w:ascii="Times New Roman" w:cs="Times New Roman" w:eastAsia="Times New Roman" w:hAnsi="Times New Roman"/>
          <w:b/>
          <w:bCs/>
          <w:sz w:val="22"/>
          <w:szCs w:val="22"/>
        </w:rPr>
        <w:t xml:space="preserve">Monitoring obligations may need state triggers.</w:t>
      </w:r>
      <w:r>
        <w:rPr>
          <w:rFonts w:ascii="Times New Roman" w:cs="Times New Roman" w:eastAsia="Times New Roman" w:hAnsi="Times New Roman"/>
          <w:sz w:val="22"/>
          <w:szCs w:val="22"/>
        </w:rPr>
        <w:t xml:space="preserve"> Recent AI regulation, such as the post-market monitoring provisions of the European Union’s AI Act</w:t>
      </w:r>
      <w:r>
        <w:rPr>
          <w:rFonts w:ascii="Times New Roman" w:cs="Times New Roman" w:eastAsia="Times New Roman" w:hAnsi="Times New Roman"/>
          <w:sz w:val="22"/>
          <w:szCs w:val="22"/>
          <w:vertAlign w:val="superscript"/>
        </w:rPr>
        <w:t xml:space="preserve">26</w:t>
      </w:r>
      <w:r>
        <w:rPr>
          <w:rFonts w:ascii="Times New Roman" w:cs="Times New Roman" w:eastAsia="Times New Roman" w:hAnsi="Times New Roman"/>
          <w:sz w:val="22"/>
          <w:szCs w:val="22"/>
        </w:rPr>
        <w:t xml:space="preserve">, requires providers of high-risk systems to monitor performance after deployment. Our results suggest that, without explicit triggers tied to measured performance, maintenance tends to follow a calendar. Where degradation is a concern, obligations framed in terms of measured error rates, rather than update schedules, are more likely to produce state-dependent responses. This inference is indirect, because our repositories are tools rather than deployed models.</w:t>
      </w:r>
    </w:p>
    <w:p>
      <w:pPr>
        <w:spacing w:after="120" w:line="360"/>
        <w:jc w:val="left"/>
      </w:pPr>
      <w:r>
        <w:rPr>
          <w:rFonts w:ascii="Times New Roman" w:cs="Times New Roman" w:eastAsia="Times New Roman" w:hAnsi="Times New Roman"/>
          <w:b/>
          <w:bCs/>
          <w:sz w:val="22"/>
          <w:szCs w:val="22"/>
        </w:rPr>
        <w:t xml:space="preserve">Observation is the binding constraint.</w:t>
      </w:r>
      <w:r>
        <w:rPr>
          <w:rFonts w:ascii="Times New Roman" w:cs="Times New Roman" w:eastAsia="Times New Roman" w:hAnsi="Times New Roman"/>
          <w:sz w:val="22"/>
          <w:szCs w:val="22"/>
        </w:rPr>
        <w:t xml:space="preserve"> If time dependence reflects the cost of observing drift</w:t>
      </w:r>
      <w:r>
        <w:rPr>
          <w:rFonts w:ascii="Times New Roman" w:cs="Times New Roman" w:eastAsia="Times New Roman" w:hAnsi="Times New Roman"/>
          <w:sz w:val="22"/>
          <w:szCs w:val="22"/>
          <w:vertAlign w:val="superscript"/>
        </w:rPr>
        <w:t xml:space="preserve">9</w:t>
      </w:r>
      <w:r>
        <w:rPr>
          <w:rFonts w:ascii="Times New Roman" w:cs="Times New Roman" w:eastAsia="Times New Roman" w:hAnsi="Times New Roman"/>
          <w:sz w:val="22"/>
          <w:szCs w:val="22"/>
        </w:rPr>
        <w:t xml:space="preserve">, then policies that lower that cost would make state-dependent maintenance feasible and its absence detectable. Shared evaluation benchmarks, standardized error reporting, and research access to operators’ error logs and refresh histories are examples. Public repositories do not contain the data needed to test for degradation directly.</w:t>
      </w:r>
    </w:p>
    <w:p>
      <w:pPr>
        <w:spacing w:after="120" w:line="360"/>
        <w:jc w:val="left"/>
      </w:pPr>
      <w:r>
        <w:rPr>
          <w:rFonts w:ascii="Times New Roman" w:cs="Times New Roman" w:eastAsia="Times New Roman" w:hAnsi="Times New Roman"/>
          <w:b/>
          <w:bCs/>
          <w:sz w:val="22"/>
          <w:szCs w:val="22"/>
        </w:rPr>
        <w:t xml:space="preserve">Limitations.</w:t>
      </w:r>
      <w:r>
        <w:rPr>
          <w:rFonts w:ascii="Times New Roman" w:cs="Times New Roman" w:eastAsia="Times New Roman" w:hAnsi="Times New Roman"/>
          <w:sz w:val="22"/>
          <w:szCs w:val="22"/>
        </w:rP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Our offset makes the outcome the share of issues that are bug reports, so a rise in bug reports that is proportional to total issue volume would not register as a rise in the error rate; the offset and trend controls address reporting behaviour only in part. The bug definition combines labels and keywords and may misclassify issues. We did not validate the classification against a manually labelled sample, so misclassification remains a limitation. It would bias the slope on age only if the share of misclassified issues itself changed with the time since the last release; because each slope is estimated within a repository, where labelling conventions and keyword usage are stable, such a drift is not obvious, but we cannot rule it out. The hazard models cap age at eight weeks, which is shorter than the median release cycle of lm-evaluation-harness (nine weeks), so the age profile is least informative for the slowest releasers.</w:t>
      </w:r>
    </w:p>
    <w:p>
      <w:pPr>
        <w:spacing w:after="120" w:line="360"/>
        <w:jc w:val="left"/>
      </w:pPr>
      <w:r>
        <w:rPr>
          <w:rFonts w:ascii="Times New Roman" w:cs="Times New Roman" w:eastAsia="Times New Roman" w:hAnsi="Times New Roman"/>
          <w:sz w:val="22"/>
          <w:szCs w:val="22"/>
        </w:rPr>
        <w:t xml:space="preserve">Nineteen repositories chosen under explicit criteria are not a random sample of the ecosystem, and the results should not be generalized to commercial operators or to the maintenance of hosted models. Age, calendar time and project growth move together, and we report results with and without a time trend. Several repository-level intervals are wide, and the absence of a significant result is not evidence of absence. We therefore say that the evidence does not support the hypotheses, give interval estimates, and avoid claiming that the effects are zero. Finally, collection depends on the state of the GitHub API at the time of collection, since issues can be edited or deleted afterward; for this reason the weekly aggregates we used are provided with the code.</w:t>
      </w:r>
    </w:p>
    <w:p>
      <w:pPr>
        <w:spacing w:after="120" w:line="360"/>
        <w:jc w:val="left"/>
      </w:pPr>
      <w:r>
        <w:rPr>
          <w:rFonts w:ascii="Times New Roman" w:cs="Times New Roman" w:eastAsia="Times New Roman" w:hAnsi="Times New Roman"/>
          <w:sz w:val="22"/>
          <w:szCs w:val="22"/>
        </w:rPr>
        <w:t xml:space="preserve">In 19 repositories, then, bug reports do not rise with the age of a release once total issue volume is controlled, and the release hazard rises significantly with age in only one of them. The decline in the raw pooled hazard reflects hot-fixes and differences in release frequency, as in price-change data, and regular releases follow a steady cadence. Release timing in this ecosystem is time-dependent. The finding implies that release cadence should not be read as evidence that degradation is managed, and that detecting and correcting degradation requires performance data that public repositories do not contain.</w:t>
      </w:r>
    </w:p>
    <w:p>
      <w:pPr>
        <w:pStyle w:val="Heading1"/>
        <w:keepNext/>
        <w:spacing w:after="120" w:before="280"/>
      </w:pPr>
      <w:r>
        <w:rPr>
          <w:rFonts w:ascii="Times New Roman" w:cs="Times New Roman" w:eastAsia="Times New Roman" w:hAnsi="Times New Roman"/>
          <w:b/>
          <w:bCs/>
          <w:color w:val="000000"/>
          <w:sz w:val="26"/>
          <w:szCs w:val="26"/>
        </w:rPr>
        <w:t xml:space="preserve">Methods</w:t>
      </w:r>
    </w:p>
    <w:p>
      <w:pPr>
        <w:pStyle w:val="Heading2"/>
        <w:keepNext/>
        <w:spacing w:after="80" w:before="200"/>
      </w:pPr>
      <w:r>
        <w:rPr>
          <w:rFonts w:ascii="Times New Roman" w:cs="Times New Roman" w:eastAsia="Times New Roman" w:hAnsi="Times New Roman"/>
          <w:b/>
          <w:bCs/>
          <w:color w:val="000000"/>
          <w:sz w:val="22"/>
          <w:szCs w:val="22"/>
        </w:rPr>
        <w:t xml:space="preserve">Repository selection</w:t>
      </w:r>
    </w:p>
    <w:p>
      <w:pPr>
        <w:spacing w:after="120" w:line="360"/>
        <w:jc w:val="left"/>
      </w:pPr>
      <w:r>
        <w:rPr>
          <w:rFonts w:ascii="Times New Roman" w:cs="Times New Roman" w:eastAsia="Times New Roman" w:hAnsi="Times New Roman"/>
          <w:sz w:val="22"/>
          <w:szCs w:val="22"/>
        </w:rP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us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w:t>
      </w:r>
    </w:p>
    <w:p>
      <w:pPr>
        <w:pStyle w:val="Heading2"/>
        <w:keepNext/>
        <w:spacing w:after="80" w:before="200"/>
      </w:pPr>
      <w:r>
        <w:rPr>
          <w:rFonts w:ascii="Times New Roman" w:cs="Times New Roman" w:eastAsia="Times New Roman" w:hAnsi="Times New Roman"/>
          <w:b/>
          <w:bCs/>
          <w:color w:val="000000"/>
          <w:sz w:val="22"/>
          <w:szCs w:val="22"/>
        </w:rPr>
        <w:t xml:space="preserve">Data collection</w:t>
      </w:r>
    </w:p>
    <w:p>
      <w:pPr>
        <w:spacing w:after="120" w:line="360"/>
        <w:jc w:val="left"/>
      </w:pPr>
      <w:r>
        <w:rPr>
          <w:rFonts w:ascii="Times New Roman" w:cs="Times New Roman" w:eastAsia="Times New Roman" w:hAnsi="Times New Roman"/>
          <w:sz w:val="22"/>
          <w:szCs w:val="22"/>
        </w:rP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w:t>
      </w:r>
    </w:p>
    <w:p>
      <w:pPr>
        <w:pStyle w:val="Heading2"/>
        <w:keepNext/>
        <w:spacing w:after="80" w:before="200"/>
      </w:pPr>
      <w:r>
        <w:rPr>
          <w:rFonts w:ascii="Times New Roman" w:cs="Times New Roman" w:eastAsia="Times New Roman" w:hAnsi="Times New Roman"/>
          <w:b/>
          <w:bCs/>
          <w:color w:val="000000"/>
          <w:sz w:val="22"/>
          <w:szCs w:val="22"/>
        </w:rPr>
        <w:t xml:space="preserve">Error signature (RQ1)</w:t>
      </w:r>
    </w:p>
    <w:p>
      <w:pPr>
        <w:spacing w:after="120" w:line="360"/>
        <w:jc w:val="left"/>
      </w:pPr>
      <w:r>
        <w:rPr>
          <w:rFonts w:ascii="Times New Roman" w:cs="Times New Roman" w:eastAsia="Times New Roman" w:hAnsi="Times New Roman"/>
          <w:sz w:val="22"/>
          <w:szCs w:val="22"/>
        </w:rPr>
        <w:t xml:space="preserve">For each repository we fit a Poisson regression of weekly bug counts on the weeks since release, with an offset equal to the log of total weekly issues and a linear time trend. This is the empirical counterpart of (2): the sign of the coefficient on age is the sign of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We use a log link and treat the regression as Poisson quasi-maximum likelihood, which estimates the coefficients consistently as long as the conditional mean is correctly specified, even when the counts are overdispersed</w:t>
      </w:r>
      <w:r>
        <w:rPr>
          <w:rFonts w:ascii="Times New Roman" w:cs="Times New Roman" w:eastAsia="Times New Roman" w:hAnsi="Times New Roman"/>
          <w:sz w:val="22"/>
          <w:szCs w:val="22"/>
          <w:vertAlign w:val="superscript"/>
        </w:rPr>
        <w:t xml:space="preserve">27</w:t>
      </w:r>
      <w:r>
        <w:rPr>
          <w:rFonts w:ascii="Times New Roman" w:cs="Times New Roman" w:eastAsia="Times New Roman" w:hAnsi="Times New Roman"/>
          <w:sz w:val="22"/>
          <w:szCs w:val="22"/>
        </w:rPr>
        <w:t xml:space="preserve">. Pearson dispersion statistics (the Pearson chi-square divided by the residual degrees of freedom) are close to one in most repositories (median 0.94, range 0.48 to 1.94) and exceed 1.5 only in transformers, autogen, semantic-kernel, ollama and vLLM. As a robustness check we also fit negative binomial models with the same offset and trend.</w:t>
      </w:r>
    </w:p>
    <w:p>
      <w:pPr>
        <w:pStyle w:val="Heading2"/>
        <w:keepNext/>
        <w:spacing w:after="80" w:before="200"/>
      </w:pPr>
      <w:r>
        <w:rPr>
          <w:rFonts w:ascii="Times New Roman" w:cs="Times New Roman" w:eastAsia="Times New Roman" w:hAnsi="Times New Roman"/>
          <w:b/>
          <w:bCs/>
          <w:color w:val="000000"/>
          <w:sz w:val="22"/>
          <w:szCs w:val="22"/>
        </w:rPr>
        <w:t xml:space="preserve">Release hazard (RQ2)</w:t>
      </w:r>
    </w:p>
    <w:p>
      <w:pPr>
        <w:spacing w:after="120" w:line="360"/>
        <w:jc w:val="left"/>
      </w:pPr>
      <w:r>
        <w:rPr>
          <w:rFonts w:ascii="Times New Roman" w:cs="Times New Roman" w:eastAsia="Times New Roman" w:hAnsi="Times New Roman"/>
          <w:sz w:val="22"/>
          <w:szCs w:val="22"/>
        </w:rPr>
        <w:t xml:space="preserve">We treat each repository-week as a period at risk and fit discrete-time logit hazard models of a release in a given week on the weeks since the last release, capping age at eight weeks</w:t>
      </w:r>
      <w:r>
        <w:rPr>
          <w:rFonts w:ascii="Times New Roman" w:cs="Times New Roman" w:eastAsia="Times New Roman" w:hAnsi="Times New Roman"/>
          <w:sz w:val="22"/>
          <w:szCs w:val="22"/>
          <w:vertAlign w:val="superscript"/>
        </w:rPr>
        <w:t xml:space="preserve">28</w:t>
      </w:r>
      <w:r>
        <w:rPr>
          <w:rFonts w:ascii="Times New Roman" w:cs="Times New Roman" w:eastAsia="Times New Roman" w:hAnsi="Times New Roman"/>
          <w:sz w:val="22"/>
          <w:szCs w:val="22"/>
        </w:rPr>
        <w:t xml:space="preserve">.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Heading2"/>
        <w:keepNext/>
        <w:spacing w:after="80" w:before="200"/>
      </w:pPr>
      <w:r>
        <w:rPr>
          <w:rFonts w:ascii="Times New Roman" w:cs="Times New Roman" w:eastAsia="Times New Roman" w:hAnsi="Times New Roman"/>
          <w:b/>
          <w:bCs/>
          <w:color w:val="000000"/>
          <w:sz w:val="22"/>
          <w:szCs w:val="22"/>
        </w:rPr>
        <w:t xml:space="preserve">Inference and pooling</w:t>
      </w:r>
    </w:p>
    <w:p>
      <w:pPr>
        <w:spacing w:after="120" w:line="360"/>
        <w:jc w:val="left"/>
      </w:pPr>
      <w:r>
        <w:rPr>
          <w:rFonts w:ascii="Times New Roman" w:cs="Times New Roman" w:eastAsia="Times New Roman" w:hAnsi="Times New Roman"/>
          <w:sz w:val="22"/>
          <w:szCs w:val="22"/>
        </w:rPr>
        <w:t xml:space="preserve">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w:t>
      </w:r>
      <w:r>
        <w:rPr>
          <w:rFonts w:ascii="Times New Roman" w:cs="Times New Roman" w:eastAsia="Times New Roman" w:hAnsi="Times New Roman"/>
          <w:sz w:val="22"/>
          <w:szCs w:val="22"/>
          <w:vertAlign w:val="superscript"/>
        </w:rPr>
        <w:t xml:space="preserve">29</w:t>
      </w:r>
      <w:r>
        <w:rPr>
          <w:rFonts w:ascii="Times New Roman" w:cs="Times New Roman" w:eastAsia="Times New Roman" w:hAnsi="Times New Roman"/>
          <w:sz w:val="22"/>
          <w:szCs w:val="22"/>
        </w:rPr>
        <w:t xml:space="preserve">. We report 95 percent intervals for the pooled estimates, together with robustness checks that drop the repositories with a median cycle of one week, condition on surviving the first week after a release, and drop the issue-volume offset.</w:t>
      </w:r>
    </w:p>
    <w:p>
      <w:pPr>
        <w:pStyle w:val="Heading2"/>
        <w:keepNext/>
        <w:spacing w:after="80" w:before="200"/>
      </w:pPr>
      <w:r>
        <w:rPr>
          <w:rFonts w:ascii="Times New Roman" w:cs="Times New Roman" w:eastAsia="Times New Roman" w:hAnsi="Times New Roman"/>
          <w:b/>
          <w:bCs/>
          <w:color w:val="000000"/>
          <w:sz w:val="22"/>
          <w:szCs w:val="22"/>
        </w:rPr>
        <w:t xml:space="preserve">Direct evidence on time dependence</w:t>
      </w:r>
    </w:p>
    <w:p>
      <w:pPr>
        <w:spacing w:after="120" w:line="360"/>
        <w:jc w:val="left"/>
      </w:pPr>
      <w:r>
        <w:rPr>
          <w:rFonts w:ascii="Times New Roman" w:cs="Times New Roman" w:eastAsia="Times New Roman" w:hAnsi="Times New Roman"/>
          <w:sz w:val="22"/>
          <w:szCs w:val="22"/>
        </w:rPr>
        <w:t xml:space="preserve">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Heading2"/>
        <w:keepNext/>
        <w:spacing w:after="80" w:before="200"/>
      </w:pPr>
      <w:r>
        <w:rPr>
          <w:rFonts w:ascii="Times New Roman" w:cs="Times New Roman" w:eastAsia="Times New Roman" w:hAnsi="Times New Roman"/>
          <w:b/>
          <w:bCs/>
          <w:color w:val="000000"/>
          <w:sz w:val="22"/>
          <w:szCs w:val="22"/>
        </w:rPr>
        <w:t xml:space="preserve">Simulation benchmark and dynamic model</w:t>
      </w:r>
    </w:p>
    <w:p>
      <w:pPr>
        <w:spacing w:after="120" w:line="360"/>
        <w:jc w:val="left"/>
      </w:pPr>
      <w:r>
        <w:rPr>
          <w:rFonts w:ascii="Times New Roman" w:cs="Times New Roman" w:eastAsia="Times New Roman" w:hAnsi="Times New Roman"/>
          <w:sz w:val="22"/>
          <w:szCs w:val="22"/>
        </w:rPr>
        <w:t xml:space="preserve">In the dynamic version of the model the maintainer discounts future costs by a factor </w:t>
      </w:r>
      <w:r>
        <w:rPr>
          <w:rFonts w:ascii="Times New Roman" w:cs="Times New Roman" w:eastAsia="Times New Roman" w:hAnsi="Times New Roman"/>
          <w:i/>
          <w:iCs/>
          <w:sz w:val="22"/>
          <w:szCs w:val="22"/>
        </w:rPr>
        <w:t xml:space="preserve">β</w:t>
      </w:r>
      <w:r>
        <w:rPr>
          <w:rFonts w:ascii="Times New Roman" w:cs="Times New Roman" w:eastAsia="Times New Roman" w:hAnsi="Times New Roman"/>
          <w:sz w:val="22"/>
          <w:szCs w:val="22"/>
        </w:rPr>
        <w:t xml:space="preserve"> and each week chooses either to keep the system or to refresh it. Errors arrive according to (1), each error costs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and a refresh costs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and resets drift. Payoffs include an unobserved shock with a Type I extreme-value distribution, so the probability of a refresh in state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is logistic in the difference between the value of refreshing and the value of keeping</w:t>
      </w:r>
      <w:r>
        <w:rPr>
          <w:rFonts w:ascii="Times New Roman" w:cs="Times New Roman" w:eastAsia="Times New Roman" w:hAnsi="Times New Roman"/>
          <w:sz w:val="22"/>
          <w:szCs w:val="22"/>
          <w:vertAlign w:val="superscript"/>
        </w:rPr>
        <w:t xml:space="preserve">14</w:t>
      </w:r>
      <w:r>
        <w:rPr>
          <w:rFonts w:ascii="Times New Roman" w:cs="Times New Roman" w:eastAsia="Times New Roman" w:hAnsi="Times New Roman"/>
          <w:sz w:val="22"/>
          <w:szCs w:val="22"/>
        </w:rPr>
        <w:t xml:space="preserve">. The Bellman operator is a contraction, so the value function exists and is unique. By induction on value iteration, the value of keeping the system is non-increasing in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while the value of refreshing does not depend on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so the refresh probability is non-decreasing in drift. Over a wide range of parameter values the optimal drift threshold is increasing in the refresh cost and in the speed of drift and decreasing in the discount factor (Table 2). These comparative statics are numerical regularities and not proved results. For the refresh cost and the speed of drift they agree in direction with the closed-form threshold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of (3), which approximates the undiscounted case.</w:t>
      </w:r>
    </w:p>
    <w:p>
      <w:pPr>
        <w:spacing w:after="120" w:line="360"/>
        <w:jc w:val="left"/>
      </w:pPr>
      <w:r>
        <w:rPr>
          <w:rFonts w:ascii="Times New Roman" w:cs="Times New Roman" w:eastAsia="Times New Roman" w:hAnsi="Times New Roman"/>
          <w:sz w:val="22"/>
          <w:szCs w:val="22"/>
        </w:rPr>
        <w:t xml:space="preserve">For the benchmark we simulated this model with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 0.5,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 40,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5, Poisson(1) drift increments and a discount factor of 0.95. The optimal policy refreshes at a drift of 14, where the expected error rate is 12.0, or 2.4 times the baseline. Across 100 replications of 3,000 weeks,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was recovered with a mean of 0.499 (s.d. 0.011). A two-step estimator gave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with a mean of 39.9 (s.d. 1.0), and estimating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RC</w:t>
      </w:r>
      <w:r>
        <w:rPr>
          <w:rFonts w:ascii="Times New Roman" w:cs="Times New Roman" w:eastAsia="Times New Roman" w:hAnsi="Times New Roman"/>
          <w:sz w:val="22"/>
          <w:szCs w:val="22"/>
        </w:rPr>
        <w:t xml:space="preserve"> jointly from choice data alone gave a mean of 40.1 (s.d. 3.0).</w:t>
      </w:r>
    </w:p>
    <w:p>
      <w:pPr>
        <w:keepNext/>
        <w:spacing w:after="80" w:before="200"/>
      </w:pPr>
      <w:r>
        <w:rPr>
          <w:rFonts w:ascii="Times New Roman" w:cs="Times New Roman" w:eastAsia="Times New Roman" w:hAnsi="Times New Roman"/>
          <w:b/>
          <w:bCs/>
          <w:sz w:val="20"/>
          <w:szCs w:val="20"/>
        </w:rPr>
        <w:t xml:space="preserve">Table 2 | Optimal drift threshold in the dynamic model.</w:t>
      </w:r>
      <w:r>
        <w:rPr>
          <w:rFonts w:ascii="Times New Roman" w:cs="Times New Roman" w:eastAsia="Times New Roman" w:hAnsi="Times New Roman"/>
          <w:sz w:val="20"/>
          <w:szCs w:val="20"/>
        </w:rPr>
        <w:t xml:space="preserve"> Each row varies one parameter, holding the others at the benchmark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25"/>
        <w:gridCol w:w="1125"/>
        <w:gridCol w:w="1125"/>
        <w:gridCol w:w="1125"/>
        <w:gridCol w:w="1126"/>
      </w:tblGrid>
      <w:tr>
        <w:trPr>
          <w:tblHeader/>
        </w:trPr>
        <w:tc>
          <w:tcPr>
            <w:tcW w:type="dxa" w:w="34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Refresh cost </w:t>
            </w:r>
            <w:r>
              <w:rPr>
                <w:rFonts w:ascii="Times New Roman" w:cs="Times New Roman" w:eastAsia="Times New Roman" w:hAnsi="Times New Roman"/>
                <w:b/>
                <w:bCs/>
                <w:i/>
                <w:iCs/>
                <w:sz w:val="18"/>
                <w:szCs w:val="18"/>
              </w:rPr>
              <w:t xml:space="preserve">RC</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10</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20</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40</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80</w:t>
            </w:r>
          </w:p>
        </w:tc>
        <w:tc>
          <w:tcPr>
            <w:tcW w:type="dxa" w:w="1126"/>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160</w:t>
            </w:r>
          </w:p>
        </w:tc>
      </w:tr>
      <w:tr>
        <w:trPr>
          <w:cantSplit/>
        </w:trPr>
        <w:tc>
          <w:tcPr>
            <w:tcW w:type="dxa" w:w="3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Optimal drift threshold</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7</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10</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21</w:t>
            </w:r>
          </w:p>
        </w:tc>
        <w:tc>
          <w:tcPr>
            <w:tcW w:type="dxa" w:w="1126"/>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32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25"/>
        <w:gridCol w:w="1125"/>
        <w:gridCol w:w="1125"/>
        <w:gridCol w:w="1125"/>
        <w:gridCol w:w="1126"/>
      </w:tblGrid>
      <w:tr>
        <w:trPr>
          <w:tblHeader/>
        </w:trPr>
        <w:tc>
          <w:tcPr>
            <w:tcW w:type="dxa" w:w="34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Drift speed </w:t>
            </w:r>
            <w:r>
              <w:rPr>
                <w:rFonts w:ascii="Times New Roman" w:cs="Times New Roman" w:eastAsia="Times New Roman" w:hAnsi="Times New Roman"/>
                <w:b/>
                <w:bCs/>
                <w:i/>
                <w:iCs/>
                <w:sz w:val="18"/>
                <w:szCs w:val="18"/>
              </w:rPr>
              <w:t xml:space="preserve">μ</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0.5</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1.0</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1.5</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2.0</w:t>
            </w:r>
          </w:p>
        </w:tc>
        <w:tc>
          <w:tcPr>
            <w:tcW w:type="dxa" w:w="1126"/>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p>
        </w:tc>
      </w:tr>
      <w:tr>
        <w:trPr>
          <w:cantSplit/>
        </w:trPr>
        <w:tc>
          <w:tcPr>
            <w:tcW w:type="dxa" w:w="3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Optimal drift threshold</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11</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17</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19</w:t>
            </w:r>
          </w:p>
        </w:tc>
        <w:tc>
          <w:tcPr>
            <w:tcW w:type="dxa" w:w="1126"/>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25"/>
        <w:gridCol w:w="1125"/>
        <w:gridCol w:w="1125"/>
        <w:gridCol w:w="1125"/>
        <w:gridCol w:w="1126"/>
      </w:tblGrid>
      <w:tr>
        <w:trPr>
          <w:tblHeader/>
        </w:trPr>
        <w:tc>
          <w:tcPr>
            <w:tcW w:type="dxa" w:w="3400"/>
            <w:tcBorders>
              <w:top w:val="single" w:color="000000" w:sz="4"/>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Discount factor </w:t>
            </w:r>
            <w:r>
              <w:rPr>
                <w:rFonts w:ascii="Times New Roman" w:cs="Times New Roman" w:eastAsia="Times New Roman" w:hAnsi="Times New Roman"/>
                <w:b/>
                <w:bCs/>
                <w:i/>
                <w:iCs/>
                <w:sz w:val="18"/>
                <w:szCs w:val="18"/>
              </w:rPr>
              <w:t xml:space="preserve">β</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0.90</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0.95</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bCs/>
                <w:sz w:val="18"/>
                <w:szCs w:val="18"/>
              </w:rPr>
              <w:t xml:space="preserve">0.99</w:t>
            </w:r>
          </w:p>
        </w:tc>
        <w:tc>
          <w:tcPr>
            <w:tcW w:type="dxa" w:w="1125"/>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p>
        </w:tc>
        <w:tc>
          <w:tcPr>
            <w:tcW w:type="dxa" w:w="1126"/>
            <w:tcBorders>
              <w:top w:val="single" w:color="000000" w:sz="4"/>
              <w:left w:val="none" w:color="FFFFFF" w:sz="0"/>
              <w:bottom w:val="single" w:color="000000" w:sz="4"/>
              <w:right w:val="none" w:color="FFFFFF" w:sz="0"/>
            </w:tcBorders>
            <w:tcMar>
              <w:top w:type="dxa" w:w="40"/>
              <w:left w:type="dxa" w:w="80"/>
              <w:bottom w:type="dxa" w:w="40"/>
              <w:right w:type="dxa" w:w="80"/>
            </w:tcMar>
          </w:tcPr>
          <w:p>
            <w:pPr>
              <w:jc w:val="right"/>
            </w:pPr>
          </w:p>
        </w:tc>
      </w:tr>
      <w:tr>
        <w:trPr>
          <w:cantSplit/>
        </w:trPr>
        <w:tc>
          <w:tcPr>
            <w:tcW w:type="dxa" w:w="3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Optimal drift threshold</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16</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14</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8"/>
                <w:szCs w:val="18"/>
              </w:rPr>
              <w:t xml:space="preserve">13</w:t>
            </w:r>
          </w:p>
        </w:tc>
        <w:tc>
          <w:tcPr>
            <w:tcW w:type="dxa" w:w="1125"/>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p>
        </w:tc>
        <w:tc>
          <w:tcPr>
            <w:tcW w:type="dxa" w:w="1126"/>
            <w:tcBorders>
              <w:top w:val="none" w:color="FFFFFF" w:sz="0"/>
              <w:left w:val="none" w:color="FFFFFF" w:sz="0"/>
              <w:bottom w:val="single" w:color="000000" w:sz="4"/>
              <w:right w:val="none" w:color="FFFFFF" w:sz="0"/>
            </w:tcBorders>
            <w:tcMar>
              <w:top w:type="dxa" w:w="40"/>
              <w:left w:type="dxa" w:w="80"/>
              <w:bottom w:type="dxa" w:w="40"/>
              <w:right w:type="dxa" w:w="80"/>
            </w:tcMar>
          </w:tcPr>
          <w:p>
            <w:pPr>
              <w:jc w:val="right"/>
            </w:pPr>
          </w:p>
        </w:tc>
      </w:tr>
    </w:tbl>
    <w:p>
      <w:pPr>
        <w:pStyle w:val="Heading1"/>
        <w:keepNext/>
        <w:spacing w:after="120" w:before="280"/>
      </w:pPr>
      <w:r>
        <w:rPr>
          <w:rFonts w:ascii="Times New Roman" w:cs="Times New Roman" w:eastAsia="Times New Roman" w:hAnsi="Times New Roman"/>
          <w:b/>
          <w:bCs/>
          <w:color w:val="000000"/>
          <w:sz w:val="26"/>
          <w:szCs w:val="26"/>
        </w:rPr>
        <w:t xml:space="preserve">Data availability</w:t>
      </w:r>
    </w:p>
    <w:p>
      <w:pPr>
        <w:spacing w:after="120" w:line="360"/>
        <w:jc w:val="left"/>
      </w:pPr>
      <w:r>
        <w:rPr>
          <w:rFonts w:ascii="Times New Roman" w:cs="Times New Roman" w:eastAsia="Times New Roman" w:hAnsi="Times New Roman"/>
          <w:sz w:val="22"/>
          <w:szCs w:val="22"/>
        </w:rPr>
        <w:t xml:space="preserve">The weekly issue and release aggregates used in all analyses are available at </w:t>
      </w:r>
      <w:r>
        <w:rPr>
          <w:rFonts w:ascii="Times New Roman" w:cs="Times New Roman" w:eastAsia="Times New Roman" w:hAnsi="Times New Roman"/>
          <w:sz w:val="22"/>
          <w:szCs w:val="22"/>
          <w:highlight w:val="yellow"/>
          <w:highlightCs w:val="yellow"/>
        </w:rPr>
        <w:t xml:space="preserve">URL/DOI of the replication package: to be added</w:t>
      </w:r>
      <w:r>
        <w:rPr>
          <w:rFonts w:ascii="Times New Roman" w:cs="Times New Roman" w:eastAsia="Times New Roman" w:hAnsi="Times New Roman"/>
          <w:sz w:val="22"/>
          <w:szCs w:val="22"/>
        </w:rPr>
        <w:t xml:space="preserve">.</w:t>
      </w:r>
    </w:p>
    <w:p>
      <w:pPr>
        <w:pStyle w:val="Heading1"/>
        <w:keepNext/>
        <w:spacing w:after="120" w:before="280"/>
      </w:pPr>
      <w:r>
        <w:rPr>
          <w:rFonts w:ascii="Times New Roman" w:cs="Times New Roman" w:eastAsia="Times New Roman" w:hAnsi="Times New Roman"/>
          <w:b/>
          <w:bCs/>
          <w:color w:val="000000"/>
          <w:sz w:val="26"/>
          <w:szCs w:val="26"/>
        </w:rPr>
        <w:t xml:space="preserve">Code availability</w:t>
      </w:r>
    </w:p>
    <w:p>
      <w:pPr>
        <w:spacing w:after="120" w:line="360"/>
        <w:jc w:val="left"/>
      </w:pPr>
      <w:r>
        <w:rPr>
          <w:rFonts w:ascii="Times New Roman" w:cs="Times New Roman" w:eastAsia="Times New Roman" w:hAnsi="Times New Roman"/>
          <w:sz w:val="22"/>
          <w:szCs w:val="22"/>
        </w:rPr>
        <w:t xml:space="preserve">Code to reproduce all tables and the simulation benchmark is available at </w:t>
      </w:r>
      <w:r>
        <w:rPr>
          <w:rFonts w:ascii="Times New Roman" w:cs="Times New Roman" w:eastAsia="Times New Roman" w:hAnsi="Times New Roman"/>
          <w:sz w:val="22"/>
          <w:szCs w:val="22"/>
          <w:highlight w:val="yellow"/>
          <w:highlightCs w:val="yellow"/>
        </w:rPr>
        <w:t xml:space="preserve">URL/DOI of the replication package: to be added</w:t>
      </w:r>
      <w:r>
        <w:rPr>
          <w:rFonts w:ascii="Times New Roman" w:cs="Times New Roman" w:eastAsia="Times New Roman" w:hAnsi="Times New Roman"/>
          <w:sz w:val="22"/>
          <w:szCs w:val="22"/>
        </w:rPr>
        <w:t xml:space="preserve">.</w:t>
      </w:r>
    </w:p>
    <w:p>
      <w:pPr>
        <w:pStyle w:val="Heading1"/>
        <w:keepNext/>
        <w:spacing w:after="120" w:before="280"/>
      </w:pPr>
      <w:r>
        <w:rPr>
          <w:rFonts w:ascii="Times New Roman" w:cs="Times New Roman" w:eastAsia="Times New Roman" w:hAnsi="Times New Roman"/>
          <w:b/>
          <w:bCs/>
          <w:color w:val="000000"/>
          <w:sz w:val="26"/>
          <w:szCs w:val="26"/>
        </w:rPr>
        <w:t xml:space="preserve">Author contributions</w:t>
      </w:r>
    </w:p>
    <w:p>
      <w:pPr>
        <w:spacing w:after="120" w:line="360"/>
        <w:jc w:val="left"/>
      </w:pPr>
      <w:r>
        <w:rPr>
          <w:rFonts w:ascii="Times New Roman" w:cs="Times New Roman" w:eastAsia="Times New Roman" w:hAnsi="Times New Roman"/>
          <w:sz w:val="22"/>
          <w:szCs w:val="22"/>
        </w:rPr>
        <w:t xml:space="preserve">O.L. conceived the study, developed the model, collected and analysed the data, and wrote the paper.</w:t>
      </w:r>
    </w:p>
    <w:p>
      <w:pPr>
        <w:pStyle w:val="Heading1"/>
        <w:keepNext/>
        <w:spacing w:after="120" w:before="280"/>
      </w:pPr>
      <w:r>
        <w:rPr>
          <w:rFonts w:ascii="Times New Roman" w:cs="Times New Roman" w:eastAsia="Times New Roman" w:hAnsi="Times New Roman"/>
          <w:b/>
          <w:bCs/>
          <w:color w:val="000000"/>
          <w:sz w:val="26"/>
          <w:szCs w:val="26"/>
        </w:rPr>
        <w:t xml:space="preserve">Competing interests</w:t>
      </w:r>
    </w:p>
    <w:p>
      <w:pPr>
        <w:spacing w:after="120" w:line="360"/>
        <w:jc w:val="left"/>
      </w:pPr>
      <w:r>
        <w:rPr>
          <w:rFonts w:ascii="Times New Roman" w:cs="Times New Roman" w:eastAsia="Times New Roman" w:hAnsi="Times New Roman"/>
          <w:sz w:val="22"/>
          <w:szCs w:val="22"/>
        </w:rPr>
        <w:t xml:space="preserve">The author declares no competing interests.</w:t>
      </w:r>
    </w:p>
    <w:p>
      <w:pPr>
        <w:pStyle w:val="Heading1"/>
        <w:keepNext/>
        <w:spacing w:after="120" w:before="280"/>
      </w:pPr>
      <w:r>
        <w:rPr>
          <w:rFonts w:ascii="Times New Roman" w:cs="Times New Roman" w:eastAsia="Times New Roman" w:hAnsi="Times New Roman"/>
          <w:b/>
          <w:bCs/>
          <w:color w:val="000000"/>
          <w:sz w:val="26"/>
          <w:szCs w:val="26"/>
        </w:rPr>
        <w:t xml:space="preserve">References</w:t>
      </w:r>
    </w:p>
    <w:p>
      <w:pPr>
        <w:spacing w:after="80"/>
        <w:ind w:left="400" w:hanging="400"/>
      </w:pPr>
      <w:r>
        <w:rPr>
          <w:rFonts w:ascii="Times New Roman" w:cs="Times New Roman" w:eastAsia="Times New Roman" w:hAnsi="Times New Roman"/>
          <w:sz w:val="20"/>
          <w:szCs w:val="20"/>
        </w:rPr>
        <w:t xml:space="preserve">1.	Sheshinski, E. &amp; Weiss, Y. Inflation and costs of price adjustment. </w:t>
      </w:r>
      <w:r>
        <w:rPr>
          <w:rFonts w:ascii="Times New Roman" w:cs="Times New Roman" w:eastAsia="Times New Roman" w:hAnsi="Times New Roman"/>
          <w:i/>
          <w:iCs/>
          <w:sz w:val="20"/>
          <w:szCs w:val="20"/>
        </w:rPr>
        <w:t xml:space="preserve">Rev. Econ. Stud.</w:t>
      </w:r>
      <w:r>
        <w:rPr>
          <w:rFonts w:ascii="Times New Roman" w:cs="Times New Roman" w:eastAsia="Times New Roman" w:hAnsi="Times New Roman"/>
          <w:sz w:val="20"/>
          <w:szCs w:val="20"/>
        </w:rPr>
        <w:t xml:space="preserve"> 44, 287–303 (1977).</w:t>
      </w:r>
    </w:p>
    <w:p>
      <w:pPr>
        <w:spacing w:after="80"/>
        <w:ind w:left="400" w:hanging="400"/>
      </w:pPr>
      <w:r>
        <w:rPr>
          <w:rFonts w:ascii="Times New Roman" w:cs="Times New Roman" w:eastAsia="Times New Roman" w:hAnsi="Times New Roman"/>
          <w:sz w:val="20"/>
          <w:szCs w:val="20"/>
        </w:rPr>
        <w:t xml:space="preserve">2.	Taylor, J. B. Aggregate dynamics and staggered contracts. </w:t>
      </w:r>
      <w:r>
        <w:rPr>
          <w:rFonts w:ascii="Times New Roman" w:cs="Times New Roman" w:eastAsia="Times New Roman" w:hAnsi="Times New Roman"/>
          <w:i/>
          <w:iCs/>
          <w:sz w:val="20"/>
          <w:szCs w:val="20"/>
        </w:rPr>
        <w:t xml:space="preserve">J. Polit. Econ.</w:t>
      </w:r>
      <w:r>
        <w:rPr>
          <w:rFonts w:ascii="Times New Roman" w:cs="Times New Roman" w:eastAsia="Times New Roman" w:hAnsi="Times New Roman"/>
          <w:sz w:val="20"/>
          <w:szCs w:val="20"/>
        </w:rPr>
        <w:t xml:space="preserve"> 88, 1–23 (1980).</w:t>
      </w:r>
    </w:p>
    <w:p>
      <w:pPr>
        <w:spacing w:after="80"/>
        <w:ind w:left="400" w:hanging="400"/>
      </w:pPr>
      <w:r>
        <w:rPr>
          <w:rFonts w:ascii="Times New Roman" w:cs="Times New Roman" w:eastAsia="Times New Roman" w:hAnsi="Times New Roman"/>
          <w:sz w:val="20"/>
          <w:szCs w:val="20"/>
        </w:rPr>
        <w:t xml:space="preserve">3.	Calvo, G. A. Staggered prices in a utility-maximizing framework. </w:t>
      </w:r>
      <w:r>
        <w:rPr>
          <w:rFonts w:ascii="Times New Roman" w:cs="Times New Roman" w:eastAsia="Times New Roman" w:hAnsi="Times New Roman"/>
          <w:i/>
          <w:iCs/>
          <w:sz w:val="20"/>
          <w:szCs w:val="20"/>
        </w:rPr>
        <w:t xml:space="preserve">J. Monet. Econ.</w:t>
      </w:r>
      <w:r>
        <w:rPr>
          <w:rFonts w:ascii="Times New Roman" w:cs="Times New Roman" w:eastAsia="Times New Roman" w:hAnsi="Times New Roman"/>
          <w:sz w:val="20"/>
          <w:szCs w:val="20"/>
        </w:rPr>
        <w:t xml:space="preserve"> 12, 383–398 (1983).</w:t>
      </w:r>
    </w:p>
    <w:p>
      <w:pPr>
        <w:spacing w:after="80"/>
        <w:ind w:left="400" w:hanging="400"/>
      </w:pPr>
      <w:r>
        <w:rPr>
          <w:rFonts w:ascii="Times New Roman" w:cs="Times New Roman" w:eastAsia="Times New Roman" w:hAnsi="Times New Roman"/>
          <w:sz w:val="20"/>
          <w:szCs w:val="20"/>
        </w:rPr>
        <w:t xml:space="preserve">4.	Klenow, P. J. &amp; Kryvtsov, O. State-dependent or time-dependent pricing: does it matter for recent U.S. inflation? </w:t>
      </w:r>
      <w:r>
        <w:rPr>
          <w:rFonts w:ascii="Times New Roman" w:cs="Times New Roman" w:eastAsia="Times New Roman" w:hAnsi="Times New Roman"/>
          <w:i/>
          <w:iCs/>
          <w:sz w:val="20"/>
          <w:szCs w:val="20"/>
        </w:rPr>
        <w:t xml:space="preserve">Q. J. Econ.</w:t>
      </w:r>
      <w:r>
        <w:rPr>
          <w:rFonts w:ascii="Times New Roman" w:cs="Times New Roman" w:eastAsia="Times New Roman" w:hAnsi="Times New Roman"/>
          <w:sz w:val="20"/>
          <w:szCs w:val="20"/>
        </w:rPr>
        <w:t xml:space="preserve"> 123, 863–904 (2008).</w:t>
      </w:r>
    </w:p>
    <w:p>
      <w:pPr>
        <w:spacing w:after="80"/>
        <w:ind w:left="400" w:hanging="400"/>
      </w:pPr>
      <w:r>
        <w:rPr>
          <w:rFonts w:ascii="Times New Roman" w:cs="Times New Roman" w:eastAsia="Times New Roman" w:hAnsi="Times New Roman"/>
          <w:sz w:val="20"/>
          <w:szCs w:val="20"/>
        </w:rPr>
        <w:t xml:space="preserve">5.	Nakamura, E. &amp; Steinsson, J. Five facts about prices: a reevaluation of menu cost models. </w:t>
      </w:r>
      <w:r>
        <w:rPr>
          <w:rFonts w:ascii="Times New Roman" w:cs="Times New Roman" w:eastAsia="Times New Roman" w:hAnsi="Times New Roman"/>
          <w:i/>
          <w:iCs/>
          <w:sz w:val="20"/>
          <w:szCs w:val="20"/>
        </w:rPr>
        <w:t xml:space="preserve">Q. J. Econ.</w:t>
      </w:r>
      <w:r>
        <w:rPr>
          <w:rFonts w:ascii="Times New Roman" w:cs="Times New Roman" w:eastAsia="Times New Roman" w:hAnsi="Times New Roman"/>
          <w:sz w:val="20"/>
          <w:szCs w:val="20"/>
        </w:rPr>
        <w:t xml:space="preserve"> 123, 1415–1464 (2008).</w:t>
      </w:r>
    </w:p>
    <w:p>
      <w:pPr>
        <w:spacing w:after="80"/>
        <w:ind w:left="400" w:hanging="400"/>
      </w:pPr>
      <w:r>
        <w:rPr>
          <w:rFonts w:ascii="Times New Roman" w:cs="Times New Roman" w:eastAsia="Times New Roman" w:hAnsi="Times New Roman"/>
          <w:sz w:val="20"/>
          <w:szCs w:val="20"/>
        </w:rPr>
        <w:t xml:space="preserve">6.	Caballero, R. J. &amp; Engel, E. M. R. A. Explaining investment dynamics in U.S. manufacturing: a generalized (S,s) approach. </w:t>
      </w:r>
      <w:r>
        <w:rPr>
          <w:rFonts w:ascii="Times New Roman" w:cs="Times New Roman" w:eastAsia="Times New Roman" w:hAnsi="Times New Roman"/>
          <w:i/>
          <w:iCs/>
          <w:sz w:val="20"/>
          <w:szCs w:val="20"/>
        </w:rPr>
        <w:t xml:space="preserve">Econometrica</w:t>
      </w:r>
      <w:r>
        <w:rPr>
          <w:rFonts w:ascii="Times New Roman" w:cs="Times New Roman" w:eastAsia="Times New Roman" w:hAnsi="Times New Roman"/>
          <w:sz w:val="20"/>
          <w:szCs w:val="20"/>
        </w:rPr>
        <w:t xml:space="preserve"> 67, 783–826 (1999).</w:t>
      </w:r>
    </w:p>
    <w:p>
      <w:pPr>
        <w:spacing w:after="80"/>
        <w:ind w:left="400" w:hanging="400"/>
      </w:pPr>
      <w:r>
        <w:rPr>
          <w:rFonts w:ascii="Times New Roman" w:cs="Times New Roman" w:eastAsia="Times New Roman" w:hAnsi="Times New Roman"/>
          <w:sz w:val="20"/>
          <w:szCs w:val="20"/>
        </w:rPr>
        <w:t xml:space="preserve">7.	Heckman, J. &amp; Singer, B. A method for minimizing the impact of distributional assumptions in econometric models for duration data. </w:t>
      </w:r>
      <w:r>
        <w:rPr>
          <w:rFonts w:ascii="Times New Roman" w:cs="Times New Roman" w:eastAsia="Times New Roman" w:hAnsi="Times New Roman"/>
          <w:i/>
          <w:iCs/>
          <w:sz w:val="20"/>
          <w:szCs w:val="20"/>
        </w:rPr>
        <w:t xml:space="preserve">Econometrica</w:t>
      </w:r>
      <w:r>
        <w:rPr>
          <w:rFonts w:ascii="Times New Roman" w:cs="Times New Roman" w:eastAsia="Times New Roman" w:hAnsi="Times New Roman"/>
          <w:sz w:val="20"/>
          <w:szCs w:val="20"/>
        </w:rPr>
        <w:t xml:space="preserve"> 52, 271–320 (1984).</w:t>
      </w:r>
    </w:p>
    <w:p>
      <w:pPr>
        <w:spacing w:after="80"/>
        <w:ind w:left="400" w:hanging="400"/>
      </w:pPr>
      <w:r>
        <w:rPr>
          <w:rFonts w:ascii="Times New Roman" w:cs="Times New Roman" w:eastAsia="Times New Roman" w:hAnsi="Times New Roman"/>
          <w:sz w:val="20"/>
          <w:szCs w:val="20"/>
        </w:rPr>
        <w:t xml:space="preserve">8.	Mankiw, N. G. &amp; Reis, R. Sticky information versus sticky prices: a proposal to replace the New Keynesian Phillips curve. </w:t>
      </w:r>
      <w:r>
        <w:rPr>
          <w:rFonts w:ascii="Times New Roman" w:cs="Times New Roman" w:eastAsia="Times New Roman" w:hAnsi="Times New Roman"/>
          <w:i/>
          <w:iCs/>
          <w:sz w:val="20"/>
          <w:szCs w:val="20"/>
        </w:rPr>
        <w:t xml:space="preserve">Q. J. Econ.</w:t>
      </w:r>
      <w:r>
        <w:rPr>
          <w:rFonts w:ascii="Times New Roman" w:cs="Times New Roman" w:eastAsia="Times New Roman" w:hAnsi="Times New Roman"/>
          <w:sz w:val="20"/>
          <w:szCs w:val="20"/>
        </w:rPr>
        <w:t xml:space="preserve"> 117, 1295–1328 (2002).</w:t>
      </w:r>
    </w:p>
    <w:p>
      <w:pPr>
        <w:spacing w:after="80"/>
        <w:ind w:left="400" w:hanging="400"/>
      </w:pPr>
      <w:r>
        <w:rPr>
          <w:rFonts w:ascii="Times New Roman" w:cs="Times New Roman" w:eastAsia="Times New Roman" w:hAnsi="Times New Roman"/>
          <w:sz w:val="20"/>
          <w:szCs w:val="20"/>
        </w:rPr>
        <w:t xml:space="preserve">9.	Reis, R. Inattentive producers. </w:t>
      </w:r>
      <w:r>
        <w:rPr>
          <w:rFonts w:ascii="Times New Roman" w:cs="Times New Roman" w:eastAsia="Times New Roman" w:hAnsi="Times New Roman"/>
          <w:i/>
          <w:iCs/>
          <w:sz w:val="20"/>
          <w:szCs w:val="20"/>
        </w:rPr>
        <w:t xml:space="preserve">Rev. Econ. Stud.</w:t>
      </w:r>
      <w:r>
        <w:rPr>
          <w:rFonts w:ascii="Times New Roman" w:cs="Times New Roman" w:eastAsia="Times New Roman" w:hAnsi="Times New Roman"/>
          <w:sz w:val="20"/>
          <w:szCs w:val="20"/>
        </w:rPr>
        <w:t xml:space="preserve"> 73, 793–821 (2006).</w:t>
      </w:r>
    </w:p>
    <w:p>
      <w:pPr>
        <w:spacing w:after="80"/>
        <w:ind w:left="400" w:hanging="400"/>
      </w:pPr>
      <w:r>
        <w:rPr>
          <w:rFonts w:ascii="Times New Roman" w:cs="Times New Roman" w:eastAsia="Times New Roman" w:hAnsi="Times New Roman"/>
          <w:sz w:val="20"/>
          <w:szCs w:val="20"/>
        </w:rPr>
        <w:t xml:space="preserve">10.	Sims, C. A. Implications of rational inattention. </w:t>
      </w:r>
      <w:r>
        <w:rPr>
          <w:rFonts w:ascii="Times New Roman" w:cs="Times New Roman" w:eastAsia="Times New Roman" w:hAnsi="Times New Roman"/>
          <w:i/>
          <w:iCs/>
          <w:sz w:val="20"/>
          <w:szCs w:val="20"/>
        </w:rPr>
        <w:t xml:space="preserve">J. Monet. Econ.</w:t>
      </w:r>
      <w:r>
        <w:rPr>
          <w:rFonts w:ascii="Times New Roman" w:cs="Times New Roman" w:eastAsia="Times New Roman" w:hAnsi="Times New Roman"/>
          <w:sz w:val="20"/>
          <w:szCs w:val="20"/>
        </w:rPr>
        <w:t xml:space="preserve"> 50, 665–690 (2003).</w:t>
      </w:r>
    </w:p>
    <w:p>
      <w:pPr>
        <w:spacing w:after="80"/>
        <w:ind w:left="400" w:hanging="400"/>
      </w:pPr>
      <w:r>
        <w:rPr>
          <w:rFonts w:ascii="Times New Roman" w:cs="Times New Roman" w:eastAsia="Times New Roman" w:hAnsi="Times New Roman"/>
          <w:sz w:val="20"/>
          <w:szCs w:val="20"/>
        </w:rPr>
        <w:t xml:space="preserve">11.	Alvarez, F. E., Lippi, F. &amp; Paciello, L. Optimal price setting with observation and menu costs. </w:t>
      </w:r>
      <w:r>
        <w:rPr>
          <w:rFonts w:ascii="Times New Roman" w:cs="Times New Roman" w:eastAsia="Times New Roman" w:hAnsi="Times New Roman"/>
          <w:i/>
          <w:iCs/>
          <w:sz w:val="20"/>
          <w:szCs w:val="20"/>
        </w:rPr>
        <w:t xml:space="preserve">Q. J. Econ.</w:t>
      </w:r>
      <w:r>
        <w:rPr>
          <w:rFonts w:ascii="Times New Roman" w:cs="Times New Roman" w:eastAsia="Times New Roman" w:hAnsi="Times New Roman"/>
          <w:sz w:val="20"/>
          <w:szCs w:val="20"/>
        </w:rPr>
        <w:t xml:space="preserve"> 126, 1909–1960 (2011).</w:t>
      </w:r>
    </w:p>
    <w:p>
      <w:pPr>
        <w:spacing w:after="80"/>
        <w:ind w:left="400" w:hanging="400"/>
      </w:pPr>
      <w:r>
        <w:rPr>
          <w:rFonts w:ascii="Times New Roman" w:cs="Times New Roman" w:eastAsia="Times New Roman" w:hAnsi="Times New Roman"/>
          <w:sz w:val="20"/>
          <w:szCs w:val="20"/>
        </w:rPr>
        <w:t xml:space="preserve">12.	Barlow, R. &amp; Hunter, L. Optimum preventive maintenance policies. </w:t>
      </w:r>
      <w:r>
        <w:rPr>
          <w:rFonts w:ascii="Times New Roman" w:cs="Times New Roman" w:eastAsia="Times New Roman" w:hAnsi="Times New Roman"/>
          <w:i/>
          <w:iCs/>
          <w:sz w:val="20"/>
          <w:szCs w:val="20"/>
        </w:rPr>
        <w:t xml:space="preserve">Oper. Res.</w:t>
      </w:r>
      <w:r>
        <w:rPr>
          <w:rFonts w:ascii="Times New Roman" w:cs="Times New Roman" w:eastAsia="Times New Roman" w:hAnsi="Times New Roman"/>
          <w:sz w:val="20"/>
          <w:szCs w:val="20"/>
        </w:rPr>
        <w:t xml:space="preserve"> 8, 90–100 (1960).</w:t>
      </w:r>
    </w:p>
    <w:p>
      <w:pPr>
        <w:spacing w:after="80"/>
        <w:ind w:left="400" w:hanging="400"/>
      </w:pPr>
      <w:r>
        <w:rPr>
          <w:rFonts w:ascii="Times New Roman" w:cs="Times New Roman" w:eastAsia="Times New Roman" w:hAnsi="Times New Roman"/>
          <w:sz w:val="20"/>
          <w:szCs w:val="20"/>
        </w:rPr>
        <w:t xml:space="preserve">13.	Duncan, A. J. The economic design of X̄ charts used to maintain current control of a process. </w:t>
      </w:r>
      <w:r>
        <w:rPr>
          <w:rFonts w:ascii="Times New Roman" w:cs="Times New Roman" w:eastAsia="Times New Roman" w:hAnsi="Times New Roman"/>
          <w:i/>
          <w:iCs/>
          <w:sz w:val="20"/>
          <w:szCs w:val="20"/>
        </w:rPr>
        <w:t xml:space="preserve">J. Am. Stat. Assoc.</w:t>
      </w:r>
      <w:r>
        <w:rPr>
          <w:rFonts w:ascii="Times New Roman" w:cs="Times New Roman" w:eastAsia="Times New Roman" w:hAnsi="Times New Roman"/>
          <w:sz w:val="20"/>
          <w:szCs w:val="20"/>
        </w:rPr>
        <w:t xml:space="preserve"> 51, 228–242 (1956).</w:t>
      </w:r>
    </w:p>
    <w:p>
      <w:pPr>
        <w:spacing w:after="80"/>
        <w:ind w:left="400" w:hanging="400"/>
      </w:pPr>
      <w:r>
        <w:rPr>
          <w:rFonts w:ascii="Times New Roman" w:cs="Times New Roman" w:eastAsia="Times New Roman" w:hAnsi="Times New Roman"/>
          <w:sz w:val="20"/>
          <w:szCs w:val="20"/>
        </w:rPr>
        <w:t xml:space="preserve">14.	Rust, J. Optimal replacement of GMC bus engines: an empirical model of Harold Zurcher. </w:t>
      </w:r>
      <w:r>
        <w:rPr>
          <w:rFonts w:ascii="Times New Roman" w:cs="Times New Roman" w:eastAsia="Times New Roman" w:hAnsi="Times New Roman"/>
          <w:i/>
          <w:iCs/>
          <w:sz w:val="20"/>
          <w:szCs w:val="20"/>
        </w:rPr>
        <w:t xml:space="preserve">Econometrica</w:t>
      </w:r>
      <w:r>
        <w:rPr>
          <w:rFonts w:ascii="Times New Roman" w:cs="Times New Roman" w:eastAsia="Times New Roman" w:hAnsi="Times New Roman"/>
          <w:sz w:val="20"/>
          <w:szCs w:val="20"/>
        </w:rPr>
        <w:t xml:space="preserve"> 55, 999–1033 (1987).</w:t>
      </w:r>
    </w:p>
    <w:p>
      <w:pPr>
        <w:spacing w:after="80"/>
        <w:ind w:left="400" w:hanging="400"/>
      </w:pPr>
      <w:r>
        <w:rPr>
          <w:rFonts w:ascii="Times New Roman" w:cs="Times New Roman" w:eastAsia="Times New Roman" w:hAnsi="Times New Roman"/>
          <w:sz w:val="20"/>
          <w:szCs w:val="20"/>
        </w:rPr>
        <w:t xml:space="preserve">15.	Hotz, V. J. &amp; Miller, R. A. Conditional choice probabilities and the estimation of dynamic models. </w:t>
      </w:r>
      <w:r>
        <w:rPr>
          <w:rFonts w:ascii="Times New Roman" w:cs="Times New Roman" w:eastAsia="Times New Roman" w:hAnsi="Times New Roman"/>
          <w:i/>
          <w:iCs/>
          <w:sz w:val="20"/>
          <w:szCs w:val="20"/>
        </w:rPr>
        <w:t xml:space="preserve">Rev. Econ. Stud.</w:t>
      </w:r>
      <w:r>
        <w:rPr>
          <w:rFonts w:ascii="Times New Roman" w:cs="Times New Roman" w:eastAsia="Times New Roman" w:hAnsi="Times New Roman"/>
          <w:sz w:val="20"/>
          <w:szCs w:val="20"/>
        </w:rPr>
        <w:t xml:space="preserve"> 60, 497–529 (1993).</w:t>
      </w:r>
    </w:p>
    <w:p>
      <w:pPr>
        <w:spacing w:after="80"/>
        <w:ind w:left="400" w:hanging="400"/>
      </w:pPr>
      <w:r>
        <w:rPr>
          <w:rFonts w:ascii="Times New Roman" w:cs="Times New Roman" w:eastAsia="Times New Roman" w:hAnsi="Times New Roman"/>
          <w:sz w:val="20"/>
          <w:szCs w:val="20"/>
        </w:rPr>
        <w:t xml:space="preserve">16.	Aguirregabiria, V. &amp; Mira, P. Dynamic discrete choice structural models: a survey. </w:t>
      </w:r>
      <w:r>
        <w:rPr>
          <w:rFonts w:ascii="Times New Roman" w:cs="Times New Roman" w:eastAsia="Times New Roman" w:hAnsi="Times New Roman"/>
          <w:i/>
          <w:iCs/>
          <w:sz w:val="20"/>
          <w:szCs w:val="20"/>
        </w:rPr>
        <w:t xml:space="preserve">J. Econom.</w:t>
      </w:r>
      <w:r>
        <w:rPr>
          <w:rFonts w:ascii="Times New Roman" w:cs="Times New Roman" w:eastAsia="Times New Roman" w:hAnsi="Times New Roman"/>
          <w:sz w:val="20"/>
          <w:szCs w:val="20"/>
        </w:rPr>
        <w:t xml:space="preserve"> 156, 38–67 (2010).</w:t>
      </w:r>
    </w:p>
    <w:p>
      <w:pPr>
        <w:spacing w:after="80"/>
        <w:ind w:left="400" w:hanging="400"/>
      </w:pPr>
      <w:r>
        <w:rPr>
          <w:rFonts w:ascii="Times New Roman" w:cs="Times New Roman" w:eastAsia="Times New Roman" w:hAnsi="Times New Roman"/>
          <w:sz w:val="20"/>
          <w:szCs w:val="20"/>
        </w:rPr>
        <w:t xml:space="preserve">17.	Lerner, J. &amp; Tirole, J. Some simple economics of open source. </w:t>
      </w:r>
      <w:r>
        <w:rPr>
          <w:rFonts w:ascii="Times New Roman" w:cs="Times New Roman" w:eastAsia="Times New Roman" w:hAnsi="Times New Roman"/>
          <w:i/>
          <w:iCs/>
          <w:sz w:val="20"/>
          <w:szCs w:val="20"/>
        </w:rPr>
        <w:t xml:space="preserve">J. Ind. Econ.</w:t>
      </w:r>
      <w:r>
        <w:rPr>
          <w:rFonts w:ascii="Times New Roman" w:cs="Times New Roman" w:eastAsia="Times New Roman" w:hAnsi="Times New Roman"/>
          <w:sz w:val="20"/>
          <w:szCs w:val="20"/>
        </w:rPr>
        <w:t xml:space="preserve"> 50, 197–234 (2002).</w:t>
      </w:r>
    </w:p>
    <w:p>
      <w:pPr>
        <w:spacing w:after="80"/>
        <w:ind w:left="400" w:hanging="400"/>
      </w:pPr>
      <w:r>
        <w:rPr>
          <w:rFonts w:ascii="Times New Roman" w:cs="Times New Roman" w:eastAsia="Times New Roman" w:hAnsi="Times New Roman"/>
          <w:sz w:val="20"/>
          <w:szCs w:val="20"/>
        </w:rPr>
        <w:t xml:space="preserve">18.	von Hippel, E. &amp; von Krogh, G. Open source software and the “private-collective” innovation model: issues for organization science. </w:t>
      </w:r>
      <w:r>
        <w:rPr>
          <w:rFonts w:ascii="Times New Roman" w:cs="Times New Roman" w:eastAsia="Times New Roman" w:hAnsi="Times New Roman"/>
          <w:i/>
          <w:iCs/>
          <w:sz w:val="20"/>
          <w:szCs w:val="20"/>
        </w:rPr>
        <w:t xml:space="preserve">Organ. Sci.</w:t>
      </w:r>
      <w:r>
        <w:rPr>
          <w:rFonts w:ascii="Times New Roman" w:cs="Times New Roman" w:eastAsia="Times New Roman" w:hAnsi="Times New Roman"/>
          <w:sz w:val="20"/>
          <w:szCs w:val="20"/>
        </w:rPr>
        <w:t xml:space="preserve"> 14, 209–223 (2003).</w:t>
      </w:r>
    </w:p>
    <w:p>
      <w:pPr>
        <w:spacing w:after="80"/>
        <w:ind w:left="400" w:hanging="400"/>
      </w:pPr>
      <w:r>
        <w:rPr>
          <w:rFonts w:ascii="Times New Roman" w:cs="Times New Roman" w:eastAsia="Times New Roman" w:hAnsi="Times New Roman"/>
          <w:sz w:val="20"/>
          <w:szCs w:val="20"/>
        </w:rPr>
        <w:t xml:space="preserve">19.	Khomh, F., Dhaliwal, T., Zou, Y. &amp; Adams, B. Do faster releases improve software quality? An empirical case study of Mozilla Firefox. In </w:t>
      </w:r>
      <w:r>
        <w:rPr>
          <w:rFonts w:ascii="Times New Roman" w:cs="Times New Roman" w:eastAsia="Times New Roman" w:hAnsi="Times New Roman"/>
          <w:i/>
          <w:iCs/>
          <w:sz w:val="20"/>
          <w:szCs w:val="20"/>
        </w:rPr>
        <w:t xml:space="preserve">Proc. 9th IEEE Working Conf. Mining Software Repositories (MSR)</w:t>
      </w:r>
      <w:r>
        <w:rPr>
          <w:rFonts w:ascii="Times New Roman" w:cs="Times New Roman" w:eastAsia="Times New Roman" w:hAnsi="Times New Roman"/>
          <w:sz w:val="20"/>
          <w:szCs w:val="20"/>
        </w:rPr>
        <w:t xml:space="preserve"> 179–188 (IEEE, 2012).</w:t>
      </w:r>
    </w:p>
    <w:p>
      <w:pPr>
        <w:spacing w:after="80"/>
        <w:ind w:left="400" w:hanging="400"/>
      </w:pPr>
      <w:r>
        <w:rPr>
          <w:rFonts w:ascii="Times New Roman" w:cs="Times New Roman" w:eastAsia="Times New Roman" w:hAnsi="Times New Roman"/>
          <w:sz w:val="20"/>
          <w:szCs w:val="20"/>
        </w:rPr>
        <w:t xml:space="preserve">20.	Sculley, D. et al. Hidden technical debt in machine learning systems. </w:t>
      </w:r>
      <w:r>
        <w:rPr>
          <w:rFonts w:ascii="Times New Roman" w:cs="Times New Roman" w:eastAsia="Times New Roman" w:hAnsi="Times New Roman"/>
          <w:i/>
          <w:iCs/>
          <w:sz w:val="20"/>
          <w:szCs w:val="20"/>
        </w:rPr>
        <w:t xml:space="preserve">Adv. Neural Inf. Process. Syst.</w:t>
      </w:r>
      <w:r>
        <w:rPr>
          <w:rFonts w:ascii="Times New Roman" w:cs="Times New Roman" w:eastAsia="Times New Roman" w:hAnsi="Times New Roman"/>
          <w:sz w:val="20"/>
          <w:szCs w:val="20"/>
        </w:rPr>
        <w:t xml:space="preserve"> 28 (2015).</w:t>
      </w:r>
    </w:p>
    <w:p>
      <w:pPr>
        <w:spacing w:after="80"/>
        <w:ind w:left="400" w:hanging="400"/>
      </w:pPr>
      <w:r>
        <w:rPr>
          <w:rFonts w:ascii="Times New Roman" w:cs="Times New Roman" w:eastAsia="Times New Roman" w:hAnsi="Times New Roman"/>
          <w:sz w:val="20"/>
          <w:szCs w:val="20"/>
        </w:rPr>
        <w:t xml:space="preserve">21.	Amershi, S. et al. Software engineering for machine learning: a case study. In </w:t>
      </w:r>
      <w:r>
        <w:rPr>
          <w:rFonts w:ascii="Times New Roman" w:cs="Times New Roman" w:eastAsia="Times New Roman" w:hAnsi="Times New Roman"/>
          <w:i/>
          <w:iCs/>
          <w:sz w:val="20"/>
          <w:szCs w:val="20"/>
        </w:rPr>
        <w:t xml:space="preserve">Proc. 41st Int. Conf. Software Engineering: Software Engineering in Practice (ICSE-SEIP)</w:t>
      </w:r>
      <w:r>
        <w:rPr>
          <w:rFonts w:ascii="Times New Roman" w:cs="Times New Roman" w:eastAsia="Times New Roman" w:hAnsi="Times New Roman"/>
          <w:sz w:val="20"/>
          <w:szCs w:val="20"/>
        </w:rPr>
        <w:t xml:space="preserve"> 291–300 (IEEE, 2019).</w:t>
      </w:r>
    </w:p>
    <w:p>
      <w:pPr>
        <w:spacing w:after="80"/>
        <w:ind w:left="400" w:hanging="400"/>
      </w:pPr>
      <w:r>
        <w:rPr>
          <w:rFonts w:ascii="Times New Roman" w:cs="Times New Roman" w:eastAsia="Times New Roman" w:hAnsi="Times New Roman"/>
          <w:sz w:val="20"/>
          <w:szCs w:val="20"/>
        </w:rPr>
        <w:t xml:space="preserve">22.	Gama, J., Žliobaitė, I., Bifet, A., Pechenizkiy, M. &amp; Bouchachia, A. A survey on concept drift adaptation. </w:t>
      </w:r>
      <w:r>
        <w:rPr>
          <w:rFonts w:ascii="Times New Roman" w:cs="Times New Roman" w:eastAsia="Times New Roman" w:hAnsi="Times New Roman"/>
          <w:i/>
          <w:iCs/>
          <w:sz w:val="20"/>
          <w:szCs w:val="20"/>
        </w:rPr>
        <w:t xml:space="preserve">ACM Comput. Surv.</w:t>
      </w:r>
      <w:r>
        <w:rPr>
          <w:rFonts w:ascii="Times New Roman" w:cs="Times New Roman" w:eastAsia="Times New Roman" w:hAnsi="Times New Roman"/>
          <w:sz w:val="20"/>
          <w:szCs w:val="20"/>
        </w:rPr>
        <w:t xml:space="preserve"> 46, 44 (2014).</w:t>
      </w:r>
    </w:p>
    <w:p>
      <w:pPr>
        <w:spacing w:after="80"/>
        <w:ind w:left="400" w:hanging="400"/>
      </w:pPr>
      <w:r>
        <w:rPr>
          <w:rFonts w:ascii="Times New Roman" w:cs="Times New Roman" w:eastAsia="Times New Roman" w:hAnsi="Times New Roman"/>
          <w:sz w:val="20"/>
          <w:szCs w:val="20"/>
        </w:rPr>
        <w:t xml:space="preserve">23.	Lazaridou, A. et al. Mind the gap: assessing temporal generalization in neural language models. </w:t>
      </w:r>
      <w:r>
        <w:rPr>
          <w:rFonts w:ascii="Times New Roman" w:cs="Times New Roman" w:eastAsia="Times New Roman" w:hAnsi="Times New Roman"/>
          <w:i/>
          <w:iCs/>
          <w:sz w:val="20"/>
          <w:szCs w:val="20"/>
        </w:rPr>
        <w:t xml:space="preserve">Adv. Neural Inf. Process. Syst.</w:t>
      </w:r>
      <w:r>
        <w:rPr>
          <w:rFonts w:ascii="Times New Roman" w:cs="Times New Roman" w:eastAsia="Times New Roman" w:hAnsi="Times New Roman"/>
          <w:sz w:val="20"/>
          <w:szCs w:val="20"/>
        </w:rPr>
        <w:t xml:space="preserve"> 34 (2021).</w:t>
      </w:r>
    </w:p>
    <w:p>
      <w:pPr>
        <w:spacing w:after="80"/>
        <w:ind w:left="400" w:hanging="400"/>
      </w:pPr>
      <w:r>
        <w:rPr>
          <w:rFonts w:ascii="Times New Roman" w:cs="Times New Roman" w:eastAsia="Times New Roman" w:hAnsi="Times New Roman"/>
          <w:sz w:val="20"/>
          <w:szCs w:val="20"/>
        </w:rPr>
        <w:t xml:space="preserve">24.	Luu, K., Khashabi, D., Gururangan, S., Mandyam, K. &amp; Smith, N. A. Time waits for no one! Analysis and challenges of temporal misalignment. In </w:t>
      </w:r>
      <w:r>
        <w:rPr>
          <w:rFonts w:ascii="Times New Roman" w:cs="Times New Roman" w:eastAsia="Times New Roman" w:hAnsi="Times New Roman"/>
          <w:i/>
          <w:iCs/>
          <w:sz w:val="20"/>
          <w:szCs w:val="20"/>
        </w:rPr>
        <w:t xml:space="preserve">Proc. 2022 Conf. North American Chapter of the Association for Computational Linguistics (NAACL)</w:t>
      </w:r>
      <w:r>
        <w:rPr>
          <w:rFonts w:ascii="Times New Roman" w:cs="Times New Roman" w:eastAsia="Times New Roman" w:hAnsi="Times New Roman"/>
          <w:sz w:val="20"/>
          <w:szCs w:val="20"/>
        </w:rPr>
        <w:t xml:space="preserve"> (ACL, 2022).</w:t>
      </w:r>
    </w:p>
    <w:p>
      <w:pPr>
        <w:spacing w:after="80"/>
        <w:ind w:left="400" w:hanging="400"/>
      </w:pPr>
      <w:r>
        <w:rPr>
          <w:rFonts w:ascii="Times New Roman" w:cs="Times New Roman" w:eastAsia="Times New Roman" w:hAnsi="Times New Roman"/>
          <w:sz w:val="20"/>
          <w:szCs w:val="20"/>
        </w:rPr>
        <w:t xml:space="preserve">25.	Chen, L., Zaharia, M. &amp; Zou, J. How is ChatGPT’s behavior changing over time? </w:t>
      </w:r>
      <w:r>
        <w:rPr>
          <w:rFonts w:ascii="Times New Roman" w:cs="Times New Roman" w:eastAsia="Times New Roman" w:hAnsi="Times New Roman"/>
          <w:i/>
          <w:iCs/>
          <w:sz w:val="20"/>
          <w:szCs w:val="20"/>
        </w:rPr>
        <w:t xml:space="preserve">Harv. Data Sci. Rev.</w:t>
      </w:r>
      <w:r>
        <w:rPr>
          <w:rFonts w:ascii="Times New Roman" w:cs="Times New Roman" w:eastAsia="Times New Roman" w:hAnsi="Times New Roman"/>
          <w:sz w:val="20"/>
          <w:szCs w:val="20"/>
        </w:rPr>
        <w:t xml:space="preserve"> 6 (2024).</w:t>
      </w:r>
    </w:p>
    <w:p>
      <w:pPr>
        <w:spacing w:after="80"/>
        <w:ind w:left="400" w:hanging="400"/>
      </w:pPr>
      <w:r>
        <w:rPr>
          <w:rFonts w:ascii="Times New Roman" w:cs="Times New Roman" w:eastAsia="Times New Roman" w:hAnsi="Times New Roman"/>
          <w:sz w:val="20"/>
          <w:szCs w:val="20"/>
        </w:rPr>
        <w:t xml:space="preserve">26.	Regulation (EU) 2024/1689 of the European Parliament and of the Council laying down harmonised rules on artificial intelligence (Artificial Intelligence Act), Article 72. </w:t>
      </w:r>
      <w:r>
        <w:rPr>
          <w:rFonts w:ascii="Times New Roman" w:cs="Times New Roman" w:eastAsia="Times New Roman" w:hAnsi="Times New Roman"/>
          <w:i/>
          <w:iCs/>
          <w:sz w:val="20"/>
          <w:szCs w:val="20"/>
        </w:rPr>
        <w:t xml:space="preserve">Off. J. Eur. Union</w:t>
      </w:r>
      <w:r>
        <w:rPr>
          <w:rFonts w:ascii="Times New Roman" w:cs="Times New Roman" w:eastAsia="Times New Roman" w:hAnsi="Times New Roman"/>
          <w:sz w:val="20"/>
          <w:szCs w:val="20"/>
        </w:rPr>
        <w:t xml:space="preserve"> (2024).</w:t>
      </w:r>
    </w:p>
    <w:p>
      <w:pPr>
        <w:spacing w:after="80"/>
        <w:ind w:left="400" w:hanging="400"/>
      </w:pPr>
      <w:r>
        <w:rPr>
          <w:rFonts w:ascii="Times New Roman" w:cs="Times New Roman" w:eastAsia="Times New Roman" w:hAnsi="Times New Roman"/>
          <w:sz w:val="20"/>
          <w:szCs w:val="20"/>
        </w:rPr>
        <w:t xml:space="preserve">27.	Gourieroux, C., Monfort, A. &amp; Trognon, A. Pseudo maximum likelihood methods: applications to Poisson models. </w:t>
      </w:r>
      <w:r>
        <w:rPr>
          <w:rFonts w:ascii="Times New Roman" w:cs="Times New Roman" w:eastAsia="Times New Roman" w:hAnsi="Times New Roman"/>
          <w:i/>
          <w:iCs/>
          <w:sz w:val="20"/>
          <w:szCs w:val="20"/>
        </w:rPr>
        <w:t xml:space="preserve">Econometrica</w:t>
      </w:r>
      <w:r>
        <w:rPr>
          <w:rFonts w:ascii="Times New Roman" w:cs="Times New Roman" w:eastAsia="Times New Roman" w:hAnsi="Times New Roman"/>
          <w:sz w:val="20"/>
          <w:szCs w:val="20"/>
        </w:rPr>
        <w:t xml:space="preserve"> 52, 681–700 (1984).</w:t>
      </w:r>
    </w:p>
    <w:p>
      <w:pPr>
        <w:spacing w:after="80"/>
        <w:ind w:left="400" w:hanging="400"/>
      </w:pPr>
      <w:r>
        <w:rPr>
          <w:rFonts w:ascii="Times New Roman" w:cs="Times New Roman" w:eastAsia="Times New Roman" w:hAnsi="Times New Roman"/>
          <w:sz w:val="20"/>
          <w:szCs w:val="20"/>
        </w:rPr>
        <w:t xml:space="preserve">28.	Jenkins, S. P. Easy estimation methods for discrete-time duration models. </w:t>
      </w:r>
      <w:r>
        <w:rPr>
          <w:rFonts w:ascii="Times New Roman" w:cs="Times New Roman" w:eastAsia="Times New Roman" w:hAnsi="Times New Roman"/>
          <w:i/>
          <w:iCs/>
          <w:sz w:val="20"/>
          <w:szCs w:val="20"/>
        </w:rPr>
        <w:t xml:space="preserve">Oxf. Bull. Econ. Stat.</w:t>
      </w:r>
      <w:r>
        <w:rPr>
          <w:rFonts w:ascii="Times New Roman" w:cs="Times New Roman" w:eastAsia="Times New Roman" w:hAnsi="Times New Roman"/>
          <w:sz w:val="20"/>
          <w:szCs w:val="20"/>
        </w:rPr>
        <w:t xml:space="preserve"> 57, 129–138 (1995).</w:t>
      </w:r>
    </w:p>
    <w:p>
      <w:pPr>
        <w:spacing w:after="80"/>
        <w:ind w:left="400" w:hanging="400"/>
      </w:pPr>
      <w:r>
        <w:rPr>
          <w:rFonts w:ascii="Times New Roman" w:cs="Times New Roman" w:eastAsia="Times New Roman" w:hAnsi="Times New Roman"/>
          <w:sz w:val="20"/>
          <w:szCs w:val="20"/>
        </w:rPr>
        <w:t xml:space="preserve">29.	DerSimonian, R. &amp; Laird, N. Meta-analysis in clinical trials. </w:t>
      </w:r>
      <w:r>
        <w:rPr>
          <w:rFonts w:ascii="Times New Roman" w:cs="Times New Roman" w:eastAsia="Times New Roman" w:hAnsi="Times New Roman"/>
          <w:i/>
          <w:iCs/>
          <w:sz w:val="20"/>
          <w:szCs w:val="20"/>
        </w:rPr>
        <w:t xml:space="preserve">Control. Clin. Trials</w:t>
      </w:r>
      <w:r>
        <w:rPr>
          <w:rFonts w:ascii="Times New Roman" w:cs="Times New Roman" w:eastAsia="Times New Roman" w:hAnsi="Times New Roman"/>
          <w:sz w:val="20"/>
          <w:szCs w:val="20"/>
        </w:rPr>
        <w:t xml:space="preserve"> 7, 177–188 (1986).</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2026-10-25T22:53:13.107Z</dcterms:created>
  <dcterms:modified xsi:type="dcterms:W3CDTF">2026-10-25T22:53:13.107Z</dcterms:modified>
</cp:coreProperties>
</file>

<file path=docProps/custom.xml><?xml version="1.0" encoding="utf-8"?>
<Properties xmlns="http://schemas.openxmlformats.org/officeDocument/2006/custom-properties" xmlns:vt="http://schemas.openxmlformats.org/officeDocument/2006/docPropsVTypes"/>
</file>