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and only until rivals imitate it. We then examine measurable counterparts of the theory in public leaderboard, endpoint-price, and SEC filing data. The evidence is directionally consistent with the predictions but rests on small samples, and we identify what it can and cannot establish.</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Our contribution lies in what we do with them. We fit them together in a single account of a general-purpose technology’s vertical structure, state each position’s rent in terms that can be measured with data that now exist, and take the resulting predictions to public data. Two features of LLMs make this worthwhile: quality leads between models are observable on public leaderboards and fade within months, and the same model is sold to developers’ customers and their competitors on posted prices.</w:t>
      </w:r>
    </w:p>
    <w:p>
      <w:pPr>
        <w:pStyle w:val="BodyText"/>
      </w:pPr>
      <w:r>
        <w:t xml:space="preserve">We make three contributions. First, we extend the IT business value literature from the firm to the value chain, by deriving jointly where profit will appear among developers, adopters, and consumers, how large it is likely to be, and when it will disappear. Second, we define appropriability ex ante, as expected imitation lag and cost, and show how that definition yields testable constructs (quality lead, imitation lag, and organizational capital) that can be measured from public sources. Third, we offer a first empirical look at these constructs using leaderboard, endpoint-price, and regulatory filing data, and we are explicit about the limits of these tests. For practice, the theory replaces the question that dominates managerial discussion of AI, namely how much to invest, with the question it identifies as decisive: what does the firm own that the model cannot supply, and how long will it take competitors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derives the hypotheses, and Section 6 reports results.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6"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 5)</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End w:id="36"/>
    <w:bookmarkStart w:id="39" w:name="hypotheses-and-empirical-counterparts"/>
    <w:p>
      <w:pPr>
        <w:pStyle w:val="Heading1"/>
      </w:pPr>
      <w:r>
        <w:t xml:space="preserve">5. Hypotheses and Empirical Counterparts</w:t>
      </w:r>
    </w:p>
    <w:bookmarkStart w:id="37"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7"/>
    <w:bookmarkStart w:id="38" w:name="hypotheses"/>
    <w:p>
      <w:pPr>
        <w:pStyle w:val="Heading2"/>
      </w:pPr>
      <w:r>
        <w:t xml:space="preserve">5.2 Hypotheses</w:t>
      </w:r>
    </w:p>
    <w:p>
      <w:pPr>
        <w:pStyle w:val="FirstParagraph"/>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bookmarkEnd w:id="38"/>
    <w:bookmarkEnd w:id="39"/>
    <w:bookmarkStart w:id="43" w:name="results"/>
    <w:p>
      <w:pPr>
        <w:pStyle w:val="Heading1"/>
      </w:pPr>
      <w:r>
        <w:t xml:space="preserve">6. Results</w:t>
      </w:r>
    </w:p>
    <w:p>
      <w:pPr>
        <w:pStyle w:val="FirstParagraph"/>
      </w:pPr>
      <w:r>
        <w:t xml:space="preserve">We report what has been estimated and indicate where an analysis has not yet been run.</w:t>
      </w:r>
    </w:p>
    <w:bookmarkStart w:id="40"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until bootstrap inference is reported.</w:t>
      </w:r>
      <w:r>
        <w:t xml:space="preserve"> </w:t>
      </w:r>
      <w:r>
        <w:rPr>
          <w:bCs/>
          <w:b/>
        </w:rPr>
        <w:t xml:space="preserve">[AUTHORS TO COMPLETE: wild cluster bootstrap p-values for both samples.]</w:t>
      </w:r>
      <w:r>
        <w:t xml:space="preserve"> </w:t>
      </w:r>
      <w:r>
        <w:t xml:space="preserve">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w:t>
      </w:r>
      <w:r>
        <w:t xml:space="preserve"> </w:t>
      </w:r>
      <w:r>
        <w:rPr>
          <w:bCs/>
          <w:b/>
        </w:rPr>
        <w:t xml:space="preserve">[AUTHORS TO COMPLETE: model-month estimates for H1a and launch-price regression for H1b, with the catch-up event-study figure.]</w:t>
      </w:r>
    </w:p>
    <w:bookmarkEnd w:id="40"/>
    <w:bookmarkStart w:id="41" w:name="adopter-side-h2-to-h4"/>
    <w:p>
      <w:pPr>
        <w:pStyle w:val="Heading2"/>
      </w:pPr>
      <w:r>
        <w:t xml:space="preserve">6.2 Adopter side (H2 to H4)</w:t>
      </w:r>
    </w:p>
    <w:p>
      <w:pPr>
        <w:pStyle w:val="FirstParagraph"/>
      </w:pPr>
      <w:r>
        <w:rPr>
          <w:iCs/>
          <w:i/>
        </w:rPr>
        <w:t xml:space="preserve">H2.</w:t>
      </w:r>
      <w:r>
        <w:t xml:space="preserve"> </w:t>
      </w:r>
      <w:r>
        <w:t xml:space="preserve">Pooled exposure without a coded GA year does not predict operating margin.</w:t>
      </w:r>
      <w:r>
        <w:t xml:space="preserve"> </w:t>
      </w:r>
      <w:r>
        <w:rPr>
          <w:bCs/>
          <w:b/>
        </w:rPr>
        <w:t xml:space="preserve">[AUTHORS TO COMPLETE: coefficient, standard error, and p-value.]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we treat this as a baseline and not as the test of H3.</w:t>
      </w:r>
      <w:r>
        <w:t xml:space="preserve"> </w:t>
      </w:r>
      <w:r>
        <w:rPr>
          <w:bCs/>
          <w:b/>
        </w:rPr>
        <w:t xml:space="preserve">[AUTHORS TO COMPLETE: heterogeneity-robust estimates, SIC-by-year and trend specifications, matched-control estimates, placebo, randomization inference, and the gross-margin versus operating-expense decomposition.]</w:t>
      </w:r>
      <w:r>
        <w:t xml:space="preserve"> </w:t>
      </w:r>
      <w:r>
        <w:t xml:space="preserve">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so the point estimates alone do not establish decay, and we do not claim support for H4.</w:t>
      </w:r>
      <w:r>
        <w:t xml:space="preserve"> </w:t>
      </w:r>
      <w:r>
        <w:rPr>
          <w:bCs/>
          <w:b/>
        </w:rPr>
        <w:t xml:space="preserve">[AUTHORS TO COMPLETE: direct test of equality of</w:t>
      </w:r>
      <w:r>
        <w:rPr>
          <w:bCs/>
          <w:b/>
        </w:rPr>
        <w:t xml:space="preserve"> </w:t>
      </w:r>
      <m:oMath>
        <m:r>
          <m:t>t</m:t>
        </m:r>
        <m:r>
          <m:rPr>
            <m:sty m:val="p"/>
          </m:rPr>
          <m:t>+</m:t>
        </m:r>
        <m:r>
          <m:t>1</m:t>
        </m:r>
      </m:oMath>
      <w:r>
        <w:rPr>
          <w:bCs/>
          <w:b/>
        </w:rPr>
        <w:t xml:space="preserve"> </w:t>
      </w:r>
      <w:r>
        <w:rPr>
          <w:bCs/>
          <w:b/>
        </w:rPr>
        <w:t xml:space="preserve">and the last post-GA bin, and joint test of pre-GA coefficients.]</w:t>
      </w:r>
      <w:r>
        <w:t xml:space="preserve"> </w:t>
      </w:r>
      <w:r>
        <w:t xml:space="preserve">A time-invariant bundle-by-post-2023 difference-in-differences gives a similar coefficient and is retained as a robustness check.</w:t>
      </w:r>
    </w:p>
    <w:bookmarkEnd w:id="41"/>
    <w:bookmarkStart w:id="42"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and while the robust estimators address that bias, they still rest on parallel trends, which the matched-control and trend specifications relax only partly. Sixth, operating margin is an accounting measure and not the economic profit of Proposition 2, and the timing of GA marks the launch of a product, not the start of organizational-capital accumulation.</w:t>
      </w:r>
    </w:p>
    <w:bookmarkEnd w:id="42"/>
    <w:bookmarkEnd w:id="43"/>
    <w:bookmarkStart w:id="47" w:name="discussion"/>
    <w:p>
      <w:pPr>
        <w:pStyle w:val="Heading1"/>
      </w:pPr>
      <w:r>
        <w:t xml:space="preserve">7. Discussion</w:t>
      </w:r>
    </w:p>
    <w:bookmarkStart w:id="44"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4"/>
    <w:bookmarkStart w:id="45"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 5 implies that contractual terms covering data use, fine-tuning ownership, and on-premise deployment are strategic decisions, because they affect the rate at which a vendor can productize an adopter’s use.</w:t>
      </w:r>
    </w:p>
    <w:bookmarkEnd w:id="45"/>
    <w:bookmarkStart w:id="46"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The tests here are best viewed as a first look at the constructs, and they are not a confirmation of the theory.</w:t>
      </w:r>
    </w:p>
    <w:bookmarkEnd w:id="46"/>
    <w:bookmarkEnd w:id="47"/>
    <w:bookmarkStart w:id="48"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48"/>
    <w:bookmarkStart w:id="49"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bookmarkEnd w:id="49"/>
    <w:bookmarkStart w:id="50"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Callaway, B., and Sant’Anna, P. H. C. 2021. Difference-in-differences with multiple time periods.</w:t>
      </w:r>
      <w:r>
        <w:t xml:space="preserve"> </w:t>
      </w:r>
      <w:r>
        <w:rPr>
          <w:iCs/>
          <w:i/>
        </w:rPr>
        <w:t xml:space="preserve">Journal of Econometrics</w:t>
      </w:r>
      <w:r>
        <w:t xml:space="preserve"> </w:t>
      </w:r>
      <w:r>
        <w:t xml:space="preserve">225(2):200–230.</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Sun, L., and Abraham, S. 2021. Estimating dynamic treatment effects in event studies with heterogeneous treatment effects.</w:t>
      </w:r>
      <w:r>
        <w:t xml:space="preserve"> </w:t>
      </w:r>
      <w:r>
        <w:rPr>
          <w:iCs/>
          <w:i/>
        </w:rPr>
        <w:t xml:space="preserve">Journal of Econometrics</w:t>
      </w:r>
      <w:r>
        <w:t xml:space="preserve"> </w:t>
      </w:r>
      <w:r>
        <w:t xml:space="preserve">225(2):175–199.</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Webb, M. D. 2023. Reworking wild bootstrap-based inference for clustered errors.</w:t>
      </w:r>
      <w:r>
        <w:t xml:space="preserve"> </w:t>
      </w:r>
      <w:r>
        <w:rPr>
          <w:iCs/>
          <w:i/>
        </w:rPr>
        <w:t xml:space="preserve">Canadian Journal of Economics</w:t>
      </w:r>
      <w:r>
        <w:t xml:space="preserve"> </w:t>
      </w:r>
      <w:r>
        <w:t xml:space="preserve">56(3):839–858.</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2026-10-20T23:11:41Z</dcterms:created>
  <dcterms:modified xsi:type="dcterms:W3CDTF">2026-10-20T23:11:41Z</dcterms:modified>
</cp:coreProperties>
</file>

<file path=docProps/custom.xml><?xml version="1.0" encoding="utf-8"?>
<Properties xmlns="http://schemas.openxmlformats.org/officeDocument/2006/custom-properties" xmlns:vt="http://schemas.openxmlformats.org/officeDocument/2006/docPropsVTypes"/>
</file>