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September 28, 2026</w:t>
      </w:r>
    </w:p>
    <w:p>
      <w:pPr>
        <w:spacing w:after="0"/>
      </w:pPr>
    </w:p>
    <w:p>
      <w:pPr>
        <w:spacing w:after="0"/>
      </w:pPr>
      <w:r>
        <w:t xml:space="preserve">Professor Vladimir Zwass</w:t>
      </w:r>
    </w:p>
    <w:p>
      <w:pPr>
        <w:spacing w:after="0"/>
      </w:pPr>
      <w:r>
        <w:t xml:space="preserve">Editor-in-Chief, Journal of Management Information Systems</w:t>
      </w:r>
    </w:p>
    <w:p>
      <w:pPr>
        <w:spacing w:after="0"/>
      </w:pPr>
      <w:r>
        <w:t xml:space="preserve">Fairleigh Dickinson University</w:t>
      </w:r>
    </w:p>
    <w:p>
      <w:pPr>
        <w:spacing w:after="0"/>
      </w:pPr>
    </w:p>
    <w:p>
      <w:pPr>
        <w:spacing w:after="200"/>
      </w:pPr>
      <w:r>
        <w:t xml:space="preserve">Dear Professor Zwass,</w:t>
      </w:r>
    </w:p>
    <w:p>
      <w:pPr>
        <w:spacing w:after="200"/>
      </w:pPr>
      <w:r>
        <w:t xml:space="preserve">I submit the manuscript “Delay Length Is Not Delay Cost: Loss Aversion, CIO Power, and the Timing of Switching in Generative AI Infrastructure” for consideration as a research article in the Journal of Management Information Systems.</w:t>
      </w:r>
    </w:p>
    <w:p>
      <w:pPr>
        <w:spacing w:after="200"/>
      </w:pPr>
      <w:r>
        <w:t xml:space="preserve">Firms that deploy generative AI must decide when to move from retrieval-augmented generation (RAG) to fine-tuned models, and long delays in such switches are commonly read as large losses. The paper shows that delay length is a poor guide to delay cost. It develops a behavioral real options model in which a loss-averse CFO and a technology-focused CIO jointly set the switching threshold, and it proves that volatility moves the length and the cost of the resulting delay in opposite directions: behavioral delay is longest in turbulent environments but destroys the largest share of option value in calm ones. In a calibration, excess delay rises almost sixfold across volatility levels while the relative value loss halves.</w:t>
      </w:r>
    </w:p>
    <w:p>
      <w:pPr>
        <w:spacing w:after="200"/>
      </w:pPr>
      <w:r>
        <w:t xml:space="preserve">The paper makes three contributions that I believe fit the journal’s long-standing interest in IT investment and IT governance. First, it separates two outcomes that research on IT adoption and escalation tends to treat as one: the relative value lost to late switching depends on the environment only through the option elasticity, whereas the length of delay depends on the drift of the underlying, so time-to-adopt measures can rank firms and industries in the reverse order of the value they lose. Second, it brings loss aversion and the allocation of decision power between executives into IT real options theory through a single behavioral wedge that scales the rational trigger, moving the field from asking what an IT option is worth to asking why, and at what cost, firms exercise it late. Third, it yields governance advice that depends on the environment: in the calibration, CIO decision power protects about twice as much option value when AI economics are stable as when they are turbulent. An exploratory survival analysis of job postings for S&amp;P 1500 firms associates CIO power with faster transition from RAG to fine-tuning, whereas free proxies for loss aversion show no association; the paper reports these estimates as preliminary evidence on the timing mechanism, not as a test of the value result.</w:t>
      </w:r>
    </w:p>
    <w:p>
      <w:pPr>
        <w:spacing w:after="200"/>
      </w:pPr>
      <w:r>
        <w:t xml:space="preserve">The empirical analysis uses public data: job postings to date architecture transitions, SEC EDGAR filings as an alternative transition measure, and CIO reporting structure to measure decision power. The data collection code will be made available as a replication package.</w:t>
      </w:r>
    </w:p>
    <w:p>
      <w:pPr>
        <w:spacing w:after="200"/>
      </w:pPr>
      <w:r>
        <w:t xml:space="preserve">This manuscript is original, has not been published, and is not under consideration by any other journal. I am the sole author and have no conflicts of interest to declare. This research received no specific grant from any funding agency in the public, commercial, or not-for-profit sectors.</w:t>
      </w:r>
    </w:p>
    <w:p>
      <w:pPr>
        <w:spacing w:after="200"/>
      </w:pPr>
      <w:r>
        <w:t xml:space="preserve">Thank you for considering this work. I look forward to hearing from you.</w:t>
      </w:r>
    </w:p>
    <w:p>
      <w:pPr>
        <w:spacing w:after="200"/>
      </w:pPr>
      <w:r>
        <w:t xml:space="preserve">Sincerely,</w:t>
      </w:r>
    </w:p>
    <w:p>
      <w:pPr>
        <w:spacing w:after="0"/>
      </w:pPr>
      <w:r>
        <w:t xml:space="preserve">Ook Lee</w:t>
      </w:r>
    </w:p>
    <w:p>
      <w:pPr>
        <w:spacing w:after="0"/>
      </w:pPr>
      <w:r>
        <w:t xml:space="preserve">Professor, Department of Information System, Hanyang University</w:t>
      </w:r>
    </w:p>
    <w:p>
      <w:r>
        <w:br w:type="page"/>
      </w:r>
    </w:p>
    <w:p>
      <w:pPr>
        <w:spacing w:after="160" w:before="240"/>
      </w:pPr>
      <w:r>
        <w:rPr>
          <w:b/>
          <w:bCs/>
        </w:rPr>
        <w:t xml:space="preserve">Title Page</w:t>
      </w:r>
    </w:p>
    <w:p>
      <w:pPr>
        <w:spacing w:after="200"/>
      </w:pPr>
      <w:r>
        <w:rPr>
          <w:b/>
          <w:bCs/>
        </w:rPr>
        <w:t xml:space="preserve">Delay Length Is Not Delay Cost: Loss Aversion, CIO Power, and the Timing of Switching in Generative AI Infrastructure</w:t>
      </w:r>
    </w:p>
    <w:p>
      <w:pPr>
        <w:spacing w:after="160" w:before="240"/>
      </w:pPr>
      <w:r>
        <w:rPr>
          <w:b/>
          <w:bCs/>
        </w:rPr>
        <w:t xml:space="preserve">Author</w:t>
      </w:r>
    </w:p>
    <w:p>
      <w:pPr>
        <w:spacing w:after="0"/>
      </w:pPr>
      <w:r>
        <w:t xml:space="preserve">Ook Lee (sole and corresponding author)</w:t>
      </w:r>
    </w:p>
    <w:p>
      <w:pPr>
        <w:spacing w:after="0"/>
      </w:pPr>
      <w:r>
        <w:t xml:space="preserve">Department of Information System, Hanyang University, Seoul, Republic of Korea</w:t>
      </w:r>
    </w:p>
    <w:p>
      <w:pPr>
        <w:spacing w:after="0"/>
      </w:pPr>
      <w:r>
        <w:t xml:space="preserve">E-mail: ooklee@hanyang.ac.kr</w:t>
      </w:r>
    </w:p>
    <w:p>
      <w:pPr>
        <w:spacing w:after="0"/>
      </w:pPr>
      <w:r>
        <w:t xml:space="preserve">Telephone: +82-10-4742-2256</w:t>
      </w:r>
    </w:p>
    <w:p>
      <w:pPr>
        <w:spacing w:after="160" w:before="240"/>
      </w:pPr>
      <w:r>
        <w:rPr>
          <w:b/>
          <w:bCs/>
        </w:rPr>
        <w:t xml:space="preserve">Funding</w:t>
      </w:r>
    </w:p>
    <w:p>
      <w:pPr>
        <w:spacing w:after="200"/>
      </w:pPr>
      <w:r>
        <w:t xml:space="preserve">This research received no specific grant from any funding agency in the public, commercial, or not-for-profit sectors.</w:t>
      </w:r>
    </w:p>
    <w:p>
      <w:pPr>
        <w:spacing w:after="160" w:before="240"/>
      </w:pPr>
      <w:r>
        <w:rPr>
          <w:b/>
          <w:bCs/>
        </w:rPr>
        <w:t xml:space="preserve">Author Biography</w:t>
      </w:r>
    </w:p>
    <w:p>
      <w:pPr>
        <w:spacing w:after="200"/>
      </w:pPr>
      <w:r>
        <w:t xml:space="preserve">Ook Lee is a Professor in the Department of Information System at Hanyang University in Seoul, Korea. He received a Ph.D. in Management of Information Systems from Claremont Graduate University, USA. He was a faculty member at the University of Queensland, Australia; the University of Nevada, Las Vegas, USA; and North Carolina A&amp;T State University, USA. His research interests are artificial intelligence, software maintenance, information systems economics, and technical information systems.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2026-09-29T21:30:11.058Z</dcterms:created>
  <dcterms:modified xsi:type="dcterms:W3CDTF">2026-09-29T21:30:11.063Z</dcterms:modified>
</cp:coreProperties>
</file>

<file path=docProps/custom.xml><?xml version="1.0" encoding="utf-8"?>
<Properties xmlns="http://schemas.openxmlformats.org/officeDocument/2006/custom-properties" xmlns:vt="http://schemas.openxmlformats.org/officeDocument/2006/docPropsVTypes"/>
</file>