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/>
      </w:pPr>
      <w:r>
        <w:rPr>
          <w:b/>
          <w:bCs/>
          <w:sz w:val="28"/>
          <w:szCs w:val="28"/>
        </w:rPr>
        <w:t xml:space="preserve">Highlights</w:t>
      </w:r>
    </w:p>
    <w:p>
      <w:pPr>
        <w:pStyle w:val="ListParagraph"/>
        <w:numPr>
          <w:ilvl w:val="0"/>
          <w:numId w:val="2"/>
        </w:numPr>
        <w:spacing w:after="120" w:line="360"/>
      </w:pPr>
      <w:r>
        <w:t xml:space="preserve">LLM maintenance is theorized as a portfolio of real options</w:t>
      </w:r>
    </w:p>
    <w:p>
      <w:pPr>
        <w:pStyle w:val="ListParagraph"/>
        <w:numPr>
          <w:ilvl w:val="0"/>
          <w:numId w:val="2"/>
        </w:numPr>
        <w:spacing w:after="120" w:line="360"/>
      </w:pPr>
      <w:r>
        <w:t xml:space="preserve">Growth, insurance, switching, and compound options drive reallocation</w:t>
      </w:r>
    </w:p>
    <w:p>
      <w:pPr>
        <w:pStyle w:val="ListParagraph"/>
        <w:numPr>
          <w:ilvl w:val="0"/>
          <w:numId w:val="2"/>
        </w:numPr>
        <w:spacing w:after="120" w:line="360"/>
      </w:pPr>
      <w:r>
        <w:t xml:space="preserve">Growth-option value tracks capacity-conditioned upside, not raw difficulty</w:t>
      </w:r>
    </w:p>
    <w:p>
      <w:pPr>
        <w:pStyle w:val="ListParagraph"/>
        <w:numPr>
          <w:ilvl w:val="0"/>
          <w:numId w:val="2"/>
        </w:numPr>
        <w:spacing w:after="120" w:line="360"/>
      </w:pPr>
      <w:r>
        <w:t xml:space="preserve">The same growth option can favor opposite domains at different model scales</w:t>
      </w:r>
    </w:p>
    <w:p>
      <w:pPr>
        <w:pStyle w:val="ListParagraph"/>
        <w:numPr>
          <w:ilvl w:val="0"/>
          <w:numId w:val="2"/>
        </w:numPr>
        <w:spacing w:after="120" w:line="360"/>
      </w:pPr>
      <w:r>
        <w:t xml:space="preserve">Small option portfolios penalize joint estimation of interaction effects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2026-09-29T20:01:23.354Z</dcterms:created>
  <dcterms:modified xsi:type="dcterms:W3CDTF">2026-09-29T20:01:23.354Z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