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rPr>
          <w:bCs/>
          <w:b/>
        </w:rPr>
        <w:t xml:space="preserve">Alternative arrival models and other accounts.</w:t>
      </w:r>
      <w:r>
        <w:t xml:space="preserve"> </w:t>
      </w:r>
      <w:r>
        <w:t xml:space="preserve">Poisson is not the only candidate, and the negative binomial (a Poisson–Gamma mixture) is a particular one. Table 0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0. Alternative models for the arrival of posts (ΔAIC relative to the best model in each row; Poisson ΔAIC 150 to 3,700 in all rows; descriptive, not pre-registered; RESULTS_ARRIVALS_MODELS.md).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 H5c pending</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2026-10-14T20:53:22Z</dcterms:created>
  <dcterms:modified xsi:type="dcterms:W3CDTF">2026-10-14T20:53:22Z</dcterms:modified>
</cp:coreProperties>
</file>

<file path=docProps/custom.xml><?xml version="1.0" encoding="utf-8"?>
<Properties xmlns="http://schemas.openxmlformats.org/officeDocument/2006/custom-properties" xmlns:vt="http://schemas.openxmlformats.org/officeDocument/2006/docPropsVTypes"/>
</file>