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pPr>
      <w:r>
        <w:rPr>
          <w:rFonts w:ascii="Times New Roman" w:hAnsi="Times New Roman" w:eastAsia="Times New Roman"/>
          <w:b/>
          <w:i w:val="0"/>
          <w:color w:val="00696B"/>
          <w:sz w:val="18"/>
        </w:rPr>
        <w:t>FEATURE ARTICLE</w:t>
      </w:r>
    </w:p>
    <w:p>
      <w:pPr>
        <w:spacing w:after="80" w:before="0" w:line="259" w:lineRule="auto"/>
      </w:pPr>
      <w:r>
        <w:rPr>
          <w:rFonts w:ascii="Times New Roman" w:hAnsi="Times New Roman" w:eastAsia="Times New Roman"/>
          <w:b/>
          <w:i w:val="0"/>
          <w:sz w:val="36"/>
        </w:rPr>
        <w:t>When Agent Failures Look Like Success</w:t>
      </w:r>
    </w:p>
    <w:p>
      <w:pPr>
        <w:spacing w:after="200" w:before="0" w:line="259" w:lineRule="auto"/>
      </w:pPr>
      <w:r>
        <w:rPr>
          <w:rFonts w:ascii="Times New Roman" w:hAnsi="Times New Roman" w:eastAsia="Times New Roman"/>
          <w:b w:val="0"/>
          <w:i/>
          <w:sz w:val="24"/>
        </w:rPr>
        <w:t>What enterprise IT should change in the harness—not in the next model purchase.</w:t>
      </w:r>
    </w:p>
    <w:p>
      <w:pPr>
        <w:spacing w:after="0" w:before="0" w:line="259" w:lineRule="auto"/>
      </w:pPr>
      <w:r>
        <w:rPr>
          <w:rFonts w:ascii="Times New Roman" w:hAnsi="Times New Roman" w:eastAsia="Times New Roman"/>
          <w:b/>
          <w:i w:val="0"/>
          <w:sz w:val="22"/>
        </w:rPr>
        <w:t>Ook Lee</w:t>
      </w:r>
    </w:p>
    <w:p>
      <w:pPr>
        <w:spacing w:after="0" w:before="0" w:line="259" w:lineRule="auto"/>
      </w:pPr>
      <w:r>
        <w:rPr>
          <w:rFonts w:ascii="Times New Roman" w:hAnsi="Times New Roman" w:eastAsia="Times New Roman"/>
          <w:b w:val="0"/>
          <w:i/>
          <w:sz w:val="20"/>
        </w:rPr>
        <w:t>Department of Information System, Hanyang University, Seoul, Korea</w:t>
      </w:r>
    </w:p>
    <w:p>
      <w:pPr>
        <w:spacing w:after="160" w:before="0" w:line="259" w:lineRule="auto"/>
      </w:pPr>
      <w:r>
        <w:rPr>
          <w:rFonts w:ascii="Times New Roman" w:hAnsi="Times New Roman" w:eastAsia="Times New Roman"/>
          <w:b w:val="0"/>
          <w:i w:val="0"/>
          <w:sz w:val="20"/>
        </w:rPr>
        <w:t>ooklee@hanyang.ac.kr</w:t>
      </w:r>
    </w:p>
    <w:p>
      <w:pPr>
        <w:spacing w:after="120" w:before="0" w:line="259" w:lineRule="auto"/>
      </w:pPr>
      <w:r>
        <w:rPr>
          <w:rFonts w:ascii="Times New Roman" w:hAnsi="Times New Roman" w:eastAsia="Times New Roman"/>
          <w:b/>
          <w:i w:val="0"/>
          <w:sz w:val="18"/>
        </w:rPr>
        <w:t xml:space="preserve">Keywords: </w:t>
      </w:r>
      <w:r>
        <w:rPr>
          <w:rFonts w:ascii="Times New Roman" w:hAnsi="Times New Roman" w:eastAsia="Times New Roman"/>
          <w:b w:val="0"/>
          <w:i w:val="0"/>
          <w:sz w:val="18"/>
        </w:rPr>
        <w:t>IT operations, large language models, agents, reliability, Green IT, observability</w:t>
      </w:r>
    </w:p>
    <w:p>
      <w:pPr>
        <w:spacing w:after="160" w:before="0" w:line="259" w:lineRule="auto"/>
        <w:jc w:val="both"/>
      </w:pPr>
      <w:r>
        <w:rPr>
          <w:rFonts w:ascii="Times New Roman" w:hAnsi="Times New Roman" w:eastAsia="Times New Roman"/>
          <w:b/>
          <w:i/>
          <w:sz w:val="20"/>
        </w:rPr>
        <w:t>Abstract—</w:t>
      </w:r>
      <w:r>
        <w:rPr>
          <w:rFonts w:ascii="Times New Roman" w:hAnsi="Times New Roman" w:eastAsia="Times New Roman"/>
          <w:b w:val="0"/>
          <w:i/>
          <w:sz w:val="20"/>
        </w:rPr>
        <w:t>Enterprise teams are putting language-model agents into workflows that look finished in Slack while nothing moved in the system of record. Published 2026 studies and two reconstructions on this machine point to the same fix: type tool faults, gate completion on state, and do not buy a second model as the monitor. A 240-ticket simulated desk produced a 37 percent claim-versus-state mismatch when errors leaked into prose, and zero mismatch when faults were typed. A timed run of that desk was about 0.030 gCO2eq under stated power and grid assumptions—orders of magnitude below a large-model judge. IT organizations should treat this as an integration and operations problem, not a model-selection problem.</w:t>
      </w:r>
    </w:p>
    <w:p>
      <w:pPr>
        <w:spacing w:after="120" w:before="240" w:line="259" w:lineRule="auto"/>
      </w:pPr>
      <w:r>
        <w:rPr>
          <w:rFonts w:ascii="Times New Roman" w:hAnsi="Times New Roman" w:eastAsia="Times New Roman"/>
          <w:b/>
          <w:i w:val="0"/>
          <w:color w:val="00696B"/>
          <w:sz w:val="24"/>
        </w:rPr>
        <w:t>Why this is an IT problem</w:t>
      </w:r>
    </w:p>
    <w:p>
      <w:pPr>
        <w:spacing w:after="160" w:before="0" w:line="259" w:lineRule="auto"/>
        <w:ind w:firstLine="288"/>
        <w:jc w:val="both"/>
      </w:pPr>
      <w:r>
        <w:rPr>
          <w:rFonts w:ascii="Times New Roman" w:hAnsi="Times New Roman" w:eastAsia="Times New Roman"/>
          <w:b w:val="0"/>
          <w:i w:val="0"/>
          <w:sz w:val="20"/>
        </w:rPr>
        <w:t>Most agent pilots stall for reasons CIOs already recognize: integration, quality at volume, no monitoring, and no owner [1], [2]. The new failure mode is that the ticket looks closed. A tool returns a 400 page. A wrapper caches the HTML. The next model call writes a calm briefing about an outage that did not happen. The dashboard is green because the HTTP status was 200.</w:t>
      </w:r>
    </w:p>
    <w:p>
      <w:pPr>
        <w:spacing w:after="160" w:before="0" w:line="259" w:lineRule="auto"/>
        <w:ind w:firstLine="288"/>
        <w:jc w:val="both"/>
      </w:pPr>
      <w:r>
        <w:rPr>
          <w:rFonts w:ascii="Times New Roman" w:hAnsi="Times New Roman" w:eastAsia="Times New Roman"/>
          <w:b w:val="0"/>
          <w:i w:val="0"/>
          <w:sz w:val="20"/>
        </w:rPr>
        <w:t>Wu documented that pattern in a live assistant runtime: 22 incidents in eight weeks, at least 28 silent events, about 70 percent found by a person reading output, tests near zero for that class [3]. Advani showed agents declaring victory against unchanged state in 45–76 percent of failures in settings where they may self-declare; language-model judges topped out at AUROC 0.65 [4]. Datadog counted a 5 percent LLM-span error rate in one month, mostly rate limits—the failures transport can see [5]. The failures finance and compliance care about often never increment that counter.</w:t>
      </w:r>
    </w:p>
    <w:p>
      <w:pPr>
        <w:spacing w:after="120" w:before="240" w:line="259" w:lineRule="auto"/>
      </w:pPr>
      <w:r>
        <w:rPr>
          <w:rFonts w:ascii="Times New Roman" w:hAnsi="Times New Roman" w:eastAsia="Times New Roman"/>
          <w:b/>
          <w:i w:val="0"/>
          <w:color w:val="00696B"/>
          <w:sz w:val="24"/>
        </w:rPr>
        <w:t>What to tell the steering committee</w:t>
      </w:r>
    </w:p>
    <w:p>
      <w:pPr>
        <w:spacing w:after="160" w:before="0" w:line="259" w:lineRule="auto"/>
        <w:ind w:firstLine="288"/>
        <w:jc w:val="both"/>
      </w:pPr>
      <w:r>
        <w:rPr>
          <w:rFonts w:ascii="Times New Roman" w:hAnsi="Times New Roman" w:eastAsia="Times New Roman"/>
          <w:b w:val="0"/>
          <w:i w:val="0"/>
          <w:sz w:val="20"/>
        </w:rPr>
        <w:t>Do not lead with a larger model. Frozen-weight agents still age; memory policy moved half-life more than the model did [6]. Do not lead with a second model that scores whether the report “looks done” [4]. Do not add more happy-path tests to a suite that already missed silent events [3]. Lead with three controls the integration team can put in the service catalog.</w:t>
      </w:r>
    </w:p>
    <w:p>
      <w:pPr>
        <w:spacing w:after="80"/>
        <w:ind w:left="360"/>
      </w:pPr>
      <w:r>
        <w:rPr>
          <w:rFonts w:ascii="Times New Roman" w:hAnsi="Times New Roman" w:eastAsia="Times New Roman"/>
          <w:b w:val="0"/>
          <w:i w:val="0"/>
          <w:sz w:val="20"/>
        </w:rPr>
        <w:t>1.  Typed tool faults. Every connector returns {ok, code, retryable, provenance}. HTML and stack traces never re-enter the prompt.</w:t>
      </w:r>
    </w:p>
    <w:p>
      <w:pPr>
        <w:spacing w:after="80"/>
        <w:ind w:left="360"/>
      </w:pPr>
      <w:r>
        <w:rPr>
          <w:rFonts w:ascii="Times New Roman" w:hAnsi="Times New Roman" w:eastAsia="Times New Roman"/>
          <w:b w:val="0"/>
          <w:i w:val="0"/>
          <w:sz w:val="20"/>
        </w:rPr>
        <w:t>2.  Completion is a gated verb. Done, verified, refunded, and booked are illegal until the system of record agrees.</w:t>
      </w:r>
    </w:p>
    <w:p>
      <w:pPr>
        <w:spacing w:after="160"/>
        <w:ind w:left="360"/>
      </w:pPr>
      <w:r>
        <w:rPr>
          <w:rFonts w:ascii="Times New Roman" w:hAnsi="Times New Roman" w:eastAsia="Times New Roman"/>
          <w:b w:val="0"/>
          <w:i w:val="0"/>
          <w:sz w:val="20"/>
        </w:rPr>
        <w:t>3.  Watch state, not fluency. Alert on the gap between claims and mutations. Use another model only as a sampled secondary review.</w:t>
      </w:r>
    </w:p>
    <w:p>
      <w:pPr>
        <w:spacing w:after="120" w:before="240" w:line="259" w:lineRule="auto"/>
      </w:pPr>
      <w:r>
        <w:rPr>
          <w:rFonts w:ascii="Times New Roman" w:hAnsi="Times New Roman" w:eastAsia="Times New Roman"/>
          <w:b/>
          <w:i w:val="0"/>
          <w:color w:val="00696B"/>
          <w:sz w:val="24"/>
        </w:rPr>
        <w:t>A reconstructed service desk</w:t>
      </w:r>
    </w:p>
    <w:p>
      <w:pPr>
        <w:spacing w:after="160" w:before="0" w:line="259" w:lineRule="auto"/>
        <w:ind w:firstLine="288"/>
        <w:jc w:val="both"/>
      </w:pPr>
      <w:r>
        <w:rPr>
          <w:rFonts w:ascii="Times New Roman" w:hAnsi="Times New Roman" w:eastAsia="Times New Roman"/>
          <w:b w:val="0"/>
          <w:i w:val="0"/>
          <w:sz w:val="20"/>
        </w:rPr>
        <w:t>The field numbers above are not the author’s. To make the steering-committee claim testable, a word-level LSTM was trained from scratch on this machine and run as a 240-ticket desk. The harness assigned environment state. The model wrote the assistant line. This is not a live campus log.</w:t>
      </w:r>
    </w:p>
    <w:p>
      <w:pPr>
        <w:spacing w:after="80" w:before="200" w:line="259" w:lineRule="auto"/>
      </w:pPr>
      <w:r>
        <w:rPr>
          <w:rFonts w:ascii="Times New Roman" w:hAnsi="Times New Roman" w:eastAsia="Times New Roman"/>
          <w:b w:val="0"/>
          <w:i/>
          <w:sz w:val="18"/>
        </w:rPr>
        <w:t>Table 1. Simulated desk. Utterances from a toy LSTM; ledger flags from the harness.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Ticket class</w:t>
            </w:r>
          </w:p>
        </w:tc>
        <w:tc>
          <w:tcPr>
            <w:tcW w:type="dxa" w:w="1872"/>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n</w:t>
            </w:r>
          </w:p>
        </w:tc>
        <w:tc>
          <w:tcPr>
            <w:tcW w:type="dxa" w:w="1872"/>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Claimed complete</w:t>
            </w:r>
          </w:p>
        </w:tc>
        <w:tc>
          <w:tcPr>
            <w:tcW w:type="dxa" w:w="1872"/>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Record refunded</w:t>
            </w:r>
          </w:p>
        </w:tc>
        <w:tc>
          <w:tcPr>
            <w:tcW w:type="dxa" w:w="1872"/>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Mismatch</w:t>
            </w:r>
          </w:p>
        </w:tc>
      </w:tr>
      <w:tr>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True success</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90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89</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90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r>
      <w:tr>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Stale connector cache</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40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39</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39</w:t>
            </w:r>
          </w:p>
        </w:tc>
      </w:tr>
      <w:tr>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400 page leaked into a digest</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50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50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50</w:t>
            </w:r>
          </w:p>
        </w:tc>
      </w:tr>
      <w:tr>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Typed envelope http_400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30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r>
      <w:tr>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Empty retrieval</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30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c>
          <w:tcPr>
            <w:tcW w:type="dxa" w:w="1872"/>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w:t>
            </w:r>
          </w:p>
        </w:tc>
      </w:tr>
      <w:tr>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Week total</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240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178</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90</w:t>
            </w:r>
          </w:p>
        </w:tc>
        <w:tc>
          <w:tcPr>
            <w:tcW w:type="dxa" w:w="1872"/>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89 (37%)</w:t>
            </w:r>
          </w:p>
        </w:tc>
      </w:tr>
    </w:tbl>
    <w:p>
      <w:pPr>
        <w:spacing w:after="80" w:before="0" w:line="259" w:lineRule="auto"/>
      </w:pPr>
    </w:p>
    <w:p>
      <w:pPr>
        <w:spacing w:after="160" w:before="0" w:line="259" w:lineRule="auto"/>
        <w:ind w:firstLine="288"/>
        <w:jc w:val="both"/>
      </w:pPr>
      <w:r>
        <w:rPr>
          <w:rFonts w:ascii="Times New Roman" w:hAnsi="Times New Roman" w:eastAsia="Times New Roman"/>
          <w:b w:val="0"/>
          <w:i w:val="0"/>
          <w:sz w:val="20"/>
        </w:rPr>
        <w:t>Thirty-seven percent of tickets claimed a close the ledger would deny. Half of all completion claims were false. Every leaked-HTML ticket mismatched. Every typed envelope and empty retrieval did not. Across three seeds, leaked narration appeared as soon as web-like HTML-then-prose documents were 25 percent of training. The typed envelope stayed at a 0.00 fail-plausible rate at every mix.</w:t>
      </w:r>
    </w:p>
    <w:p>
      <w:pPr>
        <w:spacing w:after="120" w:before="240" w:line="259" w:lineRule="auto"/>
      </w:pPr>
      <w:r>
        <w:rPr>
          <w:rFonts w:ascii="Times New Roman" w:hAnsi="Times New Roman" w:eastAsia="Times New Roman"/>
          <w:b/>
          <w:i w:val="0"/>
          <w:color w:val="00696B"/>
          <w:sz w:val="24"/>
        </w:rPr>
        <w:t>Cost and carbon, without inventing a life-cycle study</w:t>
      </w:r>
    </w:p>
    <w:p>
      <w:pPr>
        <w:spacing w:after="160" w:before="0" w:line="259" w:lineRule="auto"/>
        <w:ind w:firstLine="288"/>
        <w:jc w:val="both"/>
      </w:pPr>
      <w:r>
        <w:rPr>
          <w:rFonts w:ascii="Times New Roman" w:hAnsi="Times New Roman" w:eastAsia="Times New Roman"/>
          <w:b w:val="0"/>
          <w:i w:val="0"/>
          <w:sz w:val="20"/>
        </w:rPr>
        <w:t>A timed rerun of that 240-ticket desk on two vCPUs (Xeon Platinum 8481C, no GPU) took 8.11 s wall time. Assuming 25 W package draw, PUE 1.2, and the South Korean grid factor 436 gCO2eq/kWh for June 2025–May 2026 [7], the run is about 6.8 × 10−5 kWh and about 0.030 gCO2eq. A state check modeled as 5 W for 1 ms per ticket is about 0.00017 gCO2eq. A large-model judge at a published 0.3–3 Wh per call would be about 38–377 gCO2eq for the same 240 tickets. These are operational estimates, not PDU readings and not embodied carbon. They are enough for an IT budget conversation: the first monitor should not be another generator.</w:t>
      </w:r>
    </w:p>
    <w:p>
      <w:pPr>
        <w:spacing w:after="80" w:before="200" w:line="259" w:lineRule="auto"/>
      </w:pPr>
      <w:r>
        <w:rPr>
          <w:rFonts w:ascii="Times New Roman" w:hAnsi="Times New Roman" w:eastAsia="Times New Roman"/>
          <w:b w:val="0"/>
          <w:i/>
          <w:sz w:val="18"/>
        </w:rPr>
        <w:t>Table 2. Operational carbon ranking. Grid factor [7]. Not a national inventory figure.</w:t>
      </w:r>
    </w:p>
    <w:tbl>
      <w:tblPr>
        <w:tblW w:type="auto" w:w="0"/>
        <w:jc w:val="center"/>
        <w:tblLook w:firstColumn="1" w:firstRow="1" w:lastColumn="0" w:lastRow="0" w:noHBand="0" w:noVBand="1" w:val="04A0"/>
      </w:tblPr>
      <w:tblGrid>
        <w:gridCol w:w="3120"/>
        <w:gridCol w:w="3120"/>
        <w:gridCol w:w="3120"/>
      </w:tblGrid>
      <w:tr>
        <w:tc>
          <w:tcPr>
            <w:tcW w:type="dxa" w:w="3120"/>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Monitor for 240 tickets</w:t>
            </w:r>
          </w:p>
        </w:tc>
        <w:tc>
          <w:tcPr>
            <w:tcW w:type="dxa" w:w="3120"/>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Energy (order of magnitude)</w:t>
            </w:r>
          </w:p>
        </w:tc>
        <w:tc>
          <w:tcPr>
            <w:tcW w:type="dxa" w:w="3120"/>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CO2eq (operational estimate)</w:t>
            </w:r>
          </w:p>
        </w:tc>
      </w:tr>
      <w:tr>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State / schema gate</w:t>
            </w:r>
          </w:p>
        </w:tc>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milliseconds on a CPU</w:t>
            </w:r>
          </w:p>
        </w:tc>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~0.00017 g</w:t>
            </w:r>
          </w:p>
        </w:tc>
      </w:tr>
      <w:tr>
        <w:tc>
          <w:tcPr>
            <w:tcW w:type="dxa" w:w="312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Toy LSTM train + generate (this host)</w:t>
            </w:r>
          </w:p>
        </w:tc>
        <w:tc>
          <w:tcPr>
            <w:tcW w:type="dxa" w:w="312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~8 s, 2 vCPU</w:t>
            </w:r>
          </w:p>
        </w:tc>
        <w:tc>
          <w:tcPr>
            <w:tcW w:type="dxa" w:w="312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~0.030 g</w:t>
            </w:r>
          </w:p>
        </w:tc>
      </w:tr>
      <w:tr>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Frontier-class judge, 0.3–3 Wh/call</w:t>
            </w:r>
          </w:p>
        </w:tc>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0.09–0.86 kWh with PUE</w:t>
            </w:r>
          </w:p>
        </w:tc>
        <w:tc>
          <w:tcPr>
            <w:tcW w:type="dxa" w:w="312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~38–377 g</w:t>
            </w:r>
          </w:p>
        </w:tc>
      </w:tr>
    </w:tbl>
    <w:p>
      <w:pPr>
        <w:spacing w:after="80" w:before="0" w:line="259" w:lineRule="auto"/>
      </w:pPr>
    </w:p>
    <w:p>
      <w:pPr>
        <w:spacing w:after="120" w:before="240" w:line="259" w:lineRule="auto"/>
      </w:pPr>
      <w:r>
        <w:rPr>
          <w:rFonts w:ascii="Times New Roman" w:hAnsi="Times New Roman" w:eastAsia="Times New Roman"/>
          <w:b/>
          <w:i w:val="0"/>
          <w:color w:val="00696B"/>
          <w:sz w:val="24"/>
        </w:rPr>
        <w:t>An enterprise checklist</w:t>
      </w:r>
    </w:p>
    <w:p>
      <w:pPr>
        <w:spacing w:after="160" w:before="0" w:line="259" w:lineRule="auto"/>
        <w:ind w:firstLine="288"/>
        <w:jc w:val="both"/>
      </w:pPr>
      <w:r>
        <w:rPr>
          <w:rFonts w:ascii="Times New Roman" w:hAnsi="Times New Roman" w:eastAsia="Times New Roman"/>
          <w:b w:val="0"/>
          <w:i w:val="0"/>
          <w:sz w:val="20"/>
        </w:rPr>
        <w:t>Put the envelope in the API gateway, not in each prompt. One schema used by every connector beats twelve system-prompt variants. Log the envelope on success paths. APM that stores only HTTP 200 will hide the incident.</w:t>
      </w:r>
    </w:p>
    <w:p>
      <w:pPr>
        <w:spacing w:after="160" w:before="0" w:line="259" w:lineRule="auto"/>
        <w:ind w:firstLine="288"/>
        <w:jc w:val="both"/>
      </w:pPr>
      <w:r>
        <w:rPr>
          <w:rFonts w:ascii="Times New Roman" w:hAnsi="Times New Roman" w:eastAsia="Times New Roman"/>
          <w:b w:val="0"/>
          <w:i w:val="0"/>
          <w:sz w:val="20"/>
        </w:rPr>
        <w:t>Bind agents to named identities and named owners. A shared god account is how a silent completion becomes an unowned write.</w:t>
      </w:r>
    </w:p>
    <w:p>
      <w:pPr>
        <w:spacing w:after="160" w:before="0" w:line="259" w:lineRule="auto"/>
        <w:ind w:firstLine="288"/>
        <w:jc w:val="both"/>
      </w:pPr>
      <w:r>
        <w:rPr>
          <w:rFonts w:ascii="Times New Roman" w:hAnsi="Times New Roman" w:eastAsia="Times New Roman"/>
          <w:b w:val="0"/>
          <w:i w:val="0"/>
          <w:sz w:val="20"/>
        </w:rPr>
        <w:t>Treat prompt edits, model-version pins, index rebuilds, and memory compaction as change tickets [6]. Cap tokens, duplicate tool calls, and spend per tenant. Rate-limit storms are already the errors your observability vendor can count [5].</w:t>
      </w:r>
    </w:p>
    <w:p>
      <w:pPr>
        <w:spacing w:after="160" w:before="0" w:line="259" w:lineRule="auto"/>
        <w:ind w:firstLine="288"/>
        <w:jc w:val="both"/>
      </w:pPr>
      <w:r>
        <w:rPr>
          <w:rFonts w:ascii="Times New Roman" w:hAnsi="Times New Roman" w:eastAsia="Times New Roman"/>
          <w:b w:val="0"/>
          <w:i w:val="0"/>
          <w:sz w:val="20"/>
        </w:rPr>
        <w:t>Sabotage the staging path with a canned 400 page and require the alarm to fire. A guard that has never been broken is itself fail-plausible [3].</w:t>
      </w:r>
    </w:p>
    <w:p>
      <w:pPr>
        <w:spacing w:after="80" w:before="200" w:line="259" w:lineRule="auto"/>
      </w:pPr>
      <w:r>
        <w:rPr>
          <w:rFonts w:ascii="Times New Roman" w:hAnsi="Times New Roman" w:eastAsia="Times New Roman"/>
          <w:b w:val="0"/>
          <w:i/>
          <w:sz w:val="18"/>
        </w:rPr>
        <w:t>Table 3. Controls for the service catalog.</w:t>
      </w:r>
    </w:p>
    <w:tbl>
      <w:tblPr>
        <w:tblW w:type="auto" w:w="0"/>
        <w:jc w:val="center"/>
        <w:tblLook w:firstColumn="1" w:firstRow="1" w:lastColumn="0" w:lastRow="0" w:noHBand="0" w:noVBand="1" w:val="04A0"/>
      </w:tblPr>
      <w:tblGrid>
        <w:gridCol w:w="4680"/>
        <w:gridCol w:w="4680"/>
      </w:tblGrid>
      <w:tr>
        <w:tc>
          <w:tcPr>
            <w:tcW w:type="dxa" w:w="4680"/>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Control</w:t>
            </w:r>
          </w:p>
        </w:tc>
        <w:tc>
          <w:tcPr>
            <w:tcW w:type="dxa" w:w="4680"/>
            <w:shd w:fill="00696B"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i w:val="0"/>
                <w:color w:val="FFFFFF"/>
                <w:sz w:val="16"/>
              </w:rPr>
              <w:t>Why IT can defend it</w:t>
            </w:r>
          </w:p>
        </w:tc>
      </w:tr>
      <w:tr>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Type connector faults</w:t>
            </w:r>
          </w:p>
        </w:tc>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Silent fabrications started as polluted context [3]; Table 1 typed row is 0/30</w:t>
            </w:r>
          </w:p>
        </w:tc>
      </w:tr>
      <w:tr>
        <w:tc>
          <w:tcPr>
            <w:tcW w:type="dxa" w:w="468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Gate completion on the record</w:t>
            </w:r>
          </w:p>
        </w:tc>
        <w:tc>
          <w:tcPr>
            <w:tcW w:type="dxa" w:w="468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False success 45–76% where agents self-declare [4]</w:t>
            </w:r>
          </w:p>
        </w:tc>
      </w:tr>
      <w:tr>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Do not buy a judge as monitor one</w:t>
            </w:r>
          </w:p>
        </w:tc>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Judge AUROC ≤0.65 [4]; Table 2 cost ranking</w:t>
            </w:r>
          </w:p>
        </w:tc>
      </w:tr>
      <w:tr>
        <w:tc>
          <w:tcPr>
            <w:tcW w:type="dxa" w:w="468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Change-manage compaction and pins</w:t>
            </w:r>
          </w:p>
        </w:tc>
        <w:tc>
          <w:tcPr>
            <w:tcW w:type="dxa" w:w="4680"/>
            <w:shd w:fill="E6F3F3" w:val="clear"/>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Aging cliffs after memory maintenance [6]</w:t>
            </w:r>
          </w:p>
        </w:tc>
      </w:tr>
      <w:tr>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Budget the loop</w:t>
            </w:r>
          </w:p>
        </w:tc>
        <w:tc>
          <w:tcPr>
            <w:tcW w:type="dxa" w:w="4680"/>
            <w:tcBorders>
              <w:top w:val="single" w:sz="4" w:space="0" w:color="00696B"/>
              <w:left w:val="single" w:sz="4" w:space="0" w:color="00696B"/>
              <w:bottom w:val="single" w:sz="4" w:space="0" w:color="00696B"/>
              <w:right w:val="single" w:sz="4" w:space="0" w:color="00696B"/>
            </w:tcBorders>
          </w:tcPr>
          <w:p>
            <w:r/>
            <w:r>
              <w:rPr>
                <w:rFonts w:ascii="Times New Roman" w:hAnsi="Times New Roman" w:eastAsia="Times New Roman"/>
                <w:b w:val="0"/>
                <w:i w:val="0"/>
                <w:sz w:val="16"/>
              </w:rPr>
              <w:t>Most counted span errors were rate limits [5]</w:t>
            </w:r>
          </w:p>
        </w:tc>
      </w:tr>
    </w:tbl>
    <w:p>
      <w:pPr>
        <w:spacing w:after="80" w:before="0" w:line="259" w:lineRule="auto"/>
      </w:pPr>
    </w:p>
    <w:p>
      <w:pPr>
        <w:spacing w:after="120" w:before="240" w:line="259" w:lineRule="auto"/>
      </w:pPr>
      <w:r>
        <w:rPr>
          <w:rFonts w:ascii="Times New Roman" w:hAnsi="Times New Roman" w:eastAsia="Times New Roman"/>
          <w:b/>
          <w:i w:val="0"/>
          <w:color w:val="00696B"/>
          <w:sz w:val="24"/>
        </w:rPr>
        <w:t>Limits IT leadership should hear</w:t>
      </w:r>
    </w:p>
    <w:p>
      <w:pPr>
        <w:spacing w:after="160" w:before="0" w:line="259" w:lineRule="auto"/>
        <w:ind w:firstLine="288"/>
        <w:jc w:val="both"/>
      </w:pPr>
      <w:r>
        <w:rPr>
          <w:rFonts w:ascii="Times New Roman" w:hAnsi="Times New Roman" w:eastAsia="Times New Roman"/>
          <w:b w:val="0"/>
          <w:i w:val="0"/>
          <w:sz w:val="20"/>
        </w:rPr>
        <w:t>Wu is one runtime [3]. Advani’s domains are benches [4]. Datadog sees sockets [5]. Table 1 is a toy model. The carbon line is an assumption stack. None of that licenses a claim about next quarter’s frontier API. It licenses a claim about integration: keep errors from becoming prose, and prose from becoming state.</w:t>
      </w:r>
    </w:p>
    <w:p>
      <w:pPr>
        <w:spacing w:after="120" w:before="240" w:line="259" w:lineRule="auto"/>
      </w:pPr>
      <w:r>
        <w:rPr>
          <w:rFonts w:ascii="Times New Roman" w:hAnsi="Times New Roman" w:eastAsia="Times New Roman"/>
          <w:b/>
          <w:i w:val="0"/>
          <w:color w:val="00696B"/>
          <w:sz w:val="24"/>
        </w:rPr>
        <w:t>References</w:t>
      </w:r>
    </w:p>
    <w:p>
      <w:pPr>
        <w:spacing w:after="80" w:before="0" w:line="259" w:lineRule="auto"/>
        <w:ind w:left="432" w:hanging="432"/>
      </w:pPr>
      <w:r>
        <w:rPr>
          <w:rFonts w:ascii="Times New Roman" w:hAnsi="Times New Roman" w:eastAsia="Times New Roman"/>
          <w:b w:val="0"/>
          <w:i w:val="0"/>
          <w:sz w:val="18"/>
        </w:rPr>
        <w:t>[1] McKinsey &amp; Company, “The state of AI: Global survey on AI agents,” 2026.</w:t>
      </w:r>
    </w:p>
    <w:p>
      <w:pPr>
        <w:spacing w:after="80" w:before="0" w:line="259" w:lineRule="auto"/>
        <w:ind w:left="432" w:hanging="432"/>
      </w:pPr>
      <w:r>
        <w:rPr>
          <w:rFonts w:ascii="Times New Roman" w:hAnsi="Times New Roman" w:eastAsia="Times New Roman"/>
          <w:b w:val="0"/>
          <w:i w:val="0"/>
          <w:sz w:val="18"/>
        </w:rPr>
        <w:t>[2] Digital Applied, “AI agent scaling gap,” Mar. 2026.</w:t>
      </w:r>
    </w:p>
    <w:p>
      <w:pPr>
        <w:spacing w:after="80" w:before="0" w:line="259" w:lineRule="auto"/>
        <w:ind w:left="432" w:hanging="432"/>
      </w:pPr>
      <w:r>
        <w:rPr>
          <w:rFonts w:ascii="Times New Roman" w:hAnsi="Times New Roman" w:eastAsia="Times New Roman"/>
          <w:b w:val="0"/>
          <w:i w:val="0"/>
          <w:sz w:val="18"/>
        </w:rPr>
        <w:t>[3] W. Wu, “When errors become narratives,” arXiv:2606.14589, 2026.</w:t>
      </w:r>
    </w:p>
    <w:p>
      <w:pPr>
        <w:spacing w:after="80" w:before="0" w:line="259" w:lineRule="auto"/>
        <w:ind w:left="432" w:hanging="432"/>
      </w:pPr>
      <w:r>
        <w:rPr>
          <w:rFonts w:ascii="Times New Roman" w:hAnsi="Times New Roman" w:eastAsia="Times New Roman"/>
          <w:b w:val="0"/>
          <w:i w:val="0"/>
          <w:sz w:val="18"/>
        </w:rPr>
        <w:t>[4] L. Advani, “From confident closing to silent failure,” FAGEN@ICML, arXiv:2606.09863, 2026.</w:t>
      </w:r>
    </w:p>
    <w:p>
      <w:pPr>
        <w:spacing w:after="80" w:before="0" w:line="259" w:lineRule="auto"/>
        <w:ind w:left="432" w:hanging="432"/>
      </w:pPr>
      <w:r>
        <w:rPr>
          <w:rFonts w:ascii="Times New Roman" w:hAnsi="Times New Roman" w:eastAsia="Times New Roman"/>
          <w:b w:val="0"/>
          <w:i w:val="0"/>
          <w:sz w:val="18"/>
        </w:rPr>
        <w:t>[5] Datadog, “State of AI Engineering 2026,” 2026.</w:t>
      </w:r>
    </w:p>
    <w:p>
      <w:pPr>
        <w:spacing w:after="80" w:before="0" w:line="259" w:lineRule="auto"/>
        <w:ind w:left="432" w:hanging="432"/>
      </w:pPr>
      <w:r>
        <w:rPr>
          <w:rFonts w:ascii="Times New Roman" w:hAnsi="Times New Roman" w:eastAsia="Times New Roman"/>
          <w:b w:val="0"/>
          <w:i w:val="0"/>
          <w:sz w:val="18"/>
        </w:rPr>
        <w:t>[6] J. Zhu et al., “Your agents are aging too,” arXiv:2605.26302, 2026.</w:t>
      </w:r>
    </w:p>
    <w:p>
      <w:pPr>
        <w:spacing w:after="80" w:before="0" w:line="259" w:lineRule="auto"/>
        <w:ind w:left="432" w:hanging="432"/>
      </w:pPr>
      <w:r>
        <w:rPr>
          <w:rFonts w:ascii="Times New Roman" w:hAnsi="Times New Roman" w:eastAsia="Times New Roman"/>
          <w:b w:val="0"/>
          <w:i w:val="0"/>
          <w:sz w:val="18"/>
        </w:rPr>
        <w:t>[7] Low Carbon Power, “Electricity in South Korea, Jun. 2025–May 2026,” 436 gCO2eq/kWh. [Online]. Available: https://lowcarbonpower.org/region/South_Korea</w:t>
      </w:r>
    </w:p>
    <w:p>
      <w:pPr>
        <w:spacing w:after="120" w:before="240" w:line="259" w:lineRule="auto"/>
      </w:pPr>
      <w:r>
        <w:rPr>
          <w:rFonts w:ascii="Times New Roman" w:hAnsi="Times New Roman" w:eastAsia="Times New Roman"/>
          <w:b/>
          <w:i w:val="0"/>
          <w:color w:val="00696B"/>
          <w:sz w:val="24"/>
        </w:rPr>
        <w:t>About the author</w:t>
      </w:r>
    </w:p>
    <w:p>
      <w:pPr>
        <w:spacing w:after="160" w:before="0" w:line="259" w:lineRule="auto"/>
        <w:ind w:firstLine="288"/>
        <w:jc w:val="both"/>
      </w:pPr>
      <w:r>
        <w:rPr>
          <w:rFonts w:ascii="Times New Roman" w:hAnsi="Times New Roman" w:eastAsia="Times New Roman"/>
          <w:b w:val="0"/>
          <w:i w:val="0"/>
          <w:sz w:val="20"/>
        </w:rPr>
        <w:t>Ook Lee is with the Department of Information System, Hanyang University, Seoul, Korea. His work concerns operational reliability of language-model systems in enterprise settings. Contact him at ooklee@hanyang.ac.kr.</w:t>
      </w:r>
    </w:p>
    <w:p>
      <w:pPr>
        <w:spacing w:after="160" w:before="200" w:line="259" w:lineRule="auto"/>
      </w:pPr>
      <w:r>
        <w:rPr>
          <w:rFonts w:ascii="Times New Roman" w:hAnsi="Times New Roman" w:eastAsia="Times New Roman"/>
          <w:b w:val="0"/>
          <w:i/>
          <w:sz w:val="16"/>
        </w:rPr>
        <w:t>IT Professional feature limits: ≤4,200 words including 300 words per table/figure; ≤20 references; abstract ≤150 words. This draft uses 3 tables (900 words of budget) and 7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sz w:val="16"/>
      </w:rPr>
      <w:t xml:space="preserve">Lee  ·  When Agent Failures Look Like Success  ·  </w:t>
    </w:r>
    <w:r>
      <w:rPr>
        <w:rFonts w:ascii="Times New Roman" w:hAnsi="Times New Roman" w:eastAsia="Times New Roman"/>
        <w:b w:val="0"/>
        <w:i w:val="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00696B"/>
        <w:sz w:val="16"/>
      </w:rPr>
      <w:t>IT Professional  ·  Feature draft  ·  IEEE Computer Society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