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rPr>
        <w:t>[Date]</w:t>
      </w:r>
    </w:p>
    <w:p>
      <w:pPr>
        <w:spacing w:after="160"/>
      </w:pPr>
      <w:r>
        <w:rPr>
          <w:b w:val="0"/>
        </w:rPr>
        <w:t>The Editors</w:t>
        <w:br/>
        <w:t>Journal of Information Technology</w:t>
      </w:r>
    </w:p>
    <w:p>
      <w:pPr>
        <w:spacing w:after="160"/>
      </w:pPr>
      <w:r>
        <w:rPr>
          <w:b/>
        </w:rPr>
        <w:t>Re: Submission of an original research article, “Acquired, Not Yet Assimilated? Complementary Assets and the Limits of Occupation-Level Evidence on Generative Visual AI”</w:t>
      </w:r>
    </w:p>
    <w:p>
      <w:pPr>
        <w:spacing w:after="160"/>
      </w:pPr>
      <w:r>
        <w:rPr>
          <w:b w:val="0"/>
        </w:rPr>
        <w:t>Dear Editors,</w:t>
      </w:r>
    </w:p>
    <w:p>
      <w:pPr>
        <w:spacing w:after="160"/>
      </w:pPr>
      <w:r>
        <w:rPr>
          <w:b w:val="0"/>
        </w:rPr>
        <w:t>Please consider the enclosed manuscript for publication in the Journal of Information Technology as an original research article (about 8,900 words, with an online supplement).</w:t>
      </w:r>
    </w:p>
    <w:p>
      <w:pPr>
        <w:spacing w:after="160"/>
      </w:pPr>
      <w:r>
        <w:rPr>
          <w:b/>
        </w:rPr>
        <w:t>Statement of contribution (80 words)</w:t>
      </w:r>
    </w:p>
    <w:p>
      <w:pPr>
        <w:spacing w:after="160"/>
      </w:pPr>
      <w:r>
        <w:rPr>
          <w:b w:val="0"/>
        </w:rPr>
        <w:t>We show that occupation-level exposure designs, the main evidence on generative AI and jobs, cannot detect substitution of the size seen on freelance platforms, and that reported use overstates task reassignment. We extend IS assimilation theory by distinguishing judgment from production complements and treating assimilation as task-level, then specify a firm-level test. The argument applies wherever generated output must be judged, fitting the Journal’s interest in theoretically grounded IS research relevant across contexts.</w:t>
      </w:r>
    </w:p>
    <w:p>
      <w:pPr>
        <w:spacing w:after="160"/>
      </w:pPr>
      <w:r>
        <w:rPr>
          <w:b/>
        </w:rPr>
        <w:t>Why the paper fits the Journal</w:t>
      </w:r>
    </w:p>
    <w:p>
      <w:pPr>
        <w:spacing w:after="160"/>
      </w:pPr>
      <w:r>
        <w:rPr>
          <w:b w:val="0"/>
        </w:rPr>
        <w:t>The paper builds on information systems research on assimilation (Cooper and Zmud, 1990; Fichman and Kemerer, 1999) and IT complementarities, and asks what happens when a technology is nearly free to acquire but costly to trust. Its theoretical claims concern judgment complements and task-level assimilation, and its boundary conditions identify where the account should and should not apply, so that it is relevant beyond the visual-production case we study. The empirical part uses public data (Eurostat, Statistics Canada, O*NET) and a detectability bound that can accompany any exposure-based estimate. We are explicit about what the paper does not show: it does not observe assimilation inside firms, and we present the firm-level test of our central hypothesis as a design proposal, not as a result.</w:t>
      </w:r>
    </w:p>
    <w:p>
      <w:pPr>
        <w:spacing w:after="160"/>
      </w:pPr>
      <w:r>
        <w:rPr>
          <w:b/>
        </w:rPr>
        <w:t>Declarations</w:t>
      </w:r>
    </w:p>
    <w:p>
      <w:pPr>
        <w:spacing w:after="160"/>
      </w:pPr>
      <w:r>
        <w:rPr>
          <w:b w:val="0"/>
        </w:rPr>
        <w:t>The manuscript is original and is not under consideration elsewhere. [Optional: An earlier version was submitted to another journal and was returned without external review; the present version has been substantially revised. Delete this sentence if you prefer not to mention it.] All data are public. Language models were used as measurement instruments to code task statements and job-posting titles, and a generative AI assistant was used to help write analysis code and to draft and edit the text; the author reviewed all results, text, and code and takes responsibility for the content. Exposure measures were validated against two human coders, one of whom is the author and the other a family member of the author who coded independently from a written rubric; this is disclosed in the declarations on the title page. No third party has provided writing or editing assistance.</w:t>
      </w:r>
    </w:p>
    <w:p>
      <w:pPr>
        <w:spacing w:after="160"/>
      </w:pPr>
      <w:r>
        <w:rPr>
          <w:b w:val="0"/>
        </w:rPr>
        <w:t>Thank you for your consideration.</w:t>
      </w:r>
    </w:p>
    <w:p>
      <w:pPr>
        <w:spacing w:after="160"/>
      </w:pPr>
      <w:r>
        <w:rPr>
          <w:b w:val="0"/>
        </w:rPr>
        <w:t>Sincerely,</w:t>
      </w:r>
    </w:p>
    <w:p>
      <w:pPr>
        <w:spacing w:after="160"/>
      </w:pPr>
      <w:r>
        <w:rPr>
          <w:b w:val="0"/>
        </w:rPr>
        <w:t>[Full name]</w:t>
        <w:br/>
        <w:t>[Department], Hanyang University</w:t>
        <w:br/>
        <w:t>[Email]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