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Updating</w:t>
      </w:r>
      <w:r>
        <w:t xml:space="preserve"> </w:t>
      </w:r>
      <w:r>
        <w:t xml:space="preserve">AI</w:t>
      </w:r>
      <w:r>
        <w:t xml:space="preserve"> </w:t>
      </w:r>
      <w:r>
        <w:t xml:space="preserve">Platforms:</w:t>
      </w:r>
      <w:r>
        <w:t xml:space="preserve"> </w:t>
      </w:r>
      <w:r>
        <w:t xml:space="preserve">Freshness,</w:t>
      </w:r>
      <w:r>
        <w:t xml:space="preserve"> </w:t>
      </w:r>
      <w:r>
        <w:t xml:space="preserve">Forgetting,</w:t>
      </w:r>
      <w:r>
        <w:t xml:space="preserve"> </w:t>
      </w:r>
      <w:r>
        <w:t xml:space="preserve">and</w:t>
      </w:r>
      <w:r>
        <w:t xml:space="preserve"> </w:t>
      </w:r>
      <w:r>
        <w:t xml:space="preserve">the</w:t>
      </w:r>
      <w:r>
        <w:t xml:space="preserve"> </w:t>
      </w:r>
      <w:r>
        <w:t xml:space="preserve">Developer</w:t>
      </w:r>
      <w:r>
        <w:t xml:space="preserve"> </w:t>
      </w:r>
      <w:r>
        <w:t xml:space="preserve">Externality</w:t>
      </w:r>
    </w:p>
    <w:p>
      <w:pPr>
        <w:pStyle w:val="FirstParagraph"/>
      </w:pPr>
      <w:r>
        <w:rPr>
          <w:iCs/>
          <w:i/>
        </w:rPr>
        <w:t xml:space="preserve">Manuscript prepared for double-blind review at Information Systems Research. Author identification has been removed.</w:t>
      </w:r>
    </w:p>
    <w:p>
      <w:pPr>
        <w:pStyle w:val="BodyText"/>
      </w:pPr>
      <w:r>
        <w:rPr>
          <w:b/>
        </w:rPr>
        <w:t xml:space="preserve">Abstract. </w:t>
      </w:r>
      <w:r>
        <w:rPr>
          <w:b w:val="0"/>
        </w:rPr>
        <w:t>Developers build products on foundation models they access through an application programming interface (API). Each provider update refreshes the model and, at the same time, breaks prompts, evaluations and workflows tuned to the previous version. This paper studies the governance of that change. Integration depth is a platform-specific investment: it raises both the value of the model and the cost of each migration, so the developers who value the model most are inframarginal and have the most to lose when it changes. That covariance arises endogenously and pins down the sign of a Spence (1975) distortion that the classic result leaves open. The platform therefore updates too often and chooses an update technology that destroys too much existing capability. The two distortions reinforce each other, and they are largest when ecosystem migration costs are large relative to the platform’s training cost. The instrument that addresses the root problem is the deprecation window. Version pinning lets each developer time its own migration and removes the externality from forced migration, yet the platform under-provides it, because the gains accrue to inframarginal developers whose surplus it cannot extract. With unlimited pinning, any residual welfare loss is bounded by the platform’s excess spending on renewal, so policy need not regulate update frequency once forced migration is removed. Frequent updating also discourages integration, a hold-up problem. A reduced-form competitive extension shows that a race for freshness widens the distortion, whereas competition that makes deeply integrated customers marginal can reverse it. We derive testable predictions and implications for API governance, minimum deprecation windows and developer strategy.</w:t>
      </w:r>
    </w:p>
    <w:p>
      <w:pPr>
        <w:pStyle w:val="BodyText"/>
      </w:pPr>
      <w:r>
        <w:rPr>
          <w:bCs/>
          <w:b/>
        </w:rPr>
        <w:t xml:space="preserve">Keywords:</w:t>
      </w:r>
      <w:r>
        <w:t xml:space="preserve"> </w:t>
      </w:r>
      <w:r>
        <w:t xml:space="preserve">platform governance; foundation models; software updates; complementors; version pinning; analytical modeling; economics of information systems</w:t>
      </w:r>
    </w:p>
    <w:bookmarkStart w:id="22" w:name="introduction"/>
    <w:p>
      <w:pPr>
        <w:pStyle w:val="Heading1"/>
      </w:pPr>
      <w:r>
        <w:t xml:space="preserve">1. Introduction</w:t>
      </w:r>
    </w:p>
    <w:p>
      <w:pPr>
        <w:pStyle w:val="FirstParagraph"/>
      </w:pPr>
      <w:r>
        <w:t xml:space="preserve">A growing share of software is built on foundation models accessed through an API. A legal-research assistant, a customer-service agent and a coding tool may all run on the same model offered by the same provider. This architecture makes the provider a platform and the application builders its complementors, in the sense long studied in information systems research (Tiwana et al. 2010, Ceccagnoli et al. 2012). It also introduces a governance decision that earlier software platforms faced only in a mild form: how often the core technology should change.</w:t>
      </w:r>
    </w:p>
    <w:p>
      <w:pPr>
        <w:pStyle w:val="BodyText"/>
      </w:pPr>
      <w:r>
        <w:rPr>
          <w:b w:val="0"/>
        </w:rPr>
        <w:t>Language models must be updated because the world they describe changes. Facts are superseded, norms shift and user needs move away from the data on which the model was trained, so a model that is not updated loses value. Updating, however, is not like patching an operating system. An updated model behaves differently on the same inputs. Prompts that worked before may work less well afterward, and developers must re-run their evaluations and re-tune their workflows (Chen et al. 2024, Ma et al. 2024). Updates can also destroy capabilities that developers relied on, the phenomenon machine learning calls catastrophic forgetting (Kirkpatrick et al. 2017) and that the backward-compatibility literature calls negative flips (Bansal et al. 2019, Srivastava et al. 2020). Providers typically let developers pin a specific version for a while, but old versions are eventually deprecated and developers are forced to migrate. The window is short and uneven across providers. OpenAI’s published policy gives generally available models at least six months’ notice before retirement; Anthropic’s policy gives at least 60 days; Google’s Gemini preview models have moved from release to shutdown in well under a year (OpenAI 2026, Anthropic 2026, Google 2026). Behavior can change even inside a version label. Chen et al. (2024) find that GPT-4’s accuracy on a fixed prime-identification task fell from 84 percent in March 2023 to 51 percent in June 2023, and that both GPT-4 and GPT-3.5 made more formatting errors in code generation over the same window. Pinning postpones migration. It does not remove the eventual requirement to migrate.</w:t>
      </w:r>
    </w:p>
    <w:p>
      <w:pPr>
        <w:pStyle w:val="BodyText"/>
      </w:pPr>
      <w:r>
        <w:t>These features create a tension between the platform and its ecosystem. The platform pays the cost of training each update and earns revenue from developers. Developers bear the cost of every migration. How the platform weighs those migration costs determines whether its update cadence serves the ecosystem. This paper asks four questions:</w:t>
      </w:r>
    </w:p>
    <w:p>
      <w:pPr>
        <w:pStyle w:val="Compact"/>
        <w:numPr>
          <w:ilvl w:val="0"/>
          <w:numId w:val="1001"/>
        </w:numPr>
      </w:pPr>
      <w:r>
        <w:t xml:space="preserve">How often does an API platform update its model, and how destructive an update technology does it choose, relative to what maximizes ecosystem welfare?</w:t>
      </w:r>
    </w:p>
    <w:p>
      <w:pPr>
        <w:pStyle w:val="Compact"/>
        <w:numPr>
          <w:ilvl w:val="0"/>
          <w:numId w:val="1001"/>
        </w:numPr>
      </w:pPr>
      <w:r>
        <w:t xml:space="preserve">When does version pinning correct the resulting distortion, and will the platform provide it voluntarily?</w:t>
      </w:r>
    </w:p>
    <w:p>
      <w:pPr>
        <w:pStyle w:val="Compact"/>
        <w:numPr>
          <w:ilvl w:val="0"/>
          <w:numId w:val="1001"/>
        </w:numPr>
      </w:pPr>
      <w:r>
        <w:t xml:space="preserve">How does the platform’s cadence shape developers’ incentives to integrate deeply with the model?</w:t>
      </w:r>
    </w:p>
    <w:p>
      <w:pPr>
        <w:pStyle w:val="Compact"/>
      </w:pPr>
      <w:r>
        <w:rPr>
          <w:b w:val="0"/>
        </w:rPr>
        <w:t>When does competition widen the distortion, and when does it reverse it?</w:t>
      </w:r>
    </w:p>
    <w:bookmarkStart w:id="20" w:name="preview-of-results"/>
    <w:p>
      <w:pPr>
        <w:pStyle w:val="Heading2"/>
      </w:pPr>
      <w:r>
        <w:t xml:space="preserve">1.1. Preview of Results</w:t>
      </w:r>
    </w:p>
    <w:p>
      <w:pPr>
        <w:pStyle w:val="FirstParagraph"/>
      </w:pPr>
      <w:r>
        <w:rPr>
          <w:b w:val="0"/>
        </w:rPr>
        <w:t>We model a monopoly platform serving a continuum of developers who differ in their integration depth. Deeper integration raises the value a developer obtains from the model and also raises the cost of each migration. The platform chooses an update interval, the destructiveness of its update technology, a price and a version-pinning window. The benchmark is a vertically integrated firm, which internalizes migration costs and follows a square-root rule in the spirit of Baumol (1952) and Tobin (1956). The platform–developer conflict is that the same rule is applied to different migration costs.</w:t>
      </w:r>
    </w:p>
    <w:p>
      <w:pPr>
        <w:pStyle w:val="BodyText"/>
      </w:pPr>
      <w:r>
        <w:rPr>
          <w:b w:val="0"/>
        </w:rPr>
        <w:t>The wedge between private and social incentives is the one in Spence (1975): the platform values ecosystem migration costs at the marginal developer’s cost, while welfare values them at the average participant’s. Spence leaves the sign of that wedge open. The paper’s first contribution is to close it. Because integration raises value and migration cost together, deeply integrated developers are inframarginal. That ordering is not assumed about the world. Section 7 shows that it is the outcome of optimal integration. Under it, the platform updates more often than the second best (Proposition 1) and chooses an update technology that destroys more existing capability (Proposition 2). Destruction is not a relabeling of quality. It is a property of the update technology, traded off against training cost, and the two distortions reinforce each other (Proposition 3). Their size grows with the ratio of ecosystem migration costs to the platform’s own training cost, so the distortion is largest where the ecosystem is deep and compute is cheap (Proposition 4).</w:t>
      </w:r>
    </w:p>
    <w:p>
      <w:pPr>
        <w:pStyle w:val="BodyText"/>
      </w:pPr>
      <w:r>
        <w:rPr>
          <w:b w:val="0"/>
        </w:rPr>
        <w:t>The second contribution is the governance instrument. Version pinning lets each developer choose its own migration timing and therefore removes the externality from forced migration. The platform nonetheless under-provides pinning, because its benefits go to inframarginal developers whose surplus the platform cannot capture (Proposition 5). With unlimited pinning, the welfare loss from any remaining cadence distortion is bounded by the platform’s excess spending on renewal (Corollary 1). Frequent updating is not harmful in itself. Forced migration is. The third contribution is the feedback onto the ecosystem. Anticipating frequent updates, developers integrate less deeply than they would under the welfare-maximizing cadence, a hold-up problem (Proposition 6). A reduced-form competitive extension (Proposition 7) shows that the monopoly distortion is not the only case: a race for freshness widens it, and competition that makes deeply integrated customers marginal can reverse it.</w:t>
      </w:r>
    </w:p>
    <w:bookmarkEnd w:id="20"/>
    <w:bookmarkStart w:id="21" w:name="contributions"/>
    <w:p>
      <w:pPr>
        <w:pStyle w:val="Heading2"/>
      </w:pPr>
      <w:r>
        <w:t xml:space="preserve">1.2. Contributions</w:t>
      </w:r>
    </w:p>
    <w:p>
      <w:pPr>
        <w:pStyle w:val="FirstParagraph"/>
      </w:pPr>
      <w:r>
        <w:rPr>
          <w:b w:val="0"/>
        </w:rPr>
        <w:t>The paper contributes to three streams of IS research. First, it treats the deprecation window and the update technology, not only the release date, as governance instruments (Tiwana et al. 2010, Ghazawneh and Henfridsson 2013). Versioning here is not a device for price discrimination (Shapiro and Varian 1998, Bhargava and Choudhary 2001). It is the boundary resource that restores complementors’ control over migration timing, and we show why the platform under-provides it. Second, it extends the economics of software patching (Arora et al. 2006, August and Tunca 2006, Cavusoglu et al. 2008) to updates that destroy part of the existing product and impose re-validation costs on complementors. The question is no longer whether vendors release too early or patch too little, but whether they change the core technology too often and too disruptively. Third, relative to the emerging analytical literature on foundation-model markets (Qian et al. 2025, Zhang and Zhang 2026), the contribution is not an application of Spence (1975) to a new label. It is the endogenous covariance between value and migration cost, the joint distortion in cadence and destruction, and the result that removing forced migration bounds the remaining welfare loss by the platform’s own excess renewal spending. The competitive sketch shows when that covariance, and therefore the sign of the distortion, flips.</w:t>
      </w:r>
    </w:p>
    <w:p>
      <w:pPr>
        <w:pStyle w:val="BodyText"/>
      </w:pPr>
      <w:r>
        <w:rPr>
          <w:b w:val="0"/>
        </w:rPr>
        <w:t>What makes this an information systems question is the object being governed. In most platform research the core technology is a stable artifact on which complementors build. Here the core is a service that its owner re-trains continuously, so the interface (the prompts, schemas and evaluations that developers write against it) is stable only as long as behavior is. Integration depth is the platform-specific investment that the boundary-resources literature takes as given (Ghazawneh and Henfridsson 2013, Boudreau 2010), and we make it the endogenous variable that determines who bears the cost of change. The analysis therefore speaks to three decisions that IS managers and scholars face: how providers should set deprecation windows and release calendars, how developers should choose between thin, portable integration and deep, provider-specific integration, and when a stable tier or a minimum deprecation window is the right governance response (Section 9).</w:t>
      </w:r>
    </w:p>
    <w:p>
      <w:pPr>
        <w:pStyle w:val="BodyText"/>
      </w:pPr>
      <w:r>
        <w:rPr>
          <w:b w:val="0"/>
        </w:rPr>
        <w:t>The rest of the paper proceeds as follows. Section 2 reviews related literature. Section 3 presents the model. Section 4 develops a single-firm benchmark. Section 5 characterizes the platform’s equilibrium choices and the resulting distortions. Section 6 studies version pinning and records what the continuous-migration approximation does and does not carry. Section 7 endogenizes integration depth. Section 7.3 sketches competition. Section 8 illustrates the primitives and reports a numerical analysis. Section 9 discusses implications and testable predictions, and Section 10 concludes. Proofs are in Appendix A. The measurement protocol is in Appendix B.</w:t>
      </w:r>
    </w:p>
    <w:bookmarkEnd w:id="21"/>
    <w:bookmarkEnd w:id="22"/>
    <w:bookmarkStart w:id="28" w:name="related-literature"/>
    <w:p>
      <w:pPr>
        <w:pStyle w:val="Heading1"/>
      </w:pPr>
      <w:r>
        <w:t xml:space="preserve">2. Related Literature</w:t>
      </w:r>
    </w:p>
    <w:bookmarkStart w:id="23" w:name="software-patching-updates-and-versioning"/>
    <w:p>
      <w:pPr>
        <w:pStyle w:val="Heading2"/>
      </w:pPr>
      <w:r>
        <w:t xml:space="preserve">2.1. Software Patching, Updates and Versioning</w:t>
      </w:r>
    </w:p>
    <w:p>
      <w:pPr>
        <w:pStyle w:val="FirstParagraph"/>
      </w:pPr>
      <w:r>
        <w:t xml:space="preserve">IS research has long studied how vendors manage the evolution of software after release. Arora et al. (2006) show that vendors may release software early and fix it later, trading initial quality against patching. August and Tunca (2006) analyze users’ incentives to apply security patches in networked software, and Cavusoglu et al. (2008) study how the timing of patch release and patch application should be coordinated between vendors and firms. In this literature an update repairs a defect and leaves the rest of the product intact. A model update differs in two ways. It changes behavior across the board, so every complementor must re-validate, and it can remove capabilities that were working. Our model captures both features through a migration cost borne by developers and a destruction parameter chosen by the platform.</w:t>
      </w:r>
    </w:p>
    <w:p>
      <w:pPr>
        <w:pStyle w:val="BodyText"/>
      </w:pPr>
      <w:r>
        <w:t xml:space="preserve">Versioning of information goods has been studied mainly as a device for price discrimination (Shapiro and Varian 1998, Bhargava and Choudhary 2001). In our setting, keeping an old version available serves a different purpose: it lets developers decide when to absorb the cost of change. We show that this governance role of versioning is under-provided by the platform.</w:t>
      </w:r>
    </w:p>
    <w:bookmarkEnd w:id="23"/>
    <w:bookmarkStart w:id="24" w:name="platform-ecosystems-and-governance"/>
    <w:p>
      <w:pPr>
        <w:pStyle w:val="Heading2"/>
      </w:pPr>
      <w:r>
        <w:t xml:space="preserve">2.2. Platform Ecosystems and Governance</w:t>
      </w:r>
    </w:p>
    <w:p>
      <w:pPr>
        <w:pStyle w:val="FirstParagraph"/>
      </w:pPr>
      <w:r>
        <w:t xml:space="preserve">Platform research emphasizes that the value of a platform depends on complementors and that platform owners govern complementors through architecture and rules (Tiwana et al. 2010, Boudreau 2010, Ghazawneh and Henfridsson 2013). Parker and Van Alstyne (2005) analyze pricing across the sides of a platform, and Ceccagnoli et al. (2012) show how joining an enterprise-software ecosystem creates value for small independent vendors. A recurring concern is that platform changes impose costs on complementors who have made platform-specific investments. We formalize this concern for a continuous governance choice, the update interval, and show precisely when the platform’s private choice departs from ecosystem welfare.</w:t>
      </w:r>
    </w:p>
    <w:bookmarkEnd w:id="24"/>
    <w:bookmarkStart w:id="25" w:name="quality-choice-by-a-monopolist"/>
    <w:p>
      <w:pPr>
        <w:pStyle w:val="Heading2"/>
      </w:pPr>
      <w:r>
        <w:t xml:space="preserve">2.3. Quality Choice by a Monopolist</w:t>
      </w:r>
    </w:p>
    <w:p>
      <w:pPr>
        <w:pStyle w:val="FirstParagraph"/>
      </w:pPr>
      <w:r>
        <w:rPr>
          <w:b w:val="0"/>
        </w:rPr>
        <w:t>The wedge between the platform’s objective and welfare is the one in Spence (1975): a monopolist chooses quality according to the marginal consumer’s valuation, while welfare depends on the average consumer’s. Mussa and Rosen (1978) extend this logic to product lines. Spence does not sign the distortion. The sign depends on how the relevant preference covaries with participation, and in his setting that covariance is a property of the demand curve. We apply the wedge to a quality dimension that software platforms did not previously have to govern continuously, the stability of a model over time traded off against its freshness, and we show that integration choices pin down the covariance. The contribution is that sign, the joint choice of an update technology that can destroy existing capability, and the under-provision of the deprecation window. It is not the wedge itself.</w:t>
      </w:r>
    </w:p>
    <w:bookmarkEnd w:id="25"/>
    <w:bookmarkStart w:id="26" w:name="economics-of-foundation-models"/>
    <w:p>
      <w:pPr>
        <w:pStyle w:val="Heading2"/>
      </w:pPr>
      <w:r>
        <w:t xml:space="preserve">2.4. Economics of Foundation Models</w:t>
      </w:r>
    </w:p>
    <w:p>
      <w:pPr>
        <w:pStyle w:val="FirstParagraph"/>
      </w:pPr>
      <w:r>
        <w:t xml:space="preserve">A small but growing analytical literature studies foundation-model markets. Qian et al. (2025) model a provider that offers fine-tuning and inference to competing downstream firms and evaluate regulatory interventions. Zhang and Zhang (2026) treat foundation models as a capital stock whose value depreciates as rivals and the technological frontier advance. Guo and Ma (2018) study competition between perpetual software and software-as-a-service, which shares the subscription-based delivery of API models. None of these studies addresses how often a provider should update its model or the costs that updates impose on downstream developers.</w:t>
      </w:r>
    </w:p>
    <w:bookmarkEnd w:id="26"/>
    <w:bookmarkStart w:id="27" w:name="model-updates-and-backward-compatibility"/>
    <w:p>
      <w:pPr>
        <w:pStyle w:val="Heading2"/>
      </w:pPr>
      <w:r>
        <w:t xml:space="preserve">2.5. Model Updates and Backward Compatibility</w:t>
      </w:r>
    </w:p>
    <w:p>
      <w:pPr>
        <w:pStyle w:val="FirstParagraph"/>
      </w:pPr>
      <w:r>
        <w:t xml:space="preserve">Machine-learning research documents that more accurate models can still break downstream expectations. Bansal et al. (2019) introduce backward compatibility for updates in human-AI teams, and Srivastava et al. (2020) show that updated models can regress on cases the old model handled correctly. Kirkpatrick et al. (2017) describe catastrophic forgetting in sequential training. For deployed language-model APIs, Chen et al. (2024) document substantial behavior changes between versions of the same commercial model, and Ma et al. (2024) report that developers find their prompts performing worse after provider updates. These studies motivate our primitives; we contribute the economic analysis of how a platform trades these costs off against freshness.</w:t>
      </w:r>
    </w:p>
    <w:bookmarkEnd w:id="27"/>
    <w:bookmarkEnd w:id="28"/>
    <w:bookmarkStart w:id="33" w:name="model"/>
    <w:p>
      <w:pPr>
        <w:pStyle w:val="Heading1"/>
      </w:pPr>
      <w:r>
        <w:t xml:space="preserve">3. Model</w:t>
      </w:r>
    </w:p>
    <w:bookmarkStart w:id="29" w:name="players-and-primitives"/>
    <w:p>
      <w:pPr>
        <w:pStyle w:val="Heading2"/>
      </w:pPr>
      <w:r>
        <w:t xml:space="preserve">3.1. Players and Primitives</w:t>
      </w:r>
    </w:p>
    <w:p>
      <w:pPr>
        <w:pStyle w:val="FirstParagraph"/>
      </w:pPr>
      <w:r>
        <w:t xml:space="preserve">A monopoly platform offers a language model through an API. A unit mass of developers can build applications on it. Developer types</w:t>
      </w:r>
      <w:r>
        <w:t xml:space="preserve"> </w:t>
      </w:r>
      <m:oMath>
        <m:r>
          <m:t>θ</m:t>
        </m:r>
        <m:r>
          <m:rPr>
            <m:sty m:val="p"/>
          </m:rPr>
          <m:t>∈</m:t>
        </m:r>
        <m:d>
          <m:dPr>
            <m:begChr m:val="["/>
            <m:sepChr m:val=""/>
            <m:endChr m:val="]"/>
            <m:grow/>
          </m:dPr>
          <m:e>
            <m:r>
              <m:t>0</m:t>
            </m:r>
            <m:r>
              <m:rPr>
                <m:sty m:val="p"/>
              </m:rPr>
              <m:t>,</m:t>
            </m:r>
            <m:r>
              <m:t>1</m:t>
            </m:r>
          </m:e>
        </m:d>
      </m:oMath>
      <w:r>
        <w:t xml:space="preserve"> </w:t>
      </w:r>
      <w:r>
        <w:t xml:space="preserve">are distributed according to a continuous distribution</w:t>
      </w:r>
      <w:r>
        <w:t xml:space="preserve"> </w:t>
      </w:r>
      <m:oMath>
        <m:r>
          <m:t>G</m:t>
        </m:r>
      </m:oMath>
      <w:r>
        <w:t xml:space="preserve"> </w:t>
      </w:r>
      <w:r>
        <w:t xml:space="preserve">with positive density</w:t>
      </w:r>
      <w:r>
        <w:t xml:space="preserve"> </w:t>
      </w:r>
      <m:oMath>
        <m:r>
          <m:t>g</m:t>
        </m:r>
      </m:oMath>
      <w:r>
        <w:t xml:space="preserve">.</w:t>
      </w:r>
    </w:p>
    <w:p>
      <w:pPr>
        <w:pStyle w:val="BodyText"/>
      </w:pPr>
      <w:r>
        <w:rPr>
          <w:bCs/>
          <w:b/>
        </w:rPr>
        <w:t xml:space="preserve">Obsolescence.</w:t>
      </w:r>
      <w:r>
        <w:t xml:space="preserve"> </w:t>
      </w:r>
      <w:r>
        <w:t xml:space="preserve">The value of the model declines as the environment changes. We measure the model’s condition by its</w:t>
      </w:r>
      <w:r>
        <w:t xml:space="preserve"> </w:t>
      </w:r>
      <w:r>
        <w:rPr>
          <w:iCs/>
          <w:i/>
        </w:rPr>
        <w:t xml:space="preserve">shortfall</w:t>
      </w:r>
      <w:r>
        <w:t xml:space="preserve">, the service value lost relative to an up-to-date model. Between updates the shortfall grows linearly at rate</w:t>
      </w:r>
      <w:r>
        <w:t xml:space="preserve"> </w:t>
      </w:r>
      <m:oMath>
        <m:r>
          <m:t>γ</m:t>
        </m:r>
        <m:r>
          <m:rPr>
            <m:sty m:val="p"/>
          </m:rPr>
          <m:t>&gt;</m:t>
        </m:r>
        <m:r>
          <m:t>0</m:t>
        </m:r>
      </m:oMath>
      <w:r>
        <w:t xml:space="preserve">, which is the mean growth of a process in which the environment changes through a stream of discrete events plus slow background drift. An update resets obsolescence to zero. Appendix B illustrates a case consistent with locally linear accumulation.</w:t>
      </w:r>
    </w:p>
    <w:p>
      <w:pPr>
        <w:pStyle w:val="BodyText"/>
      </w:pPr>
      <w:r>
        <w:rPr>
          <w:bCs/>
          <w:b/>
        </w:rPr>
        <w:t xml:space="preserve">Update technology and destruction.</w:t>
      </w:r>
      <w:r>
        <w:t xml:space="preserve"> </w:t>
      </w:r>
      <w:r>
        <w:t xml:space="preserve">Each update costs the platform</w:t>
      </w:r>
      <w:r>
        <w:t xml:space="preserve"> </w:t>
      </w:r>
      <m:oMath>
        <m:r>
          <m:t>K</m:t>
        </m:r>
        <m:d>
          <m:dPr>
            <m:begChr m:val="("/>
            <m:sepChr m:val=""/>
            <m:endChr m:val=")"/>
            <m:grow/>
          </m:dPr>
          <m:e>
            <m:r>
              <m:t>F</m:t>
            </m:r>
          </m:e>
        </m:d>
      </m:oMath>
      <w:r>
        <w:t xml:space="preserve">, where</w:t>
      </w:r>
      <w:r>
        <w:t xml:space="preserve"> </w:t>
      </w:r>
      <m:oMath>
        <m:r>
          <m:t>F</m:t>
        </m:r>
        <m:r>
          <m:rPr>
            <m:sty m:val="p"/>
          </m:rPr>
          <m:t>≥</m:t>
        </m:r>
        <m:r>
          <m:t>0</m:t>
        </m:r>
      </m:oMath>
      <w:r>
        <w:t xml:space="preserve"> </w:t>
      </w:r>
      <w:r>
        <w:t xml:space="preserve">is the capability the update destroys. Destruction is a choice: careful updates that preserve existing behavior (for example, by constraining parameter changes or replaying old data) cost more than updates that let old capabilities erode. Appendix B illustrates that destruction can differ sharply across update technologies. The shortfall right after an update is therefore</w:t>
      </w:r>
      <w:r>
        <w:t xml:space="preserve"> </w:t>
      </w:r>
      <m:oMath>
        <m:r>
          <m:t>F</m:t>
        </m:r>
      </m:oMath>
      <w:r>
        <w:t xml:space="preserve"> </w:t>
      </w:r>
      <w:r>
        <w:t xml:space="preserve">rather than zero.</w:t>
      </w:r>
    </w:p>
    <w:p>
      <w:pPr>
        <w:pStyle w:val="BodyText"/>
      </w:pPr>
      <w:r>
        <w:rPr>
          <w:bCs/>
          <w:b/>
        </w:rPr>
        <w:t xml:space="preserve">Migration.</w:t>
      </w:r>
      <w:r>
        <w:t xml:space="preserve"> </w:t>
      </w:r>
      <w:r>
        <w:t xml:space="preserve">At every update each participating developer pays a migration cost</w:t>
      </w:r>
      <w:r>
        <w:t xml:space="preserve"> </w:t>
      </w:r>
      <m:oMath>
        <m:r>
          <m:t>σ</m:t>
        </m:r>
        <m:d>
          <m:dPr>
            <m:begChr m:val="("/>
            <m:sepChr m:val=""/>
            <m:endChr m:val=")"/>
            <m:grow/>
          </m:dPr>
          <m:e>
            <m:r>
              <m:t>θ</m:t>
            </m:r>
          </m:e>
        </m:d>
        <m:r>
          <m:t>φ</m:t>
        </m:r>
        <m:d>
          <m:dPr>
            <m:begChr m:val="("/>
            <m:sepChr m:val=""/>
            <m:endChr m:val=")"/>
            <m:grow/>
          </m:dPr>
          <m:e>
            <m:r>
              <m:t>F</m:t>
            </m:r>
          </m:e>
        </m:d>
      </m:oMath>
      <w:r>
        <w:t xml:space="preserve"> </w:t>
      </w:r>
      <w:r>
        <w:t xml:space="preserve">to re-validate prompts, evaluations and workflows. The baseline cost</w:t>
      </w:r>
      <w:r>
        <w:t xml:space="preserve"> </w:t>
      </w:r>
      <m:oMath>
        <m:r>
          <m:t>σ</m:t>
        </m:r>
        <m:d>
          <m:dPr>
            <m:begChr m:val="("/>
            <m:sepChr m:val=""/>
            <m:endChr m:val=")"/>
            <m:grow/>
          </m:dPr>
          <m:e>
            <m:r>
              <m:t>θ</m:t>
            </m:r>
          </m:e>
        </m:d>
      </m:oMath>
      <w:r>
        <w:t xml:space="preserve"> </w:t>
      </w:r>
      <w:r>
        <w:t xml:space="preserve">reflects the developer’s integration depth. The multiplier</w:t>
      </w:r>
      <w:r>
        <w:t xml:space="preserve"> </w:t>
      </w:r>
      <m:oMath>
        <m:r>
          <m:t>φ</m:t>
        </m:r>
        <m:d>
          <m:dPr>
            <m:begChr m:val="("/>
            <m:sepChr m:val=""/>
            <m:endChr m:val=")"/>
            <m:grow/>
          </m:dPr>
          <m:e>
            <m:r>
              <m:t>F</m:t>
            </m:r>
          </m:e>
        </m:d>
      </m:oMath>
      <w:r>
        <w:t xml:space="preserve"> </w:t>
      </w:r>
      <w:r>
        <w:t xml:space="preserve">captures that destructive updates break more and so require more re-work.</w:t>
      </w:r>
    </w:p>
    <w:p>
      <w:pPr>
        <w:pStyle w:val="BodyText"/>
      </w:pPr>
      <w:r>
        <w:rPr>
          <w:bCs/>
          <w:b/>
        </w:rPr>
        <w:t xml:space="preserve">Value.</w:t>
      </w:r>
      <w:r>
        <w:t xml:space="preserve"> </w:t>
      </w:r>
      <w:r>
        <w:t xml:space="preserve">A developer of type</w:t>
      </w:r>
      <w:r>
        <w:t xml:space="preserve"> </w:t>
      </w:r>
      <m:oMath>
        <m:r>
          <m:t>θ</m:t>
        </m:r>
      </m:oMath>
      <w:r>
        <w:t xml:space="preserve"> </w:t>
      </w:r>
      <w:r>
        <w:t xml:space="preserve">obtains gross value</w:t>
      </w:r>
      <w:r>
        <w:t xml:space="preserve"> </w:t>
      </w:r>
      <m:oMath>
        <m:r>
          <m:t>v</m:t>
        </m:r>
        <m:d>
          <m:dPr>
            <m:begChr m:val="("/>
            <m:sepChr m:val=""/>
            <m:endChr m:val=")"/>
            <m:grow/>
          </m:dPr>
          <m:e>
            <m:r>
              <m:t>θ</m:t>
            </m:r>
          </m:e>
        </m:d>
      </m:oMath>
      <w:r>
        <w:t xml:space="preserve"> </w:t>
      </w:r>
      <w:r>
        <w:t xml:space="preserve">per unit time from an up-to-date model and loses</w:t>
      </w:r>
      <w:r>
        <w:t xml:space="preserve"> </w:t>
      </w:r>
      <m:oMath>
        <m:r>
          <m:t>a</m:t>
        </m:r>
      </m:oMath>
      <w:r>
        <w:t xml:space="preserve"> </w:t>
      </w:r>
      <w:r>
        <w:t xml:space="preserve">per unit of shortfall.</w:t>
      </w:r>
    </w:p>
    <w:p>
      <w:pPr>
        <w:pStyle w:val="BodyText"/>
      </w:pPr>
      <w:r>
        <w:rPr>
          <w:bCs/>
          <w:b/>
        </w:rPr>
        <w:t xml:space="preserve">Assumption 1 (Regularity).</w:t>
      </w:r>
      <w:r>
        <w:t xml:space="preserve"> </w:t>
      </w:r>
      <w:r>
        <w:t xml:space="preserve">(i)</w:t>
      </w:r>
      <w:r>
        <w:t xml:space="preserve"> </w:t>
      </w:r>
      <m:oMath>
        <m:r>
          <m:t>v</m:t>
        </m:r>
      </m:oMath>
      <w:r>
        <w:t xml:space="preserve"> </w:t>
      </w:r>
      <w:r>
        <w:t xml:space="preserve">is continuously differentiable and increasing. (ii)</w:t>
      </w:r>
      <w:r>
        <w:t xml:space="preserve"> </w:t>
      </w:r>
      <m:oMath>
        <m:r>
          <m:t>K</m:t>
        </m:r>
      </m:oMath>
      <w:r>
        <w:t xml:space="preserve"> </w:t>
      </w:r>
      <w:r>
        <w:t xml:space="preserve">is positive, decreasing and strictly convex. (iii)</w:t>
      </w:r>
      <w:r>
        <w:t xml:space="preserve"> </w:t>
      </w:r>
      <m:oMath>
        <m:r>
          <m:t>φ</m:t>
        </m:r>
      </m:oMath>
      <w:r>
        <w:t xml:space="preserve"> </w:t>
      </w:r>
      <w:r>
        <w:t xml:space="preserve">is increasing and convex with</w:t>
      </w:r>
      <w:r>
        <w:t xml:space="preserve"> </w:t>
      </w:r>
      <m:oMath>
        <m:r>
          <m:t>φ</m:t>
        </m:r>
        <m:d>
          <m:dPr>
            <m:begChr m:val="("/>
            <m:sepChr m:val=""/>
            <m:endChr m:val=")"/>
            <m:grow/>
          </m:dPr>
          <m:e>
            <m:r>
              <m:t>0</m:t>
            </m:r>
          </m:e>
        </m:d>
        <m:r>
          <m:rPr>
            <m:sty m:val="p"/>
          </m:rPr>
          <m:t>=</m:t>
        </m:r>
        <m:r>
          <m:t>1</m:t>
        </m:r>
      </m:oMath>
      <w:r>
        <w:t xml:space="preserve">. (iv)</w:t>
      </w:r>
      <w:r>
        <w:t xml:space="preserve"> </w:t>
      </w:r>
      <m:oMath>
        <m:r>
          <m:t>σ</m:t>
        </m:r>
      </m:oMath>
      <w:r>
        <w:t xml:space="preserve"> </w:t>
      </w:r>
      <w:r>
        <w:t xml:space="preserve">is positive and continuously differentiable.</w:t>
      </w:r>
    </w:p>
    <w:p>
      <w:pPr>
        <w:pStyle w:val="BodyText"/>
      </w:pPr>
      <w:r>
        <w:t xml:space="preserve">Assumption 1(iii) implies that migration is costly even without destruction: an updated model behaves differently and must be re-validated. This distinguishes model updates from conventional patches.</w:t>
      </w:r>
    </w:p>
    <w:bookmarkEnd w:id="29"/>
    <w:bookmarkStart w:id="30" w:name="timing"/>
    <w:p>
      <w:pPr>
        <w:pStyle w:val="Heading2"/>
      </w:pPr>
      <w:r>
        <w:t xml:space="preserve">3.2. Timing</w:t>
      </w:r>
    </w:p>
    <w:p>
      <w:pPr>
        <w:pStyle w:val="Compact"/>
        <w:numPr>
          <w:ilvl w:val="0"/>
          <w:numId w:val="1002"/>
        </w:numPr>
      </w:pPr>
      <w:r>
        <w:t xml:space="preserve">The platform announces and commits to an update interval</w:t>
      </w:r>
      <w:r>
        <w:t xml:space="preserve"> </w:t>
      </w:r>
      <m:oMath>
        <m:r>
          <m:t>t</m:t>
        </m:r>
      </m:oMath>
      <w:r>
        <w:t xml:space="preserve">, a destruction level</w:t>
      </w:r>
      <w:r>
        <w:t xml:space="preserve"> </w:t>
      </w:r>
      <m:oMath>
        <m:r>
          <m:t>F</m:t>
        </m:r>
      </m:oMath>
      <w:r>
        <w:t xml:space="preserve">, an API price</w:t>
      </w:r>
      <w:r>
        <w:t xml:space="preserve"> </w:t>
      </w:r>
      <m:oMath>
        <m:r>
          <m:t>p</m:t>
        </m:r>
      </m:oMath>
      <w:r>
        <w:t xml:space="preserve"> </w:t>
      </w:r>
      <w:r>
        <w:t xml:space="preserve">per unit time and a pinning window</w:t>
      </w:r>
      <w:r>
        <w:t xml:space="preserve"> </w:t>
      </w:r>
      <m:oMath>
        <m:r>
          <m:t>L</m:t>
        </m:r>
        <m:r>
          <m:rPr>
            <m:sty m:val="p"/>
          </m:rPr>
          <m:t>≥</m:t>
        </m:r>
        <m:r>
          <m:t>0</m:t>
        </m:r>
      </m:oMath>
      <w:r>
        <w:t xml:space="preserve"> </w:t>
      </w:r>
      <w:r>
        <w:t xml:space="preserve">(set to zero until Section 6).</w:t>
      </w:r>
    </w:p>
    <w:p>
      <w:pPr>
        <w:pStyle w:val="Compact"/>
        <w:numPr>
          <w:ilvl w:val="0"/>
          <w:numId w:val="1002"/>
        </w:numPr>
      </w:pPr>
      <w:r>
        <w:t xml:space="preserve">Developers observe</w:t>
      </w:r>
      <w:r>
        <w:t xml:space="preserve"> </w:t>
      </w:r>
      <m:oMath>
        <m:d>
          <m:dPr>
            <m:begChr m:val="("/>
            <m:sepChr m:val=""/>
            <m:endChr m:val=")"/>
            <m:grow/>
          </m:dPr>
          <m:e>
            <m:r>
              <m:t>t</m:t>
            </m:r>
            <m:r>
              <m:rPr>
                <m:sty m:val="p"/>
              </m:rPr>
              <m:t>,</m:t>
            </m:r>
            <m:r>
              <m:t>F</m:t>
            </m:r>
            <m:r>
              <m:rPr>
                <m:sty m:val="p"/>
              </m:rPr>
              <m:t>,</m:t>
            </m:r>
            <m:r>
              <m:t>p</m:t>
            </m:r>
            <m:r>
              <m:rPr>
                <m:sty m:val="p"/>
              </m:rPr>
              <m:t>,</m:t>
            </m:r>
            <m:r>
              <m:t>L</m:t>
            </m:r>
          </m:e>
        </m:d>
      </m:oMath>
      <w:r>
        <w:t xml:space="preserve"> </w:t>
      </w:r>
      <w:r>
        <w:t xml:space="preserve">and decide whether to join.</w:t>
      </w:r>
    </w:p>
    <w:p>
      <w:pPr>
        <w:pStyle w:val="Compact"/>
        <w:numPr>
          <w:ilvl w:val="0"/>
          <w:numId w:val="1002"/>
        </w:numPr>
      </w:pPr>
      <w:r>
        <w:t xml:space="preserve">The system operates in steady state: the platform updates every</w:t>
      </w:r>
      <w:r>
        <w:t xml:space="preserve"> </w:t>
      </w:r>
      <m:oMath>
        <m:r>
          <m:t>t</m:t>
        </m:r>
      </m:oMath>
      <w:r>
        <w:t xml:space="preserve">, and participating developers migrate. Payoffs are long-run average rates.</w:t>
      </w:r>
    </w:p>
    <w:p>
      <w:pPr>
        <w:pStyle w:val="FirstParagraph"/>
      </w:pPr>
      <w:r>
        <w:rPr>
          <w:b w:val="0"/>
        </w:rPr>
        <w:t>Commitment reflects the practice of publishing release schedules and deprecation policies. It is also load-bearing. Integration depth is chosen before the cadence is experienced, and it is a platform-specific investment. If the platform cannot commit, it ignores those investments once they are sunk and updates as if migration costs were not yet incurred, which strengthens the hold-up in Proposition 6. A published deprecation window is then not only a convenience for developers. It is a commitment device: it binds the platform to a migration opportunity set after integration has been chosen. Section 7.3 and Section 10.1 return to this point. We maintain commitment in the baseline so that the distortion we isolate is the marginal-versus-average wedge, not a pure inability to promise.</w:t>
      </w:r>
    </w:p>
    <w:bookmarkEnd w:id="30"/>
    <w:bookmarkStart w:id="31" w:name="payoffs"/>
    <w:p>
      <w:pPr>
        <w:pStyle w:val="Heading2"/>
      </w:pPr>
      <w:r>
        <w:t xml:space="preserve">3.3. Payoffs</w:t>
      </w:r>
    </w:p>
    <w:p>
      <w:pPr>
        <w:pStyle w:val="FirstParagraph"/>
      </w:pPr>
      <w:r>
        <w:t xml:space="preserve">Over an update cycle the shortfall rises from</w:t>
      </w:r>
      <w:r>
        <w:t xml:space="preserve"> </w:t>
      </w:r>
      <m:oMath>
        <m:r>
          <m:t>F</m:t>
        </m:r>
      </m:oMath>
      <w:r>
        <w:t xml:space="preserve"> </w:t>
      </w:r>
      <w:r>
        <w:t xml:space="preserve">to</w:t>
      </w:r>
      <w:r>
        <w:t xml:space="preserve"> </w:t>
      </w:r>
      <m:oMath>
        <m:r>
          <m:t>F</m:t>
        </m:r>
        <m:r>
          <m:rPr>
            <m:sty m:val="p"/>
          </m:rPr>
          <m:t>+</m:t>
        </m:r>
        <m:r>
          <m:t>γ</m:t>
        </m:r>
        <m:r>
          <m:t>t</m:t>
        </m:r>
      </m:oMath>
      <w:r>
        <w:t xml:space="preserve">, so its time average is</w:t>
      </w:r>
    </w:p>
    <w:p>
      <w:pPr>
        <w:pStyle w:val="BodyText"/>
      </w:pPr>
      <m:oMathPara>
        <m:oMathParaPr>
          <m:jc m:val="center"/>
        </m:oMathParaPr>
        <m:oMath>
          <m:acc>
            <m:accPr>
              <m:chr m:val="‾"/>
            </m:accPr>
            <m:e>
              <m:r>
                <m:t>D</m:t>
              </m:r>
            </m:e>
          </m:acc>
          <m:d>
            <m:dPr>
              <m:begChr m:val="("/>
              <m:sepChr m:val=""/>
              <m:endChr m:val=")"/>
              <m:grow/>
            </m:dPr>
            <m:e>
              <m:r>
                <m:t>t</m:t>
              </m:r>
              <m:r>
                <m:rPr>
                  <m:sty m:val="p"/>
                </m:rPr>
                <m:t>,</m:t>
              </m:r>
              <m:r>
                <m:t>F</m:t>
              </m:r>
            </m:e>
          </m:d>
          <m:r>
            <m:rPr>
              <m:sty m:val="p"/>
            </m:rPr>
            <m:t>=</m:t>
          </m:r>
          <m:r>
            <m:t>F</m:t>
          </m:r>
          <m:r>
            <m:rPr>
              <m:sty m:val="p"/>
            </m:rPr>
            <m:t>+</m:t>
          </m:r>
          <m:f>
            <m:fPr>
              <m:type m:val="bar"/>
            </m:fPr>
            <m:num>
              <m:r>
                <m:t>γ</m:t>
              </m:r>
              <m:r>
                <m:t>t</m:t>
              </m:r>
            </m:num>
            <m:den>
              <m:r>
                <m:t>2</m:t>
              </m:r>
            </m:den>
          </m:f>
          <m:r>
            <m:rPr>
              <m:sty m:val="p"/>
            </m:rPr>
            <m:t>.</m:t>
          </m:r>
        </m:oMath>
      </m:oMathPara>
    </w:p>
    <w:p>
      <w:pPr>
        <w:pStyle w:val="FirstParagraph"/>
      </w:pPr>
      <w:r>
        <w:t xml:space="preserve">Without pinning, every participant migrates at every update. A developer of type</w:t>
      </w:r>
      <w:r>
        <w:t xml:space="preserve"> </w:t>
      </w:r>
      <m:oMath>
        <m:r>
          <m:t>θ</m:t>
        </m:r>
      </m:oMath>
      <w:r>
        <w:t xml:space="preserve"> </w:t>
      </w:r>
      <w:r>
        <w:t xml:space="preserve">who joins earns the average rate</w:t>
      </w:r>
    </w:p>
    <w:p>
      <w:pPr>
        <w:pStyle w:val="BodyText"/>
      </w:pPr>
      <m:oMathPara>
        <m:oMathParaPr>
          <m:jc m:val="center"/>
        </m:oMathParaPr>
        <m:oMath>
          <m:r>
            <m:t>u</m:t>
          </m:r>
          <m:d>
            <m:dPr>
              <m:begChr m:val="("/>
              <m:sepChr m:val=""/>
              <m:endChr m:val=")"/>
              <m:grow/>
            </m:dPr>
            <m:e>
              <m:r>
                <m:t>θ</m:t>
              </m:r>
            </m:e>
          </m:d>
          <m:r>
            <m:rPr>
              <m:sty m:val="p"/>
            </m:rPr>
            <m:t>=</m:t>
          </m:r>
          <m:r>
            <m:t>v</m:t>
          </m:r>
          <m:d>
            <m:dPr>
              <m:begChr m:val="("/>
              <m:sepChr m:val=""/>
              <m:endChr m:val=")"/>
              <m:grow/>
            </m:dPr>
            <m:e>
              <m:r>
                <m:t>θ</m:t>
              </m:r>
            </m:e>
          </m:d>
          <m:r>
            <m:rPr>
              <m:sty m:val="p"/>
            </m:rPr>
            <m:t>−</m:t>
          </m:r>
          <m:r>
            <m:t>a</m:t>
          </m:r>
          <m:r>
            <m:t> </m:t>
          </m:r>
          <m:acc>
            <m:accPr>
              <m:chr m:val="‾"/>
            </m:accPr>
            <m:e>
              <m:r>
                <m:t>D</m:t>
              </m:r>
            </m:e>
          </m:acc>
          <m:d>
            <m:dPr>
              <m:begChr m:val="("/>
              <m:sepChr m:val=""/>
              <m:endChr m:val=")"/>
              <m:grow/>
            </m:dPr>
            <m:e>
              <m:r>
                <m:t>t</m:t>
              </m:r>
              <m:r>
                <m:rPr>
                  <m:sty m:val="p"/>
                </m:rPr>
                <m:t>,</m:t>
              </m:r>
              <m:r>
                <m:t>F</m:t>
              </m:r>
            </m:e>
          </m:d>
          <m:r>
            <m:rPr>
              <m:sty m:val="p"/>
            </m:rPr>
            <m:t>−</m:t>
          </m:r>
          <m:f>
            <m:fPr>
              <m:type m:val="bar"/>
            </m:fPr>
            <m:num>
              <m:r>
                <m:t>σ</m:t>
              </m:r>
              <m:d>
                <m:dPr>
                  <m:begChr m:val="("/>
                  <m:sepChr m:val=""/>
                  <m:endChr m:val=")"/>
                  <m:grow/>
                </m:dPr>
                <m:e>
                  <m:r>
                    <m:t>θ</m:t>
                  </m:r>
                </m:e>
              </m:d>
              <m:r>
                <m:t> </m:t>
              </m:r>
              <m:r>
                <m:t>φ</m:t>
              </m:r>
              <m:d>
                <m:dPr>
                  <m:begChr m:val="("/>
                  <m:sepChr m:val=""/>
                  <m:endChr m:val=")"/>
                  <m:grow/>
                </m:dPr>
                <m:e>
                  <m:r>
                    <m:t>F</m:t>
                  </m:r>
                </m:e>
              </m:d>
            </m:num>
            <m:den>
              <m:r>
                <m:t>t</m:t>
              </m:r>
            </m:den>
          </m:f>
          <m:r>
            <m:rPr>
              <m:sty m:val="p"/>
            </m:rPr>
            <m:t>−</m:t>
          </m:r>
          <m:r>
            <m:t>p</m:t>
          </m:r>
          <m:r>
            <m:rPr>
              <m:sty m:val="p"/>
            </m:rPr>
            <m:t>.</m:t>
          </m:r>
          <m:r>
            <m:t>  </m:t>
          </m:r>
          <m:d>
            <m:dPr>
              <m:begChr m:val="("/>
              <m:sepChr m:val=""/>
              <m:endChr m:val=")"/>
              <m:grow/>
            </m:dPr>
            <m:e>
              <m:r>
                <m:t>1</m:t>
              </m:r>
            </m:e>
          </m:d>
        </m:oMath>
      </m:oMathPara>
    </w:p>
    <w:p>
      <w:pPr>
        <w:pStyle w:val="FirstParagraph"/>
      </w:pPr>
      <w:r>
        <w:t xml:space="preserve">We assume single crossing,</w:t>
      </w:r>
      <w:r>
        <w:t xml:space="preserve"> </w:t>
      </w:r>
      <m:oMath>
        <m:r>
          <m:t>v</m:t>
        </m:r>
        <m:r>
          <m:rPr>
            <m:sty m:val="p"/>
          </m:rPr>
          <m:t>′</m:t>
        </m:r>
        <m:d>
          <m:dPr>
            <m:begChr m:val="("/>
            <m:sepChr m:val=""/>
            <m:endChr m:val=")"/>
            <m:grow/>
          </m:dPr>
          <m:e>
            <m:r>
              <m:t>θ</m:t>
            </m:r>
          </m:e>
        </m:d>
        <m:r>
          <m:rPr>
            <m:sty m:val="p"/>
          </m:rPr>
          <m:t>&gt;</m:t>
        </m:r>
        <m:r>
          <m:t>σ</m:t>
        </m:r>
        <m:r>
          <m:rPr>
            <m:sty m:val="p"/>
          </m:rPr>
          <m:t>′</m:t>
        </m:r>
        <m:d>
          <m:dPr>
            <m:begChr m:val="("/>
            <m:sepChr m:val=""/>
            <m:endChr m:val=")"/>
            <m:grow/>
          </m:dPr>
          <m:e>
            <m:r>
              <m:t>θ</m:t>
            </m:r>
          </m:e>
        </m:d>
        <m:r>
          <m:t>φ</m:t>
        </m:r>
        <m:d>
          <m:dPr>
            <m:begChr m:val="("/>
            <m:sepChr m:val=""/>
            <m:endChr m:val=")"/>
            <m:grow/>
          </m:dPr>
          <m:e>
            <m:r>
              <m:t>F</m:t>
            </m:r>
          </m:e>
        </m:d>
        <m:r>
          <m:rPr>
            <m:sty m:val="p"/>
          </m:rPr>
          <m:t>/</m:t>
        </m:r>
        <m:r>
          <m:t>t</m:t>
        </m:r>
      </m:oMath>
      <w:r>
        <w:t xml:space="preserve">, so that</w:t>
      </w:r>
      <w:r>
        <w:t xml:space="preserve"> </w:t>
      </w:r>
      <m:oMath>
        <m:r>
          <m:t>u</m:t>
        </m:r>
      </m:oMath>
      <w:r>
        <w:t xml:space="preserve"> </w:t>
      </w:r>
      <w:r>
        <w:t xml:space="preserve">increases in</w:t>
      </w:r>
      <w:r>
        <w:t xml:space="preserve"> </w:t>
      </w:r>
      <m:oMath>
        <m:r>
          <m:t>θ</m:t>
        </m:r>
      </m:oMath>
      <w:r>
        <w:t xml:space="preserve"> </w:t>
      </w:r>
      <w:r>
        <w:t xml:space="preserve">and participation has a cutoff form: types</w:t>
      </w:r>
      <w:r>
        <w:t xml:space="preserve"> </w:t>
      </w:r>
      <m:oMath>
        <m:r>
          <m:t>θ</m:t>
        </m:r>
        <m:r>
          <m:rPr>
            <m:sty m:val="p"/>
          </m:rPr>
          <m:t>≥</m:t>
        </m:r>
        <m:sSup>
          <m:e>
            <m:r>
              <m:t>θ</m:t>
            </m:r>
          </m:e>
          <m:sup>
            <m:r>
              <m:rPr>
                <m:sty m:val="p"/>
              </m:rPr>
              <m:t>*</m:t>
            </m:r>
          </m:sup>
        </m:sSup>
      </m:oMath>
      <w:r>
        <w:t xml:space="preserve"> </w:t>
      </w:r>
      <w:r>
        <w:t xml:space="preserve">join. Participation is</w:t>
      </w:r>
      <w:r>
        <w:t xml:space="preserve"> </w:t>
      </w:r>
      <m:oMath>
        <m:r>
          <m:t>Q</m:t>
        </m:r>
        <m:r>
          <m:rPr>
            <m:sty m:val="p"/>
          </m:rPr>
          <m:t>=</m:t>
        </m:r>
        <m:r>
          <m:t>1</m:t>
        </m:r>
        <m:r>
          <m:rPr>
            <m:sty m:val="p"/>
          </m:rPr>
          <m:t>−</m:t>
        </m:r>
        <m:r>
          <m:t>G</m:t>
        </m:r>
        <m:d>
          <m:dPr>
            <m:begChr m:val="("/>
            <m:sepChr m:val=""/>
            <m:endChr m:val=")"/>
            <m:grow/>
          </m:dPr>
          <m:e>
            <m:sSup>
              <m:e>
                <m:r>
                  <m:t>θ</m:t>
                </m:r>
              </m:e>
              <m:sup>
                <m:r>
                  <m:rPr>
                    <m:sty m:val="p"/>
                  </m:rPr>
                  <m:t>*</m:t>
                </m:r>
              </m:sup>
            </m:sSup>
          </m:e>
        </m:d>
      </m:oMath>
      <w:r>
        <w:t xml:space="preserve">. Define the marginal and average migration costs among participants,</w:t>
      </w:r>
    </w:p>
    <w:p>
      <w:pPr>
        <w:pStyle w:val="BodyText"/>
      </w:pPr>
      <m:oMathPara>
        <m:oMathParaPr>
          <m:jc m:val="center"/>
        </m:oMathParaPr>
        <m:oMath>
          <m:sSub>
            <m:e>
              <m:r>
                <m:t>σ</m:t>
              </m:r>
            </m:e>
            <m:sub>
              <m:r>
                <m:t>m</m:t>
              </m:r>
            </m:sub>
          </m:sSub>
          <m:r>
            <m:rPr>
              <m:sty m:val="p"/>
            </m:rPr>
            <m:t>≡</m:t>
          </m:r>
          <m:r>
            <m:t>σ</m:t>
          </m:r>
          <m:d>
            <m:dPr>
              <m:begChr m:val="("/>
              <m:sepChr m:val=""/>
              <m:endChr m:val=")"/>
              <m:grow/>
            </m:dPr>
            <m:e>
              <m:sSup>
                <m:e>
                  <m:r>
                    <m:t>θ</m:t>
                  </m:r>
                </m:e>
                <m:sup>
                  <m:r>
                    <m:rPr>
                      <m:sty m:val="p"/>
                    </m:rPr>
                    <m:t>*</m:t>
                  </m:r>
                </m:sup>
              </m:sSup>
            </m:e>
          </m:d>
          <m:r>
            <m:rPr>
              <m:sty m:val="p"/>
            </m:rPr>
            <m:t>,</m:t>
          </m:r>
          <m:r>
            <m:t>  </m:t>
          </m:r>
          <m:acc>
            <m:accPr>
              <m:chr m:val="‾"/>
            </m:accPr>
            <m:e>
              <m:r>
                <m:t>σ</m:t>
              </m:r>
            </m:e>
          </m:acc>
          <m:r>
            <m:rPr>
              <m:sty m:val="p"/>
            </m:rPr>
            <m:t>≡</m:t>
          </m:r>
          <m:r>
            <m:rPr>
              <m:scr m:val="double-struck"/>
              <m:sty m:val="p"/>
            </m:rPr>
            <m:t>E</m:t>
          </m:r>
          <m:d>
            <m:dPr>
              <m:begChr m:val="["/>
              <m:sepChr m:val=""/>
              <m:endChr m:val="]"/>
              <m:grow/>
            </m:dPr>
            <m:e>
              <m:r>
                <m:t>σ</m:t>
              </m:r>
              <m:d>
                <m:dPr>
                  <m:begChr m:val="("/>
                  <m:sepChr m:val=""/>
                  <m:endChr m:val=")"/>
                  <m:grow/>
                </m:dPr>
                <m:e>
                  <m:r>
                    <m:t>θ</m:t>
                  </m:r>
                </m:e>
              </m:d>
              <m:r>
                <m:rPr>
                  <m:sty m:val="p"/>
                </m:rPr>
                <m:t>∣</m:t>
              </m:r>
              <m:r>
                <m:t>θ</m:t>
              </m:r>
              <m:r>
                <m:rPr>
                  <m:sty m:val="p"/>
                </m:rPr>
                <m:t>≥</m:t>
              </m:r>
              <m:sSup>
                <m:e>
                  <m:r>
                    <m:t>θ</m:t>
                  </m:r>
                </m:e>
                <m:sup>
                  <m:r>
                    <m:rPr>
                      <m:sty m:val="p"/>
                    </m:rPr>
                    <m:t>*</m:t>
                  </m:r>
                </m:sup>
              </m:sSup>
            </m:e>
          </m:d>
          <m:r>
            <m:rPr>
              <m:sty m:val="p"/>
            </m:rPr>
            <m:t>.</m:t>
          </m:r>
          <m:r>
            <m:t>  </m:t>
          </m:r>
          <m:d>
            <m:dPr>
              <m:begChr m:val="("/>
              <m:sepChr m:val=""/>
              <m:endChr m:val=")"/>
              <m:grow/>
            </m:dPr>
            <m:e>
              <m:r>
                <m:t>2</m:t>
              </m:r>
            </m:e>
          </m:d>
        </m:oMath>
      </m:oMathPara>
    </w:p>
    <w:p>
      <w:pPr>
        <w:pStyle w:val="FirstParagraph"/>
      </w:pPr>
      <w:r>
        <w:t xml:space="preserve">The platform sets the price that leaves the marginal developer indifferent. Treating</w:t>
      </w:r>
      <w:r>
        <w:t xml:space="preserve"> </w:t>
      </w:r>
      <m:oMath>
        <m:sSup>
          <m:e>
            <m:r>
              <m:t>θ</m:t>
            </m:r>
          </m:e>
          <m:sup>
            <m:r>
              <m:rPr>
                <m:sty m:val="p"/>
              </m:rPr>
              <m:t>*</m:t>
            </m:r>
          </m:sup>
        </m:sSup>
      </m:oMath>
      <w:r>
        <w:t xml:space="preserve"> </w:t>
      </w:r>
      <w:r>
        <w:t xml:space="preserve">as its choice variable, its profit rate is</w:t>
      </w:r>
    </w:p>
    <w:p>
      <w:pPr>
        <w:pStyle w:val="BodyText"/>
      </w:pPr>
      <m:oMathPara>
        <m:oMathParaPr>
          <m:jc m:val="center"/>
        </m:oMathParaPr>
        <m:oMath>
          <m:r>
            <m:t>Π</m:t>
          </m:r>
          <m:d>
            <m:dPr>
              <m:begChr m:val="("/>
              <m:sepChr m:val=""/>
              <m:endChr m:val=")"/>
              <m:grow/>
            </m:dPr>
            <m:e>
              <m:sSup>
                <m:e>
                  <m:r>
                    <m:t>θ</m:t>
                  </m:r>
                </m:e>
                <m:sup>
                  <m:r>
                    <m:rPr>
                      <m:sty m:val="p"/>
                    </m:rPr>
                    <m:t>*</m:t>
                  </m:r>
                </m:sup>
              </m:sSup>
              <m:r>
                <m:rPr>
                  <m:sty m:val="p"/>
                </m:rPr>
                <m:t>,</m:t>
              </m:r>
              <m:r>
                <m:t>t</m:t>
              </m:r>
              <m:r>
                <m:rPr>
                  <m:sty m:val="p"/>
                </m:rPr>
                <m:t>,</m:t>
              </m:r>
              <m:r>
                <m:t>F</m:t>
              </m:r>
            </m:e>
          </m:d>
          <m:r>
            <m:rPr>
              <m:sty m:val="p"/>
            </m:rPr>
            <m:t>=</m:t>
          </m:r>
          <m:r>
            <m:t>Q</m:t>
          </m:r>
          <m:d>
            <m:dPr>
              <m:begChr m:val="["/>
              <m:sepChr m:val=""/>
              <m:endChr m:val="]"/>
              <m:grow/>
            </m:dPr>
            <m:e>
              <m:r>
                <m:t>v</m:t>
              </m:r>
              <m:d>
                <m:dPr>
                  <m:begChr m:val="("/>
                  <m:sepChr m:val=""/>
                  <m:endChr m:val=")"/>
                  <m:grow/>
                </m:dPr>
                <m:e>
                  <m:sSup>
                    <m:e>
                      <m:r>
                        <m:t>θ</m:t>
                      </m:r>
                    </m:e>
                    <m:sup>
                      <m:r>
                        <m:rPr>
                          <m:sty m:val="p"/>
                        </m:rPr>
                        <m:t>*</m:t>
                      </m:r>
                    </m:sup>
                  </m:sSup>
                </m:e>
              </m:d>
              <m:r>
                <m:rPr>
                  <m:sty m:val="p"/>
                </m:rPr>
                <m:t>−</m:t>
              </m:r>
              <m:r>
                <m:t>a</m:t>
              </m:r>
              <m:acc>
                <m:accPr>
                  <m:chr m:val="‾"/>
                </m:accPr>
                <m:e>
                  <m:r>
                    <m:t>D</m:t>
                  </m:r>
                </m:e>
              </m:acc>
              <m:d>
                <m:dPr>
                  <m:begChr m:val="("/>
                  <m:sepChr m:val=""/>
                  <m:endChr m:val=")"/>
                  <m:grow/>
                </m:dPr>
                <m:e>
                  <m:r>
                    <m:t>t</m:t>
                  </m:r>
                  <m:r>
                    <m:rPr>
                      <m:sty m:val="p"/>
                    </m:rPr>
                    <m:t>,</m:t>
                  </m:r>
                  <m:r>
                    <m:t>F</m:t>
                  </m:r>
                </m:e>
              </m:d>
              <m:r>
                <m:rPr>
                  <m:sty m:val="p"/>
                </m:rPr>
                <m:t>−</m:t>
              </m:r>
              <m:f>
                <m:fPr>
                  <m:type m:val="bar"/>
                </m:fPr>
                <m:num>
                  <m:sSub>
                    <m:e>
                      <m:r>
                        <m:t>σ</m:t>
                      </m:r>
                    </m:e>
                    <m:sub>
                      <m:r>
                        <m:t>m</m:t>
                      </m:r>
                    </m:sub>
                  </m:sSub>
                  <m:r>
                    <m:t> </m:t>
                  </m:r>
                  <m:r>
                    <m:t>φ</m:t>
                  </m:r>
                  <m:d>
                    <m:dPr>
                      <m:begChr m:val="("/>
                      <m:sepChr m:val=""/>
                      <m:endChr m:val=")"/>
                      <m:grow/>
                    </m:dPr>
                    <m:e>
                      <m:r>
                        <m:t>F</m:t>
                      </m:r>
                    </m:e>
                  </m:d>
                </m:num>
                <m:den>
                  <m:r>
                    <m:t>t</m:t>
                  </m:r>
                </m:den>
              </m:f>
            </m:e>
          </m:d>
          <m:r>
            <m:rPr>
              <m:sty m:val="p"/>
            </m:rPr>
            <m:t>−</m:t>
          </m:r>
          <m:f>
            <m:fPr>
              <m:type m:val="bar"/>
            </m:fPr>
            <m:num>
              <m:r>
                <m:t>K</m:t>
              </m:r>
              <m:d>
                <m:dPr>
                  <m:begChr m:val="("/>
                  <m:sepChr m:val=""/>
                  <m:endChr m:val=")"/>
                  <m:grow/>
                </m:dPr>
                <m:e>
                  <m:r>
                    <m:t>F</m:t>
                  </m:r>
                </m:e>
              </m:d>
            </m:num>
            <m:den>
              <m:r>
                <m:t>t</m:t>
              </m:r>
            </m:den>
          </m:f>
          <m:r>
            <m:rPr>
              <m:sty m:val="p"/>
            </m:rPr>
            <m:t>.</m:t>
          </m:r>
          <m:r>
            <m:t>  </m:t>
          </m:r>
          <m:d>
            <m:dPr>
              <m:begChr m:val="("/>
              <m:sepChr m:val=""/>
              <m:endChr m:val=")"/>
              <m:grow/>
            </m:dPr>
            <m:e>
              <m:r>
                <m:t>3</m:t>
              </m:r>
            </m:e>
          </m:d>
        </m:oMath>
      </m:oMathPara>
    </w:p>
    <w:p>
      <w:pPr>
        <w:pStyle w:val="FirstParagraph"/>
      </w:pPr>
      <w:r>
        <w:t xml:space="preserve">The marginal cost of serving queries is normalized to zero. Welfare is the sum of developer surplus and profit:</w:t>
      </w:r>
    </w:p>
    <w:p>
      <w:pPr>
        <w:pStyle w:val="BodyText"/>
      </w:pPr>
      <m:oMathPara>
        <m:oMathParaPr>
          <m:jc m:val="center"/>
        </m:oMathParaPr>
        <m:oMath>
          <m:r>
            <m:t>W</m:t>
          </m:r>
          <m:d>
            <m:dPr>
              <m:begChr m:val="("/>
              <m:sepChr m:val=""/>
              <m:endChr m:val=")"/>
              <m:grow/>
            </m:dPr>
            <m:e>
              <m:sSup>
                <m:e>
                  <m:r>
                    <m:t>θ</m:t>
                  </m:r>
                </m:e>
                <m:sup>
                  <m:r>
                    <m:rPr>
                      <m:sty m:val="p"/>
                    </m:rPr>
                    <m:t>*</m:t>
                  </m:r>
                </m:sup>
              </m:sSup>
              <m:r>
                <m:rPr>
                  <m:sty m:val="p"/>
                </m:rPr>
                <m:t>,</m:t>
              </m:r>
              <m:r>
                <m:t>t</m:t>
              </m:r>
              <m:r>
                <m:rPr>
                  <m:sty m:val="p"/>
                </m:rPr>
                <m:t>,</m:t>
              </m:r>
              <m:r>
                <m:t>F</m:t>
              </m:r>
            </m:e>
          </m:d>
          <m:r>
            <m:rPr>
              <m:sty m:val="p"/>
            </m:rPr>
            <m:t>=</m:t>
          </m:r>
          <m:nary>
            <m:naryPr>
              <m:chr m:val="∫"/>
              <m:limLoc m:val="subSup"/>
              <m:subHide m:val="off"/>
              <m:supHide m:val="off"/>
            </m:naryPr>
            <m:sub>
              <m:sSup>
                <m:e>
                  <m:r>
                    <m:t>θ</m:t>
                  </m:r>
                </m:e>
                <m:sup>
                  <m:r>
                    <m:rPr>
                      <m:sty m:val="p"/>
                    </m:rPr>
                    <m:t>*</m:t>
                  </m:r>
                </m:sup>
              </m:sSup>
            </m:sub>
            <m:sup>
              <m:r>
                <m:t>1</m:t>
              </m:r>
            </m:sup>
            <m:e>
              <m:d>
                <m:dPr>
                  <m:begChr m:val="["/>
                  <m:sepChr m:val=""/>
                  <m:endChr m:val="]"/>
                  <m:grow/>
                </m:dPr>
                <m:e>
                  <m:r>
                    <m:t>v</m:t>
                  </m:r>
                  <m:d>
                    <m:dPr>
                      <m:begChr m:val="("/>
                      <m:sepChr m:val=""/>
                      <m:endChr m:val=")"/>
                      <m:grow/>
                    </m:dPr>
                    <m:e>
                      <m:r>
                        <m:t>θ</m:t>
                      </m:r>
                    </m:e>
                  </m:d>
                  <m:r>
                    <m:rPr>
                      <m:sty m:val="p"/>
                    </m:rPr>
                    <m:t>−</m:t>
                  </m:r>
                  <m:r>
                    <m:t>a</m:t>
                  </m:r>
                  <m:acc>
                    <m:accPr>
                      <m:chr m:val="‾"/>
                    </m:accPr>
                    <m:e>
                      <m:r>
                        <m:t>D</m:t>
                      </m:r>
                    </m:e>
                  </m:acc>
                  <m:d>
                    <m:dPr>
                      <m:begChr m:val="("/>
                      <m:sepChr m:val=""/>
                      <m:endChr m:val=")"/>
                      <m:grow/>
                    </m:dPr>
                    <m:e>
                      <m:r>
                        <m:t>t</m:t>
                      </m:r>
                      <m:r>
                        <m:rPr>
                          <m:sty m:val="p"/>
                        </m:rPr>
                        <m:t>,</m:t>
                      </m:r>
                      <m:r>
                        <m:t>F</m:t>
                      </m:r>
                    </m:e>
                  </m:d>
                  <m:r>
                    <m:rPr>
                      <m:sty m:val="p"/>
                    </m:rPr>
                    <m:t>−</m:t>
                  </m:r>
                  <m:f>
                    <m:fPr>
                      <m:type m:val="bar"/>
                    </m:fPr>
                    <m:num>
                      <m:r>
                        <m:t>σ</m:t>
                      </m:r>
                      <m:d>
                        <m:dPr>
                          <m:begChr m:val="("/>
                          <m:sepChr m:val=""/>
                          <m:endChr m:val=")"/>
                          <m:grow/>
                        </m:dPr>
                        <m:e>
                          <m:r>
                            <m:t>θ</m:t>
                          </m:r>
                        </m:e>
                      </m:d>
                      <m:r>
                        <m:t> </m:t>
                      </m:r>
                      <m:r>
                        <m:t>φ</m:t>
                      </m:r>
                      <m:d>
                        <m:dPr>
                          <m:begChr m:val="("/>
                          <m:sepChr m:val=""/>
                          <m:endChr m:val=")"/>
                          <m:grow/>
                        </m:dPr>
                        <m:e>
                          <m:r>
                            <m:t>F</m:t>
                          </m:r>
                        </m:e>
                      </m:d>
                    </m:num>
                    <m:den>
                      <m:r>
                        <m:t>t</m:t>
                      </m:r>
                    </m:den>
                  </m:f>
                </m:e>
              </m:d>
            </m:e>
          </m:nary>
          <m:r>
            <m:t>d</m:t>
          </m:r>
          <m:r>
            <m:t>G</m:t>
          </m:r>
          <m:d>
            <m:dPr>
              <m:begChr m:val="("/>
              <m:sepChr m:val=""/>
              <m:endChr m:val=")"/>
              <m:grow/>
            </m:dPr>
            <m:e>
              <m:r>
                <m:t>θ</m:t>
              </m:r>
            </m:e>
          </m:d>
          <m:r>
            <m:rPr>
              <m:sty m:val="p"/>
            </m:rPr>
            <m:t>−</m:t>
          </m:r>
          <m:f>
            <m:fPr>
              <m:type m:val="bar"/>
            </m:fPr>
            <m:num>
              <m:r>
                <m:t>K</m:t>
              </m:r>
              <m:d>
                <m:dPr>
                  <m:begChr m:val="("/>
                  <m:sepChr m:val=""/>
                  <m:endChr m:val=")"/>
                  <m:grow/>
                </m:dPr>
                <m:e>
                  <m:r>
                    <m:t>F</m:t>
                  </m:r>
                </m:e>
              </m:d>
            </m:num>
            <m:den>
              <m:r>
                <m:t>t</m:t>
              </m:r>
            </m:den>
          </m:f>
          <m:r>
            <m:rPr>
              <m:sty m:val="p"/>
            </m:rPr>
            <m:t>.</m:t>
          </m:r>
          <m:r>
            <m:t>  </m:t>
          </m:r>
          <m:d>
            <m:dPr>
              <m:begChr m:val="("/>
              <m:sepChr m:val=""/>
              <m:endChr m:val=")"/>
              <m:grow/>
            </m:dPr>
            <m:e>
              <m:r>
                <m:t>4</m:t>
              </m:r>
            </m:e>
          </m:d>
        </m:oMath>
      </m:oMathPara>
    </w:p>
    <w:p>
      <w:pPr>
        <w:pStyle w:val="FirstParagraph"/>
      </w:pPr>
      <w:r>
        <w:t xml:space="preserve">Following Spence (1975), our main comparison is the</w:t>
      </w:r>
      <w:r>
        <w:t xml:space="preserve"> </w:t>
      </w:r>
      <w:r>
        <w:rPr>
          <w:bCs/>
          <w:b/>
        </w:rPr>
        <w:t xml:space="preserve">second best</w:t>
      </w:r>
      <w:r>
        <w:t xml:space="preserve">: holding participation at the platform’s level, do the platform’s choices of</w:t>
      </w:r>
      <w:r>
        <w:t xml:space="preserve"> </w:t>
      </w:r>
      <m:oMath>
        <m:d>
          <m:dPr>
            <m:begChr m:val="("/>
            <m:sepChr m:val=""/>
            <m:endChr m:val=")"/>
            <m:grow/>
          </m:dPr>
          <m:e>
            <m:r>
              <m:t>t</m:t>
            </m:r>
            <m:r>
              <m:rPr>
                <m:sty m:val="p"/>
              </m:rPr>
              <m:t>,</m:t>
            </m:r>
            <m:r>
              <m:t>F</m:t>
            </m:r>
          </m:e>
        </m:d>
      </m:oMath>
      <w:r>
        <w:t xml:space="preserve"> </w:t>
      </w:r>
      <w:r>
        <w:t xml:space="preserve">maximize welfare? This isolates distortions in the freshness–stability dimension from the familiar monopoly distortion in participation, which we discuss in Section 5.4.</w:t>
      </w:r>
    </w:p>
    <w:bookmarkEnd w:id="31"/>
    <w:bookmarkStart w:id="32" w:name="notation"/>
    <w:p>
      <w:pPr>
        <w:pStyle w:val="Heading2"/>
      </w:pPr>
      <w:r>
        <w:t xml:space="preserve">3.4. Notation</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Pr>
      <w:tblGrid>
        <w:gridCol w:w="2880"/>
        <w:gridCol w:w="6480"/>
      </w:tblGrid>
      <w:tr>
        <w:trPr>
          <w:tblHeader w:val="true"/>
        </w:trPr>
        <w:tc>
          <w:tcPr>
            <w:tcW w:type="dxa" w:w="2880"/>
            <w:tcBorders>
              <w:bottom w:val="single" w:sz="4" w:color="000000"/>
            </w:tcBorders>
          </w:tcPr>
          <w:p>
            <w:pPr>
              <w:pStyle w:val="Compact"/>
              <w:spacing w:line="240" w:lineRule="auto" w:before="20" w:after="20"/>
              <w:ind w:firstLine="0" w:left="0"/>
              <w:jc w:val="left"/>
            </w:pPr>
            <w:r>
              <w:rPr>
                <w:b/>
                <w:sz w:val="20"/>
              </w:rPr>
              <w:t xml:space="preserve">Symbol</w:t>
            </w:r>
          </w:p>
        </w:tc>
        <w:tc>
          <w:tcPr>
            <w:tcW w:type="dxa" w:w="6480"/>
            <w:tcBorders>
              <w:bottom w:val="single" w:sz="4" w:color="000000"/>
            </w:tcBorders>
          </w:tcPr>
          <w:p>
            <w:pPr>
              <w:pStyle w:val="Compact"/>
              <w:spacing w:line="240" w:lineRule="auto" w:before="20" w:after="20"/>
              <w:ind w:firstLine="0" w:left="0"/>
              <w:jc w:val="left"/>
            </w:pPr>
            <w:r>
              <w:rPr>
                <w:b/>
                <w:sz w:val="20"/>
              </w:rPr>
              <w:t xml:space="preserve">Meaning</w:t>
            </w:r>
          </w:p>
        </w:tc>
      </w:tr>
      <w:tr>
        <w:tc>
          <w:tcPr>
            <w:tcW w:type="dxa" w:w="2880"/>
          </w:tcPr>
          <w:p>
            <w:pPr>
              <w:pStyle w:val="Compact"/>
              <w:spacing w:line="240" w:lineRule="auto" w:before="20" w:after="20"/>
              <w:ind w:firstLine="0" w:left="0"/>
              <w:jc w:val="left"/>
            </w:pPr>
            <m:oMath>
              <m:r>
                <m:t>θ</m:t>
              </m:r>
              <m:r>
                <m:rPr>
                  <m:sty m:val="p"/>
                </m:rPr>
                <m:t>,</m:t>
              </m:r>
              <m:r>
                <m:t>G</m:t>
              </m:r>
              <m:r>
                <m:rPr>
                  <m:sty m:val="p"/>
                </m:rPr>
                <m:t>,</m:t>
              </m:r>
              <m:sSup>
                <m:e>
                  <m:r>
                    <m:t>θ</m:t>
                  </m:r>
                </m:e>
                <m:sup>
                  <m:r>
                    <m:rPr>
                      <m:sty m:val="p"/>
                    </m:rPr>
                    <m:t>*</m:t>
                  </m:r>
                </m:sup>
              </m:sSup>
              <m:r>
                <m:rPr>
                  <m:sty m:val="p"/>
                </m:rPr>
                <m:t>,</m:t>
              </m:r>
              <m:r>
                <m:t>Q</m:t>
              </m:r>
            </m:oMath>
          </w:p>
        </w:tc>
        <w:tc>
          <w:tcPr>
            <w:tcW w:type="dxa" w:w="6480"/>
          </w:tcPr>
          <w:p>
            <w:pPr>
              <w:pStyle w:val="Compact"/>
              <w:spacing w:line="240" w:lineRule="auto" w:before="20" w:after="20"/>
              <w:ind w:firstLine="0" w:left="0"/>
              <w:jc w:val="left"/>
            </w:pPr>
            <w:r>
              <w:rPr>
                <w:sz w:val="20"/>
              </w:rPr>
              <w:t xml:space="preserve">Developer type, its distribution, participation cutoff, participation</w:t>
            </w:r>
          </w:p>
        </w:tc>
      </w:tr>
      <w:tr>
        <w:tc>
          <w:tcPr>
            <w:tcW w:type="dxa" w:w="2880"/>
          </w:tcPr>
          <w:p>
            <w:pPr>
              <w:pStyle w:val="Compact"/>
              <w:spacing w:line="240" w:lineRule="auto" w:before="20" w:after="20"/>
              <w:ind w:firstLine="0" w:left="0"/>
              <w:jc w:val="left"/>
            </w:pPr>
            <m:oMath>
              <m:r>
                <m:t>γ</m:t>
              </m:r>
            </m:oMath>
          </w:p>
        </w:tc>
        <w:tc>
          <w:tcPr>
            <w:tcW w:type="dxa" w:w="6480"/>
          </w:tcPr>
          <w:p>
            <w:pPr>
              <w:pStyle w:val="Compact"/>
              <w:spacing w:line="240" w:lineRule="auto" w:before="20" w:after="20"/>
              <w:ind w:firstLine="0" w:left="0"/>
              <w:jc w:val="left"/>
            </w:pPr>
            <w:r>
              <w:rPr>
                <w:sz w:val="20"/>
              </w:rPr>
              <w:t xml:space="preserve">Rate at which obsolescence accumulates</w:t>
            </w:r>
          </w:p>
        </w:tc>
      </w:tr>
      <w:tr>
        <w:tc>
          <w:tcPr>
            <w:tcW w:type="dxa" w:w="2880"/>
          </w:tcPr>
          <w:p>
            <w:pPr>
              <w:pStyle w:val="Compact"/>
              <w:spacing w:line="240" w:lineRule="auto" w:before="20" w:after="20"/>
              <w:ind w:firstLine="0" w:left="0"/>
              <w:jc w:val="left"/>
            </w:pPr>
            <m:oMath>
              <m:r>
                <m:t>t</m:t>
              </m:r>
            </m:oMath>
          </w:p>
        </w:tc>
        <w:tc>
          <w:tcPr>
            <w:tcW w:type="dxa" w:w="6480"/>
          </w:tcPr>
          <w:p>
            <w:pPr>
              <w:pStyle w:val="Compact"/>
              <w:spacing w:line="240" w:lineRule="auto" w:before="20" w:after="20"/>
              <w:ind w:firstLine="0" w:left="0"/>
              <w:jc w:val="left"/>
            </w:pPr>
            <w:r>
              <w:rPr>
                <w:sz w:val="20"/>
              </w:rPr>
              <w:t xml:space="preserve">Update interval chosen by the platform</w:t>
            </w:r>
          </w:p>
        </w:tc>
      </w:tr>
      <w:tr>
        <w:tc>
          <w:tcPr>
            <w:tcW w:type="dxa" w:w="2880"/>
          </w:tcPr>
          <w:p>
            <w:pPr>
              <w:pStyle w:val="Compact"/>
              <w:spacing w:line="240" w:lineRule="auto" w:before="20" w:after="20"/>
              <w:ind w:firstLine="0" w:left="0"/>
              <w:jc w:val="left"/>
            </w:pPr>
            <m:oMath>
              <m:r>
                <m:t>F</m:t>
              </m:r>
            </m:oMath>
          </w:p>
        </w:tc>
        <w:tc>
          <w:tcPr>
            <w:tcW w:type="dxa" w:w="6480"/>
          </w:tcPr>
          <w:p>
            <w:pPr>
              <w:pStyle w:val="Compact"/>
              <w:spacing w:line="240" w:lineRule="auto" w:before="20" w:after="20"/>
              <w:ind w:firstLine="0" w:left="0"/>
              <w:jc w:val="left"/>
            </w:pPr>
            <w:r>
              <w:rPr>
                <w:sz w:val="20"/>
              </w:rPr>
              <w:t xml:space="preserve">Capability destroyed per update</w:t>
            </w:r>
          </w:p>
        </w:tc>
      </w:tr>
      <w:tr>
        <w:tc>
          <w:tcPr>
            <w:tcW w:type="dxa" w:w="2880"/>
          </w:tcPr>
          <w:p>
            <w:pPr>
              <w:pStyle w:val="Compact"/>
              <w:spacing w:line="240" w:lineRule="auto" w:before="20" w:after="20"/>
              <w:ind w:firstLine="0" w:left="0"/>
              <w:jc w:val="left"/>
            </w:pPr>
            <m:oMath>
              <m:r>
                <m:t>K</m:t>
              </m:r>
              <m:d>
                <m:dPr>
                  <m:begChr m:val="("/>
                  <m:sepChr m:val=""/>
                  <m:endChr m:val=")"/>
                  <m:grow/>
                </m:dPr>
                <m:e>
                  <m:r>
                    <m:t>F</m:t>
                  </m:r>
                </m:e>
              </m:d>
            </m:oMath>
          </w:p>
        </w:tc>
        <w:tc>
          <w:tcPr>
            <w:tcW w:type="dxa" w:w="6480"/>
          </w:tcPr>
          <w:p>
            <w:pPr>
              <w:pStyle w:val="Compact"/>
              <w:spacing w:line="240" w:lineRule="auto" w:before="20" w:after="20"/>
              <w:ind w:firstLine="0" w:left="0"/>
              <w:jc w:val="left"/>
            </w:pPr>
            <w:r>
              <w:rPr>
                <w:sz w:val="20"/>
              </w:rPr>
              <w:t xml:space="preserve">Platform’s cost per update</w:t>
            </w:r>
          </w:p>
        </w:tc>
      </w:tr>
      <w:tr>
        <w:tc>
          <w:tcPr>
            <w:tcW w:type="dxa" w:w="2880"/>
          </w:tcPr>
          <w:p>
            <w:pPr>
              <w:pStyle w:val="Compact"/>
              <w:spacing w:line="240" w:lineRule="auto" w:before="20" w:after="20"/>
              <w:ind w:firstLine="0" w:left="0"/>
              <w:jc w:val="left"/>
            </w:pPr>
            <m:oMath>
              <m:r>
                <m:t>a</m:t>
              </m:r>
            </m:oMath>
          </w:p>
        </w:tc>
        <w:tc>
          <w:tcPr>
            <w:tcW w:type="dxa" w:w="6480"/>
          </w:tcPr>
          <w:p>
            <w:pPr>
              <w:pStyle w:val="Compact"/>
              <w:spacing w:line="240" w:lineRule="auto" w:before="20" w:after="20"/>
              <w:ind w:firstLine="0" w:left="0"/>
              <w:jc w:val="left"/>
            </w:pPr>
            <w:r>
              <w:rPr>
                <w:sz w:val="20"/>
              </w:rPr>
              <w:t xml:space="preserve">Developer loss per unit of shortfall</w:t>
            </w:r>
          </w:p>
        </w:tc>
      </w:tr>
      <w:tr>
        <w:tc>
          <w:tcPr>
            <w:tcW w:type="dxa" w:w="2880"/>
          </w:tcPr>
          <w:p>
            <w:pPr>
              <w:pStyle w:val="Compact"/>
              <w:spacing w:line="240" w:lineRule="auto" w:before="20" w:after="20"/>
              <w:ind w:firstLine="0" w:left="0"/>
              <w:jc w:val="left"/>
            </w:pPr>
            <m:oMath>
              <m:r>
                <m:t>v</m:t>
              </m:r>
              <m:d>
                <m:dPr>
                  <m:begChr m:val="("/>
                  <m:sepChr m:val=""/>
                  <m:endChr m:val=")"/>
                  <m:grow/>
                </m:dPr>
                <m:e>
                  <m:r>
                    <m:t>θ</m:t>
                  </m:r>
                </m:e>
              </m:d>
              <m:r>
                <m:rPr>
                  <m:sty m:val="p"/>
                </m:rPr>
                <m:t>,</m:t>
              </m:r>
              <m:r>
                <m:t>σ</m:t>
              </m:r>
              <m:d>
                <m:dPr>
                  <m:begChr m:val="("/>
                  <m:sepChr m:val=""/>
                  <m:endChr m:val=")"/>
                  <m:grow/>
                </m:dPr>
                <m:e>
                  <m:r>
                    <m:t>θ</m:t>
                  </m:r>
                </m:e>
              </m:d>
            </m:oMath>
          </w:p>
        </w:tc>
        <w:tc>
          <w:tcPr>
            <w:tcW w:type="dxa" w:w="6480"/>
          </w:tcPr>
          <w:p>
            <w:pPr>
              <w:pStyle w:val="Compact"/>
              <w:spacing w:line="240" w:lineRule="auto" w:before="20" w:after="20"/>
              <w:ind w:firstLine="0" w:left="0"/>
              <w:jc w:val="left"/>
            </w:pPr>
            <w:r>
              <w:rPr>
                <w:sz w:val="20"/>
              </w:rPr>
              <w:t xml:space="preserve">Gross value and baseline migration cost of type</w:t>
            </w:r>
            <w:r>
              <w:rPr>
                <w:sz w:val="20"/>
              </w:rPr>
              <w:t xml:space="preserve"> </w:t>
            </w:r>
            <m:oMath>
              <m:r>
                <m:t>θ</m:t>
              </m:r>
            </m:oMath>
          </w:p>
        </w:tc>
      </w:tr>
      <w:tr>
        <w:tc>
          <w:tcPr>
            <w:tcW w:type="dxa" w:w="2880"/>
          </w:tcPr>
          <w:p>
            <w:pPr>
              <w:pStyle w:val="Compact"/>
              <w:spacing w:line="240" w:lineRule="auto" w:before="20" w:after="20"/>
              <w:ind w:firstLine="0" w:left="0"/>
              <w:jc w:val="left"/>
            </w:pPr>
            <m:oMath>
              <m:r>
                <m:t>φ</m:t>
              </m:r>
              <m:d>
                <m:dPr>
                  <m:begChr m:val="("/>
                  <m:sepChr m:val=""/>
                  <m:endChr m:val=")"/>
                  <m:grow/>
                </m:dPr>
                <m:e>
                  <m:r>
                    <m:t>F</m:t>
                  </m:r>
                </m:e>
              </m:d>
            </m:oMath>
          </w:p>
        </w:tc>
        <w:tc>
          <w:tcPr>
            <w:tcW w:type="dxa" w:w="6480"/>
          </w:tcPr>
          <w:p>
            <w:pPr>
              <w:pStyle w:val="Compact"/>
              <w:spacing w:line="240" w:lineRule="auto" w:before="20" w:after="20"/>
              <w:ind w:firstLine="0" w:left="0"/>
              <w:jc w:val="left"/>
            </w:pPr>
            <w:r>
              <w:rPr>
                <w:sz w:val="20"/>
              </w:rPr>
              <w:t xml:space="preserve">Migration-cost multiplier from destruction</w:t>
            </w:r>
          </w:p>
        </w:tc>
      </w:tr>
      <w:tr>
        <w:tc>
          <w:tcPr>
            <w:tcW w:type="dxa" w:w="2880"/>
          </w:tcPr>
          <w:p>
            <w:pPr>
              <w:pStyle w:val="Compact"/>
              <w:spacing w:line="240" w:lineRule="auto" w:before="20" w:after="20"/>
              <w:ind w:firstLine="0" w:left="0"/>
              <w:jc w:val="left"/>
            </w:pPr>
            <m:oMath>
              <m:sSub>
                <m:e>
                  <m:r>
                    <m:t>σ</m:t>
                  </m:r>
                </m:e>
                <m:sub>
                  <m:r>
                    <m:t>m</m:t>
                  </m:r>
                </m:sub>
              </m:sSub>
              <m:r>
                <m:rPr>
                  <m:sty m:val="p"/>
                </m:rPr>
                <m:t>,</m:t>
              </m:r>
              <m:acc>
                <m:accPr>
                  <m:chr m:val="‾"/>
                </m:accPr>
                <m:e>
                  <m:r>
                    <m:t>σ</m:t>
                  </m:r>
                </m:e>
              </m:acc>
            </m:oMath>
          </w:p>
        </w:tc>
        <w:tc>
          <w:tcPr>
            <w:tcW w:type="dxa" w:w="6480"/>
          </w:tcPr>
          <w:p>
            <w:pPr>
              <w:pStyle w:val="Compact"/>
              <w:spacing w:line="240" w:lineRule="auto" w:before="20" w:after="20"/>
              <w:ind w:firstLine="0" w:left="0"/>
              <w:jc w:val="left"/>
            </w:pPr>
            <w:r>
              <w:rPr>
                <w:sz w:val="20"/>
              </w:rPr>
              <w:t xml:space="preserve">Marginal and average migration cost among participants</w:t>
            </w:r>
          </w:p>
        </w:tc>
      </w:tr>
      <w:tr>
        <w:tc>
          <w:tcPr>
            <w:tcW w:type="dxa" w:w="2880"/>
          </w:tcPr>
          <w:p>
            <w:pPr>
              <w:pStyle w:val="Compact"/>
              <w:spacing w:line="240" w:lineRule="auto" w:before="20" w:after="20"/>
              <w:ind w:firstLine="0" w:left="0"/>
              <w:jc w:val="left"/>
            </w:pPr>
            <m:oMath>
              <m:r>
                <m:t>L</m:t>
              </m:r>
              <m:r>
                <m:rPr>
                  <m:sty m:val="p"/>
                </m:rPr>
                <m:t>,</m:t>
              </m:r>
              <m:sSub>
                <m:e>
                  <m:r>
                    <m:t>c</m:t>
                  </m:r>
                </m:e>
                <m:sub>
                  <m:r>
                    <m:t>v</m:t>
                  </m:r>
                </m:sub>
              </m:sSub>
            </m:oMath>
          </w:p>
        </w:tc>
        <w:tc>
          <w:tcPr>
            <w:tcW w:type="dxa" w:w="6480"/>
          </w:tcPr>
          <w:p>
            <w:pPr>
              <w:pStyle w:val="Compact"/>
              <w:spacing w:line="240" w:lineRule="auto" w:before="20" w:after="20"/>
              <w:ind w:firstLine="0" w:left="0"/>
              <w:jc w:val="left"/>
            </w:pPr>
            <w:r>
              <w:rPr>
                <w:sz w:val="20"/>
              </w:rPr>
              <w:t xml:space="preserve">Pinning window and cost of serving one legacy version per unit time</w:t>
            </w:r>
          </w:p>
        </w:tc>
      </w:tr>
      <w:tr>
        <w:tc>
          <w:tcPr>
            <w:tcW w:type="dxa" w:w="2880"/>
          </w:tcPr>
          <w:p>
            <w:pPr>
              <w:pStyle w:val="Compact"/>
              <w:spacing w:line="240" w:lineRule="auto" w:before="20" w:after="20"/>
              <w:ind w:firstLine="0" w:left="0"/>
              <w:jc w:val="left"/>
            </w:pPr>
            <m:oMath>
              <m:sSup>
                <m:e>
                  <m:r>
                    <m:t>τ</m:t>
                  </m:r>
                </m:e>
                <m:sup>
                  <m:r>
                    <m:rPr>
                      <m:sty m:val="p"/>
                    </m:rPr>
                    <m:t>∘</m:t>
                  </m:r>
                </m:sup>
              </m:sSup>
              <m:d>
                <m:dPr>
                  <m:begChr m:val="("/>
                  <m:sepChr m:val=""/>
                  <m:endChr m:val=")"/>
                  <m:grow/>
                </m:dPr>
                <m:e>
                  <m:r>
                    <m:t>θ</m:t>
                  </m:r>
                </m:e>
              </m:d>
            </m:oMath>
          </w:p>
        </w:tc>
        <w:tc>
          <w:tcPr>
            <w:tcW w:type="dxa" w:w="6480"/>
          </w:tcPr>
          <w:p>
            <w:pPr>
              <w:pStyle w:val="Compact"/>
              <w:spacing w:line="240" w:lineRule="auto" w:before="20" w:after="20"/>
              <w:ind w:firstLine="0" w:left="0"/>
              <w:jc w:val="left"/>
            </w:pPr>
            <w:r>
              <w:rPr>
                <w:sz w:val="20"/>
              </w:rPr>
              <w:t xml:space="preserve">Developer’s privately optimal migration interval</w:t>
            </w:r>
          </w:p>
        </w:tc>
      </w:tr>
    </w:tbl>
    <w:bookmarkEnd w:id="32"/>
    <w:bookmarkEnd w:id="33"/>
    <w:bookmarkStart w:id="34" w:name="benchmark-a-vertically-integrated-firm"/>
    <w:p>
      <w:pPr>
        <w:pStyle w:val="Heading1"/>
      </w:pPr>
      <w:r>
        <w:t xml:space="preserve">4. Benchmark: A Vertically Integrated Firm</w:t>
      </w:r>
    </w:p>
    <w:p>
      <w:pPr>
        <w:pStyle w:val="FirstParagraph"/>
      </w:pPr>
      <w:r>
        <w:t xml:space="preserve">To isolate the trade-offs before introducing the platform–developer conflict, consider a firm that trains the model and uses it in a single application of its own. It bears the shortfall loss at rate</w:t>
      </w:r>
      <w:r>
        <w:t xml:space="preserve"> </w:t>
      </w:r>
      <m:oMath>
        <m:r>
          <m:t>c</m:t>
        </m:r>
      </m:oMath>
      <w:r>
        <w:t xml:space="preserve"> </w:t>
      </w:r>
      <w:r>
        <w:t xml:space="preserve">per unit, the update cost</w:t>
      </w:r>
      <w:r>
        <w:t xml:space="preserve"> </w:t>
      </w:r>
      <m:oMath>
        <m:r>
          <m:t>K</m:t>
        </m:r>
        <m:d>
          <m:dPr>
            <m:begChr m:val="("/>
            <m:sepChr m:val=""/>
            <m:endChr m:val=")"/>
            <m:grow/>
          </m:dPr>
          <m:e>
            <m:r>
              <m:t>F</m:t>
            </m:r>
          </m:e>
        </m:d>
      </m:oMath>
      <w:r>
        <w:t xml:space="preserve"> </w:t>
      </w:r>
      <w:r>
        <w:t xml:space="preserve">and its own migration cost</w:t>
      </w:r>
      <w:r>
        <w:t xml:space="preserve"> </w:t>
      </w:r>
      <m:oMath>
        <m:r>
          <m:t>σ</m:t>
        </m:r>
        <m:r>
          <m:t>φ</m:t>
        </m:r>
        <m:d>
          <m:dPr>
            <m:begChr m:val="("/>
            <m:sepChr m:val=""/>
            <m:endChr m:val=")"/>
            <m:grow/>
          </m:dPr>
          <m:e>
            <m:r>
              <m:t>F</m:t>
            </m:r>
          </m:e>
        </m:d>
      </m:oMath>
      <w:r>
        <w:t xml:space="preserve"> </w:t>
      </w:r>
      <w:r>
        <w:t xml:space="preserve">at each update. Its average cost rate is</w:t>
      </w:r>
    </w:p>
    <w:p>
      <w:pPr>
        <w:pStyle w:val="BodyText"/>
      </w:pPr>
      <m:oMathPara>
        <m:oMathParaPr>
          <m:jc m:val="center"/>
        </m:oMathParaPr>
        <m:oMath>
          <m:r>
            <m:t>C</m:t>
          </m:r>
          <m:d>
            <m:dPr>
              <m:begChr m:val="("/>
              <m:sepChr m:val=""/>
              <m:endChr m:val=")"/>
              <m:grow/>
            </m:dPr>
            <m:e>
              <m:r>
                <m:t>t</m:t>
              </m:r>
              <m:r>
                <m:rPr>
                  <m:sty m:val="p"/>
                </m:rPr>
                <m:t>,</m:t>
              </m:r>
              <m:r>
                <m:t>F</m:t>
              </m:r>
            </m:e>
          </m:d>
          <m:r>
            <m:rPr>
              <m:sty m:val="p"/>
            </m:rPr>
            <m:t>=</m:t>
          </m:r>
          <m:r>
            <m:t>c</m:t>
          </m:r>
          <m:d>
            <m:dPr>
              <m:begChr m:val="("/>
              <m:sepChr m:val=""/>
              <m:endChr m:val=")"/>
              <m:grow/>
            </m:dPr>
            <m:e>
              <m:r>
                <m:t>F</m:t>
              </m:r>
              <m:r>
                <m:rPr>
                  <m:sty m:val="p"/>
                </m:rPr>
                <m:t>+</m:t>
              </m:r>
              <m:f>
                <m:fPr>
                  <m:type m:val="bar"/>
                </m:fPr>
                <m:num>
                  <m:r>
                    <m:t>γ</m:t>
                  </m:r>
                  <m:r>
                    <m:t>t</m:t>
                  </m:r>
                </m:num>
                <m:den>
                  <m:r>
                    <m:t>2</m:t>
                  </m:r>
                </m:den>
              </m:f>
            </m:e>
          </m:d>
          <m:r>
            <m:rPr>
              <m:sty m:val="p"/>
            </m:rPr>
            <m:t>+</m:t>
          </m:r>
          <m:f>
            <m:fPr>
              <m:type m:val="bar"/>
            </m:fPr>
            <m:num>
              <m:r>
                <m:t>K</m:t>
              </m:r>
              <m:d>
                <m:dPr>
                  <m:begChr m:val="("/>
                  <m:sepChr m:val=""/>
                  <m:endChr m:val=")"/>
                  <m:grow/>
                </m:dPr>
                <m:e>
                  <m:r>
                    <m:t>F</m:t>
                  </m:r>
                </m:e>
              </m:d>
              <m:r>
                <m:rPr>
                  <m:sty m:val="p"/>
                </m:rPr>
                <m:t>+</m:t>
              </m:r>
              <m:r>
                <m:t>σ</m:t>
              </m:r>
              <m:r>
                <m:t> </m:t>
              </m:r>
              <m:r>
                <m:t>φ</m:t>
              </m:r>
              <m:d>
                <m:dPr>
                  <m:begChr m:val="("/>
                  <m:sepChr m:val=""/>
                  <m:endChr m:val=")"/>
                  <m:grow/>
                </m:dPr>
                <m:e>
                  <m:r>
                    <m:t>F</m:t>
                  </m:r>
                </m:e>
              </m:d>
            </m:num>
            <m:den>
              <m:r>
                <m:t>t</m:t>
              </m:r>
            </m:den>
          </m:f>
          <m:r>
            <m:rPr>
              <m:sty m:val="p"/>
            </m:rPr>
            <m:t>.</m:t>
          </m:r>
          <m:r>
            <m:t>  </m:t>
          </m:r>
          <m:d>
            <m:dPr>
              <m:begChr m:val="("/>
              <m:sepChr m:val=""/>
              <m:endChr m:val=")"/>
              <m:grow/>
            </m:dPr>
            <m:e>
              <m:r>
                <m:t>5</m:t>
              </m:r>
            </m:e>
          </m:d>
        </m:oMath>
      </m:oMathPara>
    </w:p>
    <w:p>
      <w:pPr>
        <w:pStyle w:val="FirstParagraph"/>
      </w:pPr>
      <w:r>
        <w:rPr>
          <w:bCs/>
          <w:b/>
        </w:rPr>
        <w:t xml:space="preserve">Lemma 1 (Square-root rule).</w:t>
      </w:r>
      <w:r>
        <w:t xml:space="preserve"> </w:t>
      </w:r>
      <w:r>
        <w:t xml:space="preserve">For a given</w:t>
      </w:r>
      <w:r>
        <w:t xml:space="preserve"> </w:t>
      </w:r>
      <m:oMath>
        <m:r>
          <m:t>F</m:t>
        </m:r>
      </m:oMath>
      <w:r>
        <w:t xml:space="preserve">, the cost-minimizing update interval is</w:t>
      </w:r>
    </w:p>
    <w:p>
      <w:pPr>
        <w:pStyle w:val="BodyText"/>
      </w:pPr>
      <m:oMathPara>
        <m:oMathParaPr>
          <m:jc m:val="center"/>
        </m:oMathParaPr>
        <m:oMath>
          <m:sSup>
            <m:e>
              <m:r>
                <m:t>t</m:t>
              </m:r>
            </m:e>
            <m:sup>
              <m:r>
                <m:rPr>
                  <m:sty m:val="p"/>
                </m:rPr>
                <m:t>∘</m:t>
              </m:r>
            </m:sup>
          </m:sSup>
          <m:d>
            <m:dPr>
              <m:begChr m:val="("/>
              <m:sepChr m:val=""/>
              <m:endChr m:val=")"/>
              <m:grow/>
            </m:dPr>
            <m:e>
              <m:r>
                <m:t>F</m:t>
              </m:r>
            </m:e>
          </m:d>
          <m:r>
            <m:rPr>
              <m:sty m:val="p"/>
            </m:rPr>
            <m:t>=</m:t>
          </m:r>
          <m:rad>
            <m:radPr>
              <m:degHide m:val="on"/>
            </m:radPr>
            <m:deg/>
            <m:e>
              <m:f>
                <m:fPr>
                  <m:type m:val="bar"/>
                </m:fPr>
                <m:num>
                  <m:r>
                    <m:t>2</m:t>
                  </m:r>
                  <m:r>
                    <m:t> </m:t>
                  </m:r>
                  <m:d>
                    <m:dPr>
                      <m:begChr m:val="["/>
                      <m:sepChr m:val=""/>
                      <m:endChr m:val="]"/>
                      <m:grow/>
                    </m:dPr>
                    <m:e>
                      <m:r>
                        <m:t>K</m:t>
                      </m:r>
                      <m:d>
                        <m:dPr>
                          <m:begChr m:val="("/>
                          <m:sepChr m:val=""/>
                          <m:endChr m:val=")"/>
                          <m:grow/>
                        </m:dPr>
                        <m:e>
                          <m:r>
                            <m:t>F</m:t>
                          </m:r>
                        </m:e>
                      </m:d>
                      <m:r>
                        <m:rPr>
                          <m:sty m:val="p"/>
                        </m:rPr>
                        <m:t>+</m:t>
                      </m:r>
                      <m:r>
                        <m:t>σ</m:t>
                      </m:r>
                      <m:r>
                        <m:t>φ</m:t>
                      </m:r>
                      <m:d>
                        <m:dPr>
                          <m:begChr m:val="("/>
                          <m:sepChr m:val=""/>
                          <m:endChr m:val=")"/>
                          <m:grow/>
                        </m:dPr>
                        <m:e>
                          <m:r>
                            <m:t>F</m:t>
                          </m:r>
                        </m:e>
                      </m:d>
                    </m:e>
                  </m:d>
                </m:num>
                <m:den>
                  <m:r>
                    <m:t>c</m:t>
                  </m:r>
                  <m:r>
                    <m:t> </m:t>
                  </m:r>
                  <m:r>
                    <m:t>γ</m:t>
                  </m:r>
                </m:den>
              </m:f>
            </m:e>
          </m:rad>
          <m:r>
            <m:rPr>
              <m:sty m:val="p"/>
            </m:rPr>
            <m:t>,</m:t>
          </m:r>
          <m:r>
            <m:t>  </m:t>
          </m:r>
          <m:sSup>
            <m:e>
              <m:r>
                <m:t>C</m:t>
              </m:r>
            </m:e>
            <m:sup>
              <m:r>
                <m:rPr>
                  <m:sty m:val="p"/>
                </m:rPr>
                <m:t>∘</m:t>
              </m:r>
            </m:sup>
          </m:sSup>
          <m:d>
            <m:dPr>
              <m:begChr m:val="("/>
              <m:sepChr m:val=""/>
              <m:endChr m:val=")"/>
              <m:grow/>
            </m:dPr>
            <m:e>
              <m:r>
                <m:t>F</m:t>
              </m:r>
            </m:e>
          </m:d>
          <m:r>
            <m:rPr>
              <m:sty m:val="p"/>
            </m:rPr>
            <m:t>=</m:t>
          </m:r>
          <m:r>
            <m:t>c</m:t>
          </m:r>
          <m:r>
            <m:t>F</m:t>
          </m:r>
          <m:r>
            <m:rPr>
              <m:sty m:val="p"/>
            </m:rPr>
            <m:t>+</m:t>
          </m:r>
          <m:rad>
            <m:radPr>
              <m:degHide m:val="on"/>
            </m:radPr>
            <m:deg/>
            <m:e>
              <m:r>
                <m:t>2</m:t>
              </m:r>
              <m:r>
                <m:t> </m:t>
              </m:r>
              <m:r>
                <m:t>c</m:t>
              </m:r>
              <m:r>
                <m:t> </m:t>
              </m:r>
              <m:r>
                <m:t>γ</m:t>
              </m:r>
              <m:r>
                <m:t> </m:t>
              </m:r>
              <m:d>
                <m:dPr>
                  <m:begChr m:val="["/>
                  <m:sepChr m:val=""/>
                  <m:endChr m:val="]"/>
                  <m:grow/>
                </m:dPr>
                <m:e>
                  <m:r>
                    <m:t>K</m:t>
                  </m:r>
                  <m:d>
                    <m:dPr>
                      <m:begChr m:val="("/>
                      <m:sepChr m:val=""/>
                      <m:endChr m:val=")"/>
                      <m:grow/>
                    </m:dPr>
                    <m:e>
                      <m:r>
                        <m:t>F</m:t>
                      </m:r>
                    </m:e>
                  </m:d>
                  <m:r>
                    <m:rPr>
                      <m:sty m:val="p"/>
                    </m:rPr>
                    <m:t>+</m:t>
                  </m:r>
                  <m:r>
                    <m:t>σ</m:t>
                  </m:r>
                  <m:r>
                    <m:t>φ</m:t>
                  </m:r>
                  <m:d>
                    <m:dPr>
                      <m:begChr m:val="("/>
                      <m:sepChr m:val=""/>
                      <m:endChr m:val=")"/>
                      <m:grow/>
                    </m:dPr>
                    <m:e>
                      <m:r>
                        <m:t>F</m:t>
                      </m:r>
                    </m:e>
                  </m:d>
                </m:e>
              </m:d>
            </m:e>
          </m:rad>
          <m:r>
            <m:rPr>
              <m:sty m:val="p"/>
            </m:rPr>
            <m:t>.</m:t>
          </m:r>
          <m:r>
            <m:t>  </m:t>
          </m:r>
          <m:d>
            <m:dPr>
              <m:begChr m:val="("/>
              <m:sepChr m:val=""/>
              <m:endChr m:val=")"/>
              <m:grow/>
            </m:dPr>
            <m:e>
              <m:r>
                <m:t>6</m:t>
              </m:r>
            </m:e>
          </m:d>
        </m:oMath>
      </m:oMathPara>
    </w:p>
    <w:p>
      <w:pPr>
        <w:pStyle w:val="FirstParagraph"/>
      </w:pPr>
      <w:r>
        <w:t xml:space="preserve">The interval has elasticity one half with respect to the fixed cost of an update and minus one half with respect to the rate of obsolescence. The structure is that of the Baumol (1952) and Tobin (1956) inventory model: each update is a lumpy transaction, and the firm balances the frequency of transactions against the cost of a growing gap. Two features matter for what follows. First, migration costs enter exactly like training costs, as part of the fixed cost of an update. Second, destruction has two effects. It adds a permanent flow loss</w:t>
      </w:r>
      <w:r>
        <w:t xml:space="preserve"> </w:t>
      </w:r>
      <m:oMath>
        <m:r>
          <m:t>c</m:t>
        </m:r>
        <m:r>
          <m:t>F</m:t>
        </m:r>
      </m:oMath>
      <w:r>
        <w:t xml:space="preserve"> </w:t>
      </w:r>
      <w:r>
        <w:t xml:space="preserve">that no cadence can remove, and it raises the fixed cost through</w:t>
      </w:r>
      <w:r>
        <w:t xml:space="preserve"> </w:t>
      </w:r>
      <m:oMath>
        <m:r>
          <m:t>φ</m:t>
        </m:r>
        <m:d>
          <m:dPr>
            <m:begChr m:val="("/>
            <m:sepChr m:val=""/>
            <m:endChr m:val=")"/>
            <m:grow/>
          </m:dPr>
          <m:e>
            <m:r>
              <m:t>F</m:t>
            </m:r>
          </m:e>
        </m:d>
      </m:oMath>
      <w:r>
        <w:t xml:space="preserve"> </w:t>
      </w:r>
      <w:r>
        <w:t xml:space="preserve">while lowering it through</w:t>
      </w:r>
      <w:r>
        <w:t xml:space="preserve"> </w:t>
      </w:r>
      <m:oMath>
        <m:r>
          <m:t>K</m:t>
        </m:r>
        <m:d>
          <m:dPr>
            <m:begChr m:val="("/>
            <m:sepChr m:val=""/>
            <m:endChr m:val=")"/>
            <m:grow/>
          </m:dPr>
          <m:e>
            <m:r>
              <m:t>F</m:t>
            </m:r>
          </m:e>
        </m:d>
      </m:oMath>
      <w:r>
        <w:t xml:space="preserve">.</w:t>
      </w:r>
    </w:p>
    <w:p>
      <w:pPr>
        <w:pStyle w:val="BodyText"/>
      </w:pPr>
      <w:r>
        <w:rPr>
          <w:bCs/>
          <w:b/>
        </w:rPr>
        <w:t xml:space="preserve">Lemma 2 (Safer updates are used more often).</w:t>
      </w:r>
      <w:r>
        <w:t xml:space="preserve"> </w:t>
      </w:r>
      <w:r>
        <w:t xml:space="preserve">Compare two technologies with the same direct cost</w:t>
      </w:r>
      <w:r>
        <w:t xml:space="preserve"> </w:t>
      </w:r>
      <m:oMath>
        <m:r>
          <m:t>K</m:t>
        </m:r>
      </m:oMath>
      <w:r>
        <w:t xml:space="preserve"> </w:t>
      </w:r>
      <w:r>
        <w:t xml:space="preserve">but different destruction</w:t>
      </w:r>
      <w:r>
        <w:t xml:space="preserve"> </w:t>
      </w:r>
      <m:oMath>
        <m:sSub>
          <m:e>
            <m:r>
              <m:t>F</m:t>
            </m:r>
          </m:e>
          <m:sub>
            <m:r>
              <m:t>1</m:t>
            </m:r>
          </m:sub>
        </m:sSub>
        <m:r>
          <m:rPr>
            <m:sty m:val="p"/>
          </m:rPr>
          <m:t>&lt;</m:t>
        </m:r>
        <m:sSub>
          <m:e>
            <m:r>
              <m:t>F</m:t>
            </m:r>
          </m:e>
          <m:sub>
            <m:r>
              <m:t>2</m:t>
            </m:r>
          </m:sub>
        </m:sSub>
      </m:oMath>
      <w:r>
        <w:t xml:space="preserve">. The optimal interval is shorter under</w:t>
      </w:r>
      <w:r>
        <w:t xml:space="preserve"> </w:t>
      </w:r>
      <m:oMath>
        <m:sSub>
          <m:e>
            <m:r>
              <m:t>F</m:t>
            </m:r>
          </m:e>
          <m:sub>
            <m:r>
              <m:t>1</m:t>
            </m:r>
          </m:sub>
        </m:sSub>
      </m:oMath>
      <w:r>
        <w:t xml:space="preserve">.</w:t>
      </w:r>
    </w:p>
    <w:p>
      <w:pPr>
        <w:pStyle w:val="BodyText"/>
      </w:pPr>
      <w:r>
        <w:t xml:space="preserve">The result follows from (6) because</w:t>
      </w:r>
      <w:r>
        <w:t xml:space="preserve"> </w:t>
      </w:r>
      <m:oMath>
        <m:r>
          <m:t>φ</m:t>
        </m:r>
      </m:oMath>
      <w:r>
        <w:t xml:space="preserve"> </w:t>
      </w:r>
      <w:r>
        <w:t xml:space="preserve">is increasing. It runs against the intuition that a costlier-to-use procedure should be used less often: a less destructive update lowers the effective fixed cost of updating, so it is optimal to update more frequently.</w:t>
      </w:r>
    </w:p>
    <w:p>
      <w:pPr>
        <w:pStyle w:val="BodyText"/>
      </w:pPr>
      <w:r>
        <w:t xml:space="preserve">In the integrated firm, all costs are internalized and the square-root rule is efficient. The rest of the paper studies what happens when the migration costs fall on a heterogeneous population of developers whose surplus the platform captures only in part.</w:t>
      </w:r>
    </w:p>
    <w:bookmarkEnd w:id="34"/>
    <w:bookmarkStart w:id="39" w:name="over-updating-and-over-destruction"/>
    <w:p>
      <w:pPr>
        <w:pStyle w:val="Heading1"/>
      </w:pPr>
      <w:r>
        <w:t xml:space="preserve">5. Over-Updating and Over-Destruction</w:t>
      </w:r>
    </w:p>
    <w:p>
      <w:pPr>
        <w:pStyle w:val="FirstParagraph"/>
      </w:pPr>
      <w:r>
        <w:t xml:space="preserve">All results in this section rest on one comparison. Differentiating (3) and (4) shows that the platform weighs the ecosystem’s migration cost at</w:t>
      </w:r>
      <w:r>
        <w:t xml:space="preserve"> </w:t>
      </w:r>
      <m:oMath>
        <m:r>
          <m:t>Q</m:t>
        </m:r>
        <m:sSub>
          <m:e>
            <m:r>
              <m:t>σ</m:t>
            </m:r>
          </m:e>
          <m:sub>
            <m:r>
              <m:t>m</m:t>
            </m:r>
          </m:sub>
        </m:sSub>
      </m:oMath>
      <w:r>
        <w:t xml:space="preserve">, while welfare weighs it at</w:t>
      </w:r>
      <w:r>
        <w:t xml:space="preserve"> </w:t>
      </w:r>
      <m:oMath>
        <m:r>
          <m:t>Q</m:t>
        </m:r>
        <m:acc>
          <m:accPr>
            <m:chr m:val="‾"/>
          </m:accPr>
          <m:e>
            <m:r>
              <m:t>σ</m:t>
            </m:r>
          </m:e>
        </m:acc>
      </m:oMath>
      <w:r>
        <w:t xml:space="preserve">. The platform sets its price so that the marginal developer is just willing to join; a change that hurts every developer by the same amount as the marginal one must be compensated through price, but extra harm to inframarginal developers is not. Whether the platform under- or over-weights migration costs therefore depends on whether inframarginal developers have higher or lower migration costs than the marginal one.</w:t>
      </w:r>
    </w:p>
    <w:p>
      <w:pPr>
        <w:pStyle w:val="BodyText"/>
      </w:pPr>
      <w:r>
        <w:rPr>
          <w:bCs/>
          <w:b/>
        </w:rPr>
        <w:t xml:space="preserve">Assumption 2 (Inframarginal integration).</w:t>
      </w:r>
      <w:r>
        <w:t xml:space="preserve"> </w:t>
      </w:r>
      <m:oMath>
        <m:r>
          <m:t>σ</m:t>
        </m:r>
      </m:oMath>
      <w:r>
        <w:t xml:space="preserve"> </w:t>
      </w:r>
      <w:r>
        <w:t xml:space="preserve">is increasing in</w:t>
      </w:r>
      <w:r>
        <w:t xml:space="preserve"> </w:t>
      </w:r>
      <m:oMath>
        <m:r>
          <m:t>θ</m:t>
        </m:r>
      </m:oMath>
      <w:r>
        <w:t xml:space="preserve">.</w:t>
      </w:r>
    </w:p>
    <w:p>
      <w:pPr>
        <w:pStyle w:val="BodyText"/>
      </w:pPr>
      <w:r>
        <w:t xml:space="preserve">Under Assumption 2, developers who value the model most are also the most deeply integrated and face the largest migration costs, so</w:t>
      </w:r>
      <w:r>
        <w:t xml:space="preserve"> </w:t>
      </w:r>
      <m:oMath>
        <m:sSub>
          <m:e>
            <m:r>
              <m:t>σ</m:t>
            </m:r>
          </m:e>
          <m:sub>
            <m:r>
              <m:t>m</m:t>
            </m:r>
          </m:sub>
        </m:sSub>
        <m:r>
          <m:rPr>
            <m:sty m:val="p"/>
          </m:rPr>
          <m:t>&lt;</m:t>
        </m:r>
        <m:acc>
          <m:accPr>
            <m:chr m:val="‾"/>
          </m:accPr>
          <m:e>
            <m:r>
              <m:t>σ</m:t>
            </m:r>
          </m:e>
        </m:acc>
      </m:oMath>
      <w:r>
        <w:t xml:space="preserve">. Section 7 shows that this ordering arises endogenously when developers choose how deeply to integrate.</w:t>
      </w:r>
    </w:p>
    <w:bookmarkStart w:id="35" w:name="update-cadence"/>
    <w:p>
      <w:pPr>
        <w:pStyle w:val="Heading2"/>
      </w:pPr>
      <w:r>
        <w:t xml:space="preserve">5.1. Update Cadence</w:t>
      </w:r>
    </w:p>
    <w:p>
      <w:pPr>
        <w:pStyle w:val="FirstParagraph"/>
      </w:pPr>
      <w:r>
        <w:rPr>
          <w:bCs/>
          <w:b/>
        </w:rPr>
        <w:t xml:space="preserve">Proposition 1 (Over-updating).</w:t>
      </w:r>
      <w:r>
        <w:t xml:space="preserve"> </w:t>
      </w:r>
      <w:r>
        <w:t xml:space="preserve">Fix participation</w:t>
      </w:r>
      <w:r>
        <w:t xml:space="preserve"> </w:t>
      </w:r>
      <m:oMath>
        <m:sSup>
          <m:e>
            <m:r>
              <m:t>θ</m:t>
            </m:r>
          </m:e>
          <m:sup>
            <m:r>
              <m:rPr>
                <m:sty m:val="p"/>
              </m:rPr>
              <m:t>*</m:t>
            </m:r>
          </m:sup>
        </m:sSup>
        <m:r>
          <m:rPr>
            <m:sty m:val="p"/>
          </m:rPr>
          <m:t>∈</m:t>
        </m:r>
        <m:d>
          <m:dPr>
            <m:begChr m:val="("/>
            <m:sepChr m:val=""/>
            <m:endChr m:val=")"/>
            <m:grow/>
          </m:dPr>
          <m:e>
            <m:r>
              <m:t>0</m:t>
            </m:r>
            <m:r>
              <m:rPr>
                <m:sty m:val="p"/>
              </m:rPr>
              <m:t>,</m:t>
            </m:r>
            <m:r>
              <m:t>1</m:t>
            </m:r>
          </m:e>
        </m:d>
      </m:oMath>
      <w:r>
        <w:t xml:space="preserve"> </w:t>
      </w:r>
      <w:r>
        <w:t xml:space="preserve">and destruction</w:t>
      </w:r>
      <w:r>
        <w:t xml:space="preserve"> </w:t>
      </w:r>
      <m:oMath>
        <m:r>
          <m:t>F</m:t>
        </m:r>
      </m:oMath>
      <w:r>
        <w:t xml:space="preserve">. The platform’s profit-maximizing interval and the second-best interval are</w:t>
      </w:r>
    </w:p>
    <w:p>
      <w:pPr>
        <w:pStyle w:val="BodyText"/>
      </w:pPr>
      <m:oMathPara>
        <m:oMathParaPr>
          <m:jc m:val="center"/>
        </m:oMathParaPr>
        <m:oMath>
          <m:sSub>
            <m:e>
              <m:r>
                <m:t>t</m:t>
              </m:r>
            </m:e>
            <m:sub>
              <m:r>
                <m:t>P</m:t>
              </m:r>
            </m:sub>
          </m:sSub>
          <m:r>
            <m:rPr>
              <m:sty m:val="p"/>
            </m:rPr>
            <m:t>=</m:t>
          </m:r>
          <m:rad>
            <m:radPr>
              <m:degHide m:val="on"/>
            </m:radPr>
            <m:deg/>
            <m:e>
              <m:f>
                <m:fPr>
                  <m:type m:val="bar"/>
                </m:fPr>
                <m:num>
                  <m:r>
                    <m:t>2</m:t>
                  </m:r>
                  <m:r>
                    <m:t> </m:t>
                  </m:r>
                  <m:d>
                    <m:dPr>
                      <m:begChr m:val="["/>
                      <m:sepChr m:val=""/>
                      <m:endChr m:val="]"/>
                      <m:grow/>
                    </m:dPr>
                    <m:e>
                      <m:r>
                        <m:t>K</m:t>
                      </m:r>
                      <m:d>
                        <m:dPr>
                          <m:begChr m:val="("/>
                          <m:sepChr m:val=""/>
                          <m:endChr m:val=")"/>
                          <m:grow/>
                        </m:dPr>
                        <m:e>
                          <m:r>
                            <m:t>F</m:t>
                          </m:r>
                        </m:e>
                      </m:d>
                      <m:r>
                        <m:rPr>
                          <m:sty m:val="p"/>
                        </m:rPr>
                        <m:t>+</m:t>
                      </m:r>
                      <m:r>
                        <m:t>Q</m:t>
                      </m:r>
                      <m:sSub>
                        <m:e>
                          <m:r>
                            <m:t>σ</m:t>
                          </m:r>
                        </m:e>
                        <m:sub>
                          <m:r>
                            <m:t>m</m:t>
                          </m:r>
                        </m:sub>
                      </m:sSub>
                      <m:r>
                        <m:t>φ</m:t>
                      </m:r>
                      <m:d>
                        <m:dPr>
                          <m:begChr m:val="("/>
                          <m:sepChr m:val=""/>
                          <m:endChr m:val=")"/>
                          <m:grow/>
                        </m:dPr>
                        <m:e>
                          <m:r>
                            <m:t>F</m:t>
                          </m:r>
                        </m:e>
                      </m:d>
                    </m:e>
                  </m:d>
                </m:num>
                <m:den>
                  <m:r>
                    <m:t>Q</m:t>
                  </m:r>
                  <m:r>
                    <m:t> </m:t>
                  </m:r>
                  <m:r>
                    <m:t>a</m:t>
                  </m:r>
                  <m:r>
                    <m:t> </m:t>
                  </m:r>
                  <m:r>
                    <m:t>γ</m:t>
                  </m:r>
                </m:den>
              </m:f>
            </m:e>
          </m:rad>
          <m:r>
            <m:rPr>
              <m:sty m:val="p"/>
            </m:rPr>
            <m:t>,</m:t>
          </m:r>
          <m:r>
            <m:t>  </m:t>
          </m:r>
          <m:sSub>
            <m:e>
              <m:r>
                <m:t>t</m:t>
              </m:r>
            </m:e>
            <m:sub>
              <m:r>
                <m:t>W</m:t>
              </m:r>
            </m:sub>
          </m:sSub>
          <m:r>
            <m:rPr>
              <m:sty m:val="p"/>
            </m:rPr>
            <m:t>=</m:t>
          </m:r>
          <m:rad>
            <m:radPr>
              <m:degHide m:val="on"/>
            </m:radPr>
            <m:deg/>
            <m:e>
              <m:f>
                <m:fPr>
                  <m:type m:val="bar"/>
                </m:fPr>
                <m:num>
                  <m:r>
                    <m:t>2</m:t>
                  </m:r>
                  <m:r>
                    <m:t> </m:t>
                  </m:r>
                  <m:d>
                    <m:dPr>
                      <m:begChr m:val="["/>
                      <m:sepChr m:val=""/>
                      <m:endChr m:val="]"/>
                      <m:grow/>
                    </m:dPr>
                    <m:e>
                      <m:r>
                        <m:t>K</m:t>
                      </m:r>
                      <m:d>
                        <m:dPr>
                          <m:begChr m:val="("/>
                          <m:sepChr m:val=""/>
                          <m:endChr m:val=")"/>
                          <m:grow/>
                        </m:dPr>
                        <m:e>
                          <m:r>
                            <m:t>F</m:t>
                          </m:r>
                        </m:e>
                      </m:d>
                      <m:r>
                        <m:rPr>
                          <m:sty m:val="p"/>
                        </m:rPr>
                        <m:t>+</m:t>
                      </m:r>
                      <m:r>
                        <m:t>Q</m:t>
                      </m:r>
                      <m:acc>
                        <m:accPr>
                          <m:chr m:val="‾"/>
                        </m:accPr>
                        <m:e>
                          <m:r>
                            <m:t>σ</m:t>
                          </m:r>
                        </m:e>
                      </m:acc>
                      <m:r>
                        <m:t>φ</m:t>
                      </m:r>
                      <m:d>
                        <m:dPr>
                          <m:begChr m:val="("/>
                          <m:sepChr m:val=""/>
                          <m:endChr m:val=")"/>
                          <m:grow/>
                        </m:dPr>
                        <m:e>
                          <m:r>
                            <m:t>F</m:t>
                          </m:r>
                        </m:e>
                      </m:d>
                    </m:e>
                  </m:d>
                </m:num>
                <m:den>
                  <m:r>
                    <m:t>Q</m:t>
                  </m:r>
                  <m:r>
                    <m:t> </m:t>
                  </m:r>
                  <m:r>
                    <m:t>a</m:t>
                  </m:r>
                  <m:r>
                    <m:t> </m:t>
                  </m:r>
                  <m:r>
                    <m:t>γ</m:t>
                  </m:r>
                </m:den>
              </m:f>
            </m:e>
          </m:rad>
          <m:r>
            <m:rPr>
              <m:sty m:val="p"/>
            </m:rPr>
            <m:t>.</m:t>
          </m:r>
          <m:r>
            <m:t>  </m:t>
          </m:r>
          <m:d>
            <m:dPr>
              <m:begChr m:val="("/>
              <m:sepChr m:val=""/>
              <m:endChr m:val=")"/>
              <m:grow/>
            </m:dPr>
            <m:e>
              <m:r>
                <m:t>7</m:t>
              </m:r>
            </m:e>
          </m:d>
        </m:oMath>
      </m:oMathPara>
    </w:p>
    <w:p>
      <w:pPr>
        <w:pStyle w:val="FirstParagraph"/>
      </w:pPr>
      <w:r>
        <w:t xml:space="preserve">Hence</w:t>
      </w:r>
      <w:r>
        <w:t xml:space="preserve"> </w:t>
      </w:r>
      <m:oMath>
        <m:sSub>
          <m:e>
            <m:r>
              <m:t>t</m:t>
            </m:r>
          </m:e>
          <m:sub>
            <m:r>
              <m:t>P</m:t>
            </m:r>
          </m:sub>
        </m:sSub>
        <m:r>
          <m:rPr>
            <m:sty m:val="p"/>
          </m:rPr>
          <m:t>&lt;</m:t>
        </m:r>
        <m:sSub>
          <m:e>
            <m:r>
              <m:t>t</m:t>
            </m:r>
          </m:e>
          <m:sub>
            <m:r>
              <m:t>W</m:t>
            </m:r>
          </m:sub>
        </m:sSub>
      </m:oMath>
      <w:r>
        <w:t xml:space="preserve"> </w:t>
      </w:r>
      <w:r>
        <w:t xml:space="preserve">if and only if</w:t>
      </w:r>
      <w:r>
        <w:t xml:space="preserve"> </w:t>
      </w:r>
      <m:oMath>
        <m:sSub>
          <m:e>
            <m:r>
              <m:t>σ</m:t>
            </m:r>
          </m:e>
          <m:sub>
            <m:r>
              <m:t>m</m:t>
            </m:r>
          </m:sub>
        </m:sSub>
        <m:r>
          <m:rPr>
            <m:sty m:val="p"/>
          </m:rPr>
          <m:t>&lt;</m:t>
        </m:r>
        <m:acc>
          <m:accPr>
            <m:chr m:val="‾"/>
          </m:accPr>
          <m:e>
            <m:r>
              <m:t>σ</m:t>
            </m:r>
          </m:e>
        </m:acc>
      </m:oMath>
      <w:r>
        <w:t xml:space="preserve">. Under Assumption 2 the platform updates more often than is socially optimal. If instead</w:t>
      </w:r>
      <w:r>
        <w:t xml:space="preserve"> </w:t>
      </w:r>
      <m:oMath>
        <m:r>
          <m:t>σ</m:t>
        </m:r>
      </m:oMath>
      <w:r>
        <w:t xml:space="preserve"> </w:t>
      </w:r>
      <w:r>
        <w:t xml:space="preserve">is decreasing, the platform updates too rarely.</w:t>
      </w:r>
    </w:p>
    <w:p>
      <w:pPr>
        <w:pStyle w:val="BodyText"/>
      </w:pPr>
      <w:r>
        <w:t xml:space="preserve">Both intervals follow the square-root rule of Lemma 1, with the ecosystem’s migration cost added to the platform’s training cost. They differ only in how that migration cost is counted. The intuition is a version of Spence (1975). Lengthening the interval reduces migration costs for everyone, but the platform can raise its price only by the amount the marginal developer values the change. Deeply integrated developers would pay more for stability, yet they are already participating, so the platform cannot charge them for it.</w:t>
      </w:r>
    </w:p>
    <w:p>
      <w:pPr>
        <w:pStyle w:val="BodyText"/>
      </w:pPr>
      <w:r>
        <w:t xml:space="preserve">The opposite case is also informative. If the marginal developers are the fragile ones, for example small firms with little engineering capacity who would leave the platform after a costly migration, the platform internalizes their cost fully and updates too rarely from the perspective of the average participant.</w:t>
      </w:r>
    </w:p>
    <w:bookmarkEnd w:id="35"/>
    <w:bookmarkStart w:id="36" w:name="update-technology"/>
    <w:p>
      <w:pPr>
        <w:pStyle w:val="Heading2"/>
      </w:pPr>
      <w:r>
        <w:t xml:space="preserve">5.2. Update Technology</w:t>
      </w:r>
    </w:p>
    <w:p>
      <w:pPr>
        <w:pStyle w:val="FirstParagraph"/>
      </w:pPr>
      <w:r>
        <w:rPr>
          <w:bCs/>
          <w:b/>
        </w:rPr>
        <w:t xml:space="preserve">Proposition 2 (Over-destruction).</w:t>
      </w:r>
      <w:r>
        <w:t xml:space="preserve"> </w:t>
      </w:r>
      <w:r>
        <w:t xml:space="preserve">Fix</w:t>
      </w:r>
      <w:r>
        <w:t xml:space="preserve"> </w:t>
      </w:r>
      <m:oMath>
        <m:sSup>
          <m:e>
            <m:r>
              <m:t>θ</m:t>
            </m:r>
          </m:e>
          <m:sup>
            <m:r>
              <m:rPr>
                <m:sty m:val="p"/>
              </m:rPr>
              <m:t>*</m:t>
            </m:r>
          </m:sup>
        </m:sSup>
        <m:r>
          <m:rPr>
            <m:sty m:val="p"/>
          </m:rPr>
          <m:t>∈</m:t>
        </m:r>
        <m:d>
          <m:dPr>
            <m:begChr m:val="("/>
            <m:sepChr m:val=""/>
            <m:endChr m:val=")"/>
            <m:grow/>
          </m:dPr>
          <m:e>
            <m:r>
              <m:t>0</m:t>
            </m:r>
            <m:r>
              <m:rPr>
                <m:sty m:val="p"/>
              </m:rPr>
              <m:t>,</m:t>
            </m:r>
            <m:r>
              <m:t>1</m:t>
            </m:r>
          </m:e>
        </m:d>
      </m:oMath>
      <w:r>
        <w:t xml:space="preserve"> </w:t>
      </w:r>
      <w:r>
        <w:t xml:space="preserve">and</w:t>
      </w:r>
      <w:r>
        <w:t xml:space="preserve"> </w:t>
      </w:r>
      <m:oMath>
        <m:r>
          <m:t>t</m:t>
        </m:r>
      </m:oMath>
      <w:r>
        <w:t xml:space="preserve">. Profit and welfare are strictly concave in</w:t>
      </w:r>
      <w:r>
        <w:t xml:space="preserve"> </w:t>
      </w:r>
      <m:oMath>
        <m:r>
          <m:t>F</m:t>
        </m:r>
      </m:oMath>
      <w:r>
        <w:t xml:space="preserve">. At interior optima,</w:t>
      </w:r>
    </w:p>
    <w:p>
      <w:pPr>
        <w:pStyle w:val="BodyText"/>
      </w:pPr>
      <m:oMathPara>
        <m:oMathParaPr>
          <m:jc m:val="center"/>
        </m:oMathParaPr>
        <m:oMath>
          <m:r>
            <m:rPr>
              <m:sty m:val="p"/>
            </m:rPr>
            <m:t>−</m:t>
          </m:r>
          <m:r>
            <m:t>K</m:t>
          </m:r>
          <m:r>
            <m:rPr>
              <m:sty m:val="p"/>
            </m:rPr>
            <m:t>′</m:t>
          </m:r>
          <m:d>
            <m:dPr>
              <m:begChr m:val="("/>
              <m:sepChr m:val=""/>
              <m:endChr m:val=")"/>
              <m:grow/>
            </m:dPr>
            <m:e>
              <m:sSub>
                <m:e>
                  <m:r>
                    <m:t>F</m:t>
                  </m:r>
                </m:e>
                <m:sub>
                  <m:r>
                    <m:t>P</m:t>
                  </m:r>
                </m:sub>
              </m:sSub>
            </m:e>
          </m:d>
          <m:r>
            <m:rPr>
              <m:sty m:val="p"/>
            </m:rPr>
            <m:t>=</m:t>
          </m:r>
          <m:r>
            <m:t>Q</m:t>
          </m:r>
          <m:r>
            <m:t> </m:t>
          </m:r>
          <m:r>
            <m:t>a</m:t>
          </m:r>
          <m:r>
            <m:t> </m:t>
          </m:r>
          <m:r>
            <m:t>t</m:t>
          </m:r>
          <m:r>
            <m:rPr>
              <m:sty m:val="p"/>
            </m:rPr>
            <m:t>+</m:t>
          </m:r>
          <m:r>
            <m:t>Q</m:t>
          </m:r>
          <m:sSub>
            <m:e>
              <m:r>
                <m:t>σ</m:t>
              </m:r>
            </m:e>
            <m:sub>
              <m:r>
                <m:t>m</m:t>
              </m:r>
            </m:sub>
          </m:sSub>
          <m:r>
            <m:t>φ</m:t>
          </m:r>
          <m:r>
            <m:rPr>
              <m:sty m:val="p"/>
            </m:rPr>
            <m:t>′</m:t>
          </m:r>
          <m:d>
            <m:dPr>
              <m:begChr m:val="("/>
              <m:sepChr m:val=""/>
              <m:endChr m:val=")"/>
              <m:grow/>
            </m:dPr>
            <m:e>
              <m:sSub>
                <m:e>
                  <m:r>
                    <m:t>F</m:t>
                  </m:r>
                </m:e>
                <m:sub>
                  <m:r>
                    <m:t>P</m:t>
                  </m:r>
                </m:sub>
              </m:sSub>
            </m:e>
          </m:d>
          <m:r>
            <m:rPr>
              <m:sty m:val="p"/>
            </m:rPr>
            <m:t>,</m:t>
          </m:r>
          <m:r>
            <m:t>  </m:t>
          </m:r>
          <m:r>
            <m:rPr>
              <m:sty m:val="p"/>
            </m:rPr>
            <m:t>−</m:t>
          </m:r>
          <m:r>
            <m:t>K</m:t>
          </m:r>
          <m:r>
            <m:rPr>
              <m:sty m:val="p"/>
            </m:rPr>
            <m:t>′</m:t>
          </m:r>
          <m:d>
            <m:dPr>
              <m:begChr m:val="("/>
              <m:sepChr m:val=""/>
              <m:endChr m:val=")"/>
              <m:grow/>
            </m:dPr>
            <m:e>
              <m:sSub>
                <m:e>
                  <m:r>
                    <m:t>F</m:t>
                  </m:r>
                </m:e>
                <m:sub>
                  <m:r>
                    <m:t>W</m:t>
                  </m:r>
                </m:sub>
              </m:sSub>
            </m:e>
          </m:d>
          <m:r>
            <m:rPr>
              <m:sty m:val="p"/>
            </m:rPr>
            <m:t>=</m:t>
          </m:r>
          <m:r>
            <m:t>Q</m:t>
          </m:r>
          <m:r>
            <m:t> </m:t>
          </m:r>
          <m:r>
            <m:t>a</m:t>
          </m:r>
          <m:r>
            <m:t> </m:t>
          </m:r>
          <m:r>
            <m:t>t</m:t>
          </m:r>
          <m:r>
            <m:rPr>
              <m:sty m:val="p"/>
            </m:rPr>
            <m:t>+</m:t>
          </m:r>
          <m:r>
            <m:t>Q</m:t>
          </m:r>
          <m:acc>
            <m:accPr>
              <m:chr m:val="‾"/>
            </m:accPr>
            <m:e>
              <m:r>
                <m:t>σ</m:t>
              </m:r>
            </m:e>
          </m:acc>
          <m:r>
            <m:t>φ</m:t>
          </m:r>
          <m:r>
            <m:rPr>
              <m:sty m:val="p"/>
            </m:rPr>
            <m:t>′</m:t>
          </m:r>
          <m:d>
            <m:dPr>
              <m:begChr m:val="("/>
              <m:sepChr m:val=""/>
              <m:endChr m:val=")"/>
              <m:grow/>
            </m:dPr>
            <m:e>
              <m:sSub>
                <m:e>
                  <m:r>
                    <m:t>F</m:t>
                  </m:r>
                </m:e>
                <m:sub>
                  <m:r>
                    <m:t>W</m:t>
                  </m:r>
                </m:sub>
              </m:sSub>
            </m:e>
          </m:d>
          <m:r>
            <m:rPr>
              <m:sty m:val="p"/>
            </m:rPr>
            <m:t>,</m:t>
          </m:r>
          <m:r>
            <m:t>  </m:t>
          </m:r>
          <m:d>
            <m:dPr>
              <m:begChr m:val="("/>
              <m:sepChr m:val=""/>
              <m:endChr m:val=")"/>
              <m:grow/>
            </m:dPr>
            <m:e>
              <m:r>
                <m:t>8</m:t>
              </m:r>
            </m:e>
          </m:d>
        </m:oMath>
      </m:oMathPara>
    </w:p>
    <w:p>
      <w:pPr>
        <w:pStyle w:val="FirstParagraph"/>
      </w:pPr>
      <w:r>
        <w:t xml:space="preserve">and</w:t>
      </w:r>
      <w:r>
        <w:t xml:space="preserve"> </w:t>
      </w:r>
      <m:oMath>
        <m:sSub>
          <m:e>
            <m:r>
              <m:t>F</m:t>
            </m:r>
          </m:e>
          <m:sub>
            <m:r>
              <m:t>P</m:t>
            </m:r>
          </m:sub>
        </m:sSub>
        <m:r>
          <m:rPr>
            <m:sty m:val="p"/>
          </m:rPr>
          <m:t>≥</m:t>
        </m:r>
        <m:sSub>
          <m:e>
            <m:r>
              <m:t>F</m:t>
            </m:r>
          </m:e>
          <m:sub>
            <m:r>
              <m:t>W</m:t>
            </m:r>
          </m:sub>
        </m:sSub>
      </m:oMath>
      <w:r>
        <w:t xml:space="preserve"> </w:t>
      </w:r>
      <w:r>
        <w:t xml:space="preserve">whenever</w:t>
      </w:r>
      <w:r>
        <w:t xml:space="preserve"> </w:t>
      </w:r>
      <m:oMath>
        <m:sSub>
          <m:e>
            <m:r>
              <m:t>σ</m:t>
            </m:r>
          </m:e>
          <m:sub>
            <m:r>
              <m:t>m</m:t>
            </m:r>
          </m:sub>
        </m:sSub>
        <m:r>
          <m:rPr>
            <m:sty m:val="p"/>
          </m:rPr>
          <m:t>≤</m:t>
        </m:r>
        <m:acc>
          <m:accPr>
            <m:chr m:val="‾"/>
          </m:accPr>
          <m:e>
            <m:r>
              <m:t>σ</m:t>
            </m:r>
          </m:e>
        </m:acc>
      </m:oMath>
      <w:r>
        <w:t xml:space="preserve">, with strict inequality if</w:t>
      </w:r>
      <w:r>
        <w:t xml:space="preserve"> </w:t>
      </w:r>
      <m:oMath>
        <m:r>
          <m:t>φ</m:t>
        </m:r>
        <m:r>
          <m:rPr>
            <m:sty m:val="p"/>
          </m:rPr>
          <m:t>′</m:t>
        </m:r>
        <m:r>
          <m:rPr>
            <m:sty m:val="p"/>
          </m:rPr>
          <m:t>&gt;</m:t>
        </m:r>
        <m:r>
          <m:t>0</m:t>
        </m:r>
      </m:oMath>
      <w:r>
        <w:t xml:space="preserve">.</w:t>
      </w:r>
    </w:p>
    <w:p>
      <w:pPr>
        <w:pStyle w:val="BodyText"/>
      </w:pPr>
      <w:r>
        <w:t xml:space="preserve">The left side of (8) is the saving in training cost from tolerating more destruction. The right side is the marginal harm: lost service value for all participants (</w:t>
      </w:r>
      <m:oMath>
        <m:r>
          <m:t>Q</m:t>
        </m:r>
        <m:r>
          <m:t>a</m:t>
        </m:r>
        <m:r>
          <m:t>t</m:t>
        </m:r>
      </m:oMath>
      <w:r>
        <w:t xml:space="preserve">, expressed per update) and higher migration costs. Under Assumption 2 the platform underestimates the second component and chooses a technology that is cheaper to run but breaks more of what developers rely on.</w:t>
      </w:r>
    </w:p>
    <w:bookmarkEnd w:id="36"/>
    <w:bookmarkStart w:id="37" w:name="joint-distortion"/>
    <w:p>
      <w:pPr>
        <w:pStyle w:val="Heading2"/>
      </w:pPr>
      <w:r>
        <w:t xml:space="preserve">5.3. Joint Distortion</w:t>
      </w:r>
    </w:p>
    <w:p>
      <w:pPr>
        <w:pStyle w:val="FirstParagraph"/>
      </w:pPr>
      <w:r>
        <w:t xml:space="preserve">Propositions 1 and 2 each hold the other choice fixed. The two distortions interact. A shorter interval lowers the term</w:t>
      </w:r>
      <w:r>
        <w:t xml:space="preserve"> </w:t>
      </w:r>
      <m:oMath>
        <m:r>
          <m:t>Q</m:t>
        </m:r>
        <m:r>
          <m:t>a</m:t>
        </m:r>
        <m:r>
          <m:t>t</m:t>
        </m:r>
      </m:oMath>
      <w:r>
        <w:t xml:space="preserve"> </w:t>
      </w:r>
      <w:r>
        <w:t xml:space="preserve">in (8), which further reduces the platform’s marginal cost of destruction; more destruction raises</w:t>
      </w:r>
      <w:r>
        <w:t xml:space="preserve"> </w:t>
      </w:r>
      <m:oMath>
        <m:r>
          <m:t>φ</m:t>
        </m:r>
        <m:d>
          <m:dPr>
            <m:begChr m:val="("/>
            <m:sepChr m:val=""/>
            <m:endChr m:val=")"/>
            <m:grow/>
          </m:dPr>
          <m:e>
            <m:r>
              <m:t>F</m:t>
            </m:r>
          </m:e>
        </m:d>
      </m:oMath>
      <w:r>
        <w:t xml:space="preserve">, which lengthens the interval through (7). The following result shows that, on balance, the distortions reinforce each other. Let</w:t>
      </w:r>
      <w:r>
        <w:t xml:space="preserve"> </w:t>
      </w:r>
      <m:oMath>
        <m:r>
          <m:t>s</m:t>
        </m:r>
        <m:r>
          <m:rPr>
            <m:sty m:val="p"/>
          </m:rPr>
          <m:t>∈</m:t>
        </m:r>
        <m:d>
          <m:dPr>
            <m:begChr m:val="["/>
            <m:sepChr m:val=""/>
            <m:endChr m:val="]"/>
            <m:grow/>
          </m:dPr>
          <m:e>
            <m:sSub>
              <m:e>
                <m:r>
                  <m:t>σ</m:t>
                </m:r>
              </m:e>
              <m:sub>
                <m:r>
                  <m:t>m</m:t>
                </m:r>
              </m:sub>
            </m:sSub>
            <m:r>
              <m:rPr>
                <m:sty m:val="p"/>
              </m:rPr>
              <m:t>,</m:t>
            </m:r>
            <m:acc>
              <m:accPr>
                <m:chr m:val="‾"/>
              </m:accPr>
              <m:e>
                <m:r>
                  <m:t>σ</m:t>
                </m:r>
              </m:e>
            </m:acc>
          </m:e>
        </m:d>
      </m:oMath>
      <w:r>
        <w:t xml:space="preserve"> </w:t>
      </w:r>
      <w:r>
        <w:t xml:space="preserve">index the weight placed on migration costs, so that</w:t>
      </w:r>
      <w:r>
        <w:t xml:space="preserve"> </w:t>
      </w:r>
      <m:oMath>
        <m:r>
          <m:t>s</m:t>
        </m:r>
        <m:r>
          <m:rPr>
            <m:sty m:val="p"/>
          </m:rPr>
          <m:t>=</m:t>
        </m:r>
        <m:sSub>
          <m:e>
            <m:r>
              <m:t>σ</m:t>
            </m:r>
          </m:e>
          <m:sub>
            <m:r>
              <m:t>m</m:t>
            </m:r>
          </m:sub>
        </m:sSub>
      </m:oMath>
      <w:r>
        <w:t xml:space="preserve"> </w:t>
      </w:r>
      <w:r>
        <w:t xml:space="preserve">gives the platform’s problem and</w:t>
      </w:r>
      <w:r>
        <w:t xml:space="preserve"> </w:t>
      </w:r>
      <m:oMath>
        <m:r>
          <m:t>s</m:t>
        </m:r>
        <m:r>
          <m:rPr>
            <m:sty m:val="p"/>
          </m:rPr>
          <m:t>=</m:t>
        </m:r>
        <m:acc>
          <m:accPr>
            <m:chr m:val="‾"/>
          </m:accPr>
          <m:e>
            <m:r>
              <m:t>σ</m:t>
            </m:r>
          </m:e>
        </m:acc>
      </m:oMath>
      <w:r>
        <w:t xml:space="preserve"> </w:t>
      </w:r>
      <w:r>
        <w:t xml:space="preserve">gives welfare. Concentrating out</w:t>
      </w:r>
      <w:r>
        <w:t xml:space="preserve"> </w:t>
      </w:r>
      <m:oMath>
        <m:r>
          <m:t>t</m:t>
        </m:r>
      </m:oMath>
      <w:r>
        <w:t xml:space="preserve"> </w:t>
      </w:r>
      <w:r>
        <w:t xml:space="preserve">yields the objective</w:t>
      </w:r>
    </w:p>
    <w:p>
      <w:pPr>
        <w:pStyle w:val="BodyText"/>
      </w:pPr>
      <m:oMathPara>
        <m:oMathParaPr>
          <m:jc m:val="center"/>
        </m:oMathParaPr>
        <m:oMath>
          <m:r>
            <m:t>V</m:t>
          </m:r>
          <m:d>
            <m:dPr>
              <m:begChr m:val="("/>
              <m:sepChr m:val=""/>
              <m:endChr m:val=")"/>
              <m:grow/>
            </m:dPr>
            <m:e>
              <m:r>
                <m:t>F</m:t>
              </m:r>
              <m:r>
                <m:rPr>
                  <m:sty m:val="p"/>
                </m:rPr>
                <m:t>;</m:t>
              </m:r>
              <m:r>
                <m:t>s</m:t>
              </m:r>
            </m:e>
          </m:d>
          <m:r>
            <m:rPr>
              <m:sty m:val="p"/>
            </m:rPr>
            <m:t>=</m:t>
          </m:r>
          <m:r>
            <m:rPr>
              <m:sty m:val="p"/>
            </m:rPr>
            <m:t>−</m:t>
          </m:r>
          <m:r>
            <m:t>Q</m:t>
          </m:r>
          <m:r>
            <m:t>a</m:t>
          </m:r>
          <m:r>
            <m:t>F</m:t>
          </m:r>
          <m:r>
            <m:rPr>
              <m:sty m:val="p"/>
            </m:rPr>
            <m:t>−</m:t>
          </m:r>
          <m:rad>
            <m:radPr>
              <m:degHide m:val="on"/>
            </m:radPr>
            <m:deg/>
            <m:e>
              <m:r>
                <m:t>2</m:t>
              </m:r>
              <m:r>
                <m:t>Q</m:t>
              </m:r>
              <m:r>
                <m:t>a</m:t>
              </m:r>
              <m:r>
                <m:t>γ</m:t>
              </m:r>
              <m:r>
                <m:t> </m:t>
              </m:r>
              <m:r>
                <m:t>H</m:t>
              </m:r>
              <m:d>
                <m:dPr>
                  <m:begChr m:val="("/>
                  <m:sepChr m:val=""/>
                  <m:endChr m:val=")"/>
                  <m:grow/>
                </m:dPr>
                <m:e>
                  <m:r>
                    <m:t>F</m:t>
                  </m:r>
                  <m:r>
                    <m:rPr>
                      <m:sty m:val="p"/>
                    </m:rPr>
                    <m:t>;</m:t>
                  </m:r>
                  <m:r>
                    <m:t>s</m:t>
                  </m:r>
                </m:e>
              </m:d>
            </m:e>
          </m:rad>
          <m:r>
            <m:rPr>
              <m:sty m:val="p"/>
            </m:rPr>
            <m:t>,</m:t>
          </m:r>
          <m:r>
            <m:t>  </m:t>
          </m:r>
          <m:r>
            <m:t>H</m:t>
          </m:r>
          <m:d>
            <m:dPr>
              <m:begChr m:val="("/>
              <m:sepChr m:val=""/>
              <m:endChr m:val=")"/>
              <m:grow/>
            </m:dPr>
            <m:e>
              <m:r>
                <m:t>F</m:t>
              </m:r>
              <m:r>
                <m:rPr>
                  <m:sty m:val="p"/>
                </m:rPr>
                <m:t>;</m:t>
              </m:r>
              <m:r>
                <m:t>s</m:t>
              </m:r>
            </m:e>
          </m:d>
          <m:r>
            <m:rPr>
              <m:sty m:val="p"/>
            </m:rPr>
            <m:t>≡</m:t>
          </m:r>
          <m:r>
            <m:t>K</m:t>
          </m:r>
          <m:d>
            <m:dPr>
              <m:begChr m:val="("/>
              <m:sepChr m:val=""/>
              <m:endChr m:val=")"/>
              <m:grow/>
            </m:dPr>
            <m:e>
              <m:r>
                <m:t>F</m:t>
              </m:r>
            </m:e>
          </m:d>
          <m:r>
            <m:rPr>
              <m:sty m:val="p"/>
            </m:rPr>
            <m:t>+</m:t>
          </m:r>
          <m:r>
            <m:t>Q</m:t>
          </m:r>
          <m:r>
            <m:t>s</m:t>
          </m:r>
          <m:r>
            <m:t>φ</m:t>
          </m:r>
          <m:d>
            <m:dPr>
              <m:begChr m:val="("/>
              <m:sepChr m:val=""/>
              <m:endChr m:val=")"/>
              <m:grow/>
            </m:dPr>
            <m:e>
              <m:r>
                <m:t>F</m:t>
              </m:r>
            </m:e>
          </m:d>
          <m:r>
            <m:rPr>
              <m:sty m:val="p"/>
            </m:rPr>
            <m:t>,</m:t>
          </m:r>
          <m:r>
            <m:t>  </m:t>
          </m:r>
          <m:d>
            <m:dPr>
              <m:begChr m:val="("/>
              <m:sepChr m:val=""/>
              <m:endChr m:val=")"/>
              <m:grow/>
            </m:dPr>
            <m:e>
              <m:r>
                <m:t>9</m:t>
              </m:r>
            </m:e>
          </m:d>
        </m:oMath>
      </m:oMathPara>
    </w:p>
    <w:p>
      <w:pPr>
        <w:pStyle w:val="FirstParagraph"/>
      </w:pPr>
      <w:r>
        <w:t xml:space="preserve">up to terms that do not depend on</w:t>
      </w:r>
      <w:r>
        <w:t xml:space="preserve"> </w:t>
      </w:r>
      <m:oMath>
        <m:d>
          <m:dPr>
            <m:begChr m:val="("/>
            <m:sepChr m:val=""/>
            <m:endChr m:val=")"/>
            <m:grow/>
          </m:dPr>
          <m:e>
            <m:r>
              <m:t>t</m:t>
            </m:r>
            <m:r>
              <m:rPr>
                <m:sty m:val="p"/>
              </m:rPr>
              <m:t>,</m:t>
            </m:r>
            <m:r>
              <m:t>F</m:t>
            </m:r>
          </m:e>
        </m:d>
      </m:oMath>
      <w:r>
        <w:t xml:space="preserve">.</w:t>
      </w:r>
    </w:p>
    <w:p>
      <w:pPr>
        <w:pStyle w:val="BodyText"/>
      </w:pPr>
      <w:r>
        <w:rPr>
          <w:bCs/>
          <w:b/>
        </w:rPr>
        <w:t xml:space="preserve">Assumption 3.</w:t>
      </w:r>
      <w:r>
        <w:t xml:space="preserve"> </w:t>
      </w:r>
      <w:r>
        <w:t xml:space="preserve">For every</w:t>
      </w:r>
      <w:r>
        <w:t xml:space="preserve"> </w:t>
      </w:r>
      <m:oMath>
        <m:r>
          <m:t>s</m:t>
        </m:r>
        <m:r>
          <m:rPr>
            <m:sty m:val="p"/>
          </m:rPr>
          <m:t>∈</m:t>
        </m:r>
        <m:d>
          <m:dPr>
            <m:begChr m:val="["/>
            <m:sepChr m:val=""/>
            <m:endChr m:val="]"/>
            <m:grow/>
          </m:dPr>
          <m:e>
            <m:sSub>
              <m:e>
                <m:r>
                  <m:t>σ</m:t>
                </m:r>
              </m:e>
              <m:sub>
                <m:r>
                  <m:t>m</m:t>
                </m:r>
              </m:sub>
            </m:sSub>
            <m:r>
              <m:rPr>
                <m:sty m:val="p"/>
              </m:rPr>
              <m:t>,</m:t>
            </m:r>
            <m:acc>
              <m:accPr>
                <m:chr m:val="‾"/>
              </m:accPr>
              <m:e>
                <m:r>
                  <m:t>σ</m:t>
                </m:r>
              </m:e>
            </m:acc>
          </m:e>
        </m:d>
      </m:oMath>
      <w:r>
        <w:t xml:space="preserve">,</w:t>
      </w:r>
      <w:r>
        <w:t xml:space="preserve"> </w:t>
      </w:r>
      <m:oMath>
        <m:r>
          <m:t>V</m:t>
        </m:r>
        <m:d>
          <m:dPr>
            <m:begChr m:val="("/>
            <m:sepChr m:val=""/>
            <m:endChr m:val=")"/>
            <m:grow/>
          </m:dPr>
          <m:e>
            <m:r>
              <m:rPr>
                <m:sty m:val="p"/>
              </m:rPr>
              <m:t>⋅</m:t>
            </m:r>
            <m:r>
              <m:t> </m:t>
            </m:r>
            <m:r>
              <m:rPr>
                <m:sty m:val="p"/>
              </m:rPr>
              <m:t>;</m:t>
            </m:r>
            <m:r>
              <m:t>s</m:t>
            </m:r>
          </m:e>
        </m:d>
      </m:oMath>
      <w:r>
        <w:t xml:space="preserve"> </w:t>
      </w:r>
      <w:r>
        <w:t xml:space="preserve">has a unique interior maximizer at which it is strictly concave.</w:t>
      </w:r>
    </w:p>
    <w:p>
      <w:pPr>
        <w:pStyle w:val="BodyText"/>
      </w:pPr>
      <w:r>
        <w:rPr>
          <w:bCs/>
          <w:b/>
        </w:rPr>
        <w:t xml:space="preserve">Proposition 3 (Reinforcing distortions).</w:t>
      </w:r>
      <w:r>
        <w:t xml:space="preserve"> </w:t>
      </w:r>
      <w:r>
        <w:t xml:space="preserve">Fix</w:t>
      </w:r>
      <w:r>
        <w:t xml:space="preserve"> </w:t>
      </w:r>
      <m:oMath>
        <m:sSup>
          <m:e>
            <m:r>
              <m:t>θ</m:t>
            </m:r>
          </m:e>
          <m:sup>
            <m:r>
              <m:rPr>
                <m:sty m:val="p"/>
              </m:rPr>
              <m:t>*</m:t>
            </m:r>
          </m:sup>
        </m:sSup>
        <m:r>
          <m:rPr>
            <m:sty m:val="p"/>
          </m:rPr>
          <m:t>∈</m:t>
        </m:r>
        <m:d>
          <m:dPr>
            <m:begChr m:val="("/>
            <m:sepChr m:val=""/>
            <m:endChr m:val=")"/>
            <m:grow/>
          </m:dPr>
          <m:e>
            <m:r>
              <m:t>0</m:t>
            </m:r>
            <m:r>
              <m:rPr>
                <m:sty m:val="p"/>
              </m:rPr>
              <m:t>,</m:t>
            </m:r>
            <m:r>
              <m:t>1</m:t>
            </m:r>
          </m:e>
        </m:d>
      </m:oMath>
      <w:r>
        <w:t xml:space="preserve"> </w:t>
      </w:r>
      <w:r>
        <w:t xml:space="preserve">and suppose Assumptions 2 and 3 hold. Then the platform’s joint choice satisfies</w:t>
      </w:r>
      <w:r>
        <w:t xml:space="preserve"> </w:t>
      </w:r>
      <m:oMath>
        <m:sSub>
          <m:e>
            <m:r>
              <m:t>t</m:t>
            </m:r>
          </m:e>
          <m:sub>
            <m:r>
              <m:t>P</m:t>
            </m:r>
          </m:sub>
        </m:sSub>
        <m:r>
          <m:rPr>
            <m:sty m:val="p"/>
          </m:rPr>
          <m:t>&lt;</m:t>
        </m:r>
        <m:sSub>
          <m:e>
            <m:r>
              <m:t>t</m:t>
            </m:r>
          </m:e>
          <m:sub>
            <m:r>
              <m:t>W</m:t>
            </m:r>
          </m:sub>
        </m:sSub>
      </m:oMath>
      <w:r>
        <w:t xml:space="preserve"> </w:t>
      </w:r>
      <w:r>
        <w:t xml:space="preserve">and</w:t>
      </w:r>
      <w:r>
        <w:t xml:space="preserve"> </w:t>
      </w:r>
      <m:oMath>
        <m:sSub>
          <m:e>
            <m:r>
              <m:t>F</m:t>
            </m:r>
          </m:e>
          <m:sub>
            <m:r>
              <m:t>P</m:t>
            </m:r>
          </m:sub>
        </m:sSub>
        <m:r>
          <m:rPr>
            <m:sty m:val="p"/>
          </m:rPr>
          <m:t>&gt;</m:t>
        </m:r>
        <m:sSub>
          <m:e>
            <m:r>
              <m:t>F</m:t>
            </m:r>
          </m:e>
          <m:sub>
            <m:r>
              <m:t>W</m:t>
            </m:r>
          </m:sub>
        </m:sSub>
      </m:oMath>
      <w:r>
        <w:t xml:space="preserve">.</w:t>
      </w:r>
    </w:p>
    <w:p>
      <w:pPr>
        <w:pStyle w:val="BodyText"/>
      </w:pPr>
      <w:r>
        <w:t xml:space="preserve">The result says that the platform both changes the model too often and changes it too disruptively. From the ecosystem’s perspective these are two faces of the same under-weighting of developer migration costs.</w:t>
      </w:r>
    </w:p>
    <w:bookmarkEnd w:id="37"/>
    <w:bookmarkStart w:id="38" w:name="magnitude-of-the-distortion"/>
    <w:p>
      <w:pPr>
        <w:pStyle w:val="Heading2"/>
      </w:pPr>
      <w:r>
        <w:t xml:space="preserve">5.4. Magnitude of the Distortion</w:t>
      </w:r>
    </w:p>
    <w:p>
      <w:pPr>
        <w:pStyle w:val="FirstParagraph"/>
      </w:pPr>
      <w:r>
        <w:rPr>
          <w:bCs/>
          <w:b/>
        </w:rPr>
        <w:t xml:space="preserve">Proposition 4 (When the distortion is large).</w:t>
      </w:r>
      <w:r>
        <w:t xml:space="preserve"> </w:t>
      </w:r>
      <w:r>
        <w:t xml:space="preserve">Fix</w:t>
      </w:r>
      <w:r>
        <w:t xml:space="preserve"> </w:t>
      </w:r>
      <m:oMath>
        <m:sSup>
          <m:e>
            <m:r>
              <m:t>θ</m:t>
            </m:r>
          </m:e>
          <m:sup>
            <m:r>
              <m:rPr>
                <m:sty m:val="p"/>
              </m:rPr>
              <m:t>*</m:t>
            </m:r>
          </m:sup>
        </m:sSup>
      </m:oMath>
      <w:r>
        <w:t xml:space="preserve">,</w:t>
      </w:r>
      <w:r>
        <w:t xml:space="preserve"> </w:t>
      </w:r>
      <m:oMath>
        <m:r>
          <m:t>F</m:t>
        </m:r>
      </m:oMath>
      <w:r>
        <w:t xml:space="preserve"> </w:t>
      </w:r>
      <w:r>
        <w:t xml:space="preserve">and the migration costs</w:t>
      </w:r>
      <w:r>
        <w:t xml:space="preserve"> </w:t>
      </w:r>
      <m:oMath>
        <m:sSub>
          <m:e>
            <m:r>
              <m:t>σ</m:t>
            </m:r>
          </m:e>
          <m:sub>
            <m:r>
              <m:t>m</m:t>
            </m:r>
          </m:sub>
        </m:sSub>
        <m:r>
          <m:rPr>
            <m:sty m:val="p"/>
          </m:rPr>
          <m:t>&lt;</m:t>
        </m:r>
        <m:acc>
          <m:accPr>
            <m:chr m:val="‾"/>
          </m:accPr>
          <m:e>
            <m:r>
              <m:t>σ</m:t>
            </m:r>
          </m:e>
        </m:acc>
      </m:oMath>
      <w:r>
        <w:t xml:space="preserve">. The ratio of the platform’s interval to the second-best interval is</w:t>
      </w:r>
    </w:p>
    <w:p>
      <w:pPr>
        <w:pStyle w:val="BodyText"/>
      </w:pPr>
      <m:oMathPara>
        <m:oMathParaPr>
          <m:jc m:val="center"/>
        </m:oMathParaPr>
        <m:oMath>
          <m:f>
            <m:fPr>
              <m:type m:val="bar"/>
            </m:fPr>
            <m:num>
              <m:sSub>
                <m:e>
                  <m:r>
                    <m:t>t</m:t>
                  </m:r>
                </m:e>
                <m:sub>
                  <m:r>
                    <m:t>P</m:t>
                  </m:r>
                </m:sub>
              </m:sSub>
            </m:num>
            <m:den>
              <m:sSub>
                <m:e>
                  <m:r>
                    <m:t>t</m:t>
                  </m:r>
                </m:e>
                <m:sub>
                  <m:r>
                    <m:t>W</m:t>
                  </m:r>
                </m:sub>
              </m:sSub>
            </m:den>
          </m:f>
          <m:r>
            <m:rPr>
              <m:sty m:val="p"/>
            </m:rPr>
            <m:t>=</m:t>
          </m:r>
          <m:rad>
            <m:radPr>
              <m:degHide m:val="on"/>
            </m:radPr>
            <m:deg/>
            <m:e>
              <m:f>
                <m:fPr>
                  <m:type m:val="bar"/>
                </m:fPr>
                <m:num>
                  <m:r>
                    <m:t>K</m:t>
                  </m:r>
                  <m:d>
                    <m:dPr>
                      <m:begChr m:val="("/>
                      <m:sepChr m:val=""/>
                      <m:endChr m:val=")"/>
                      <m:grow/>
                    </m:dPr>
                    <m:e>
                      <m:r>
                        <m:t>F</m:t>
                      </m:r>
                    </m:e>
                  </m:d>
                  <m:r>
                    <m:rPr>
                      <m:sty m:val="p"/>
                    </m:rPr>
                    <m:t>/</m:t>
                  </m:r>
                  <m:r>
                    <m:t>Q</m:t>
                  </m:r>
                  <m:r>
                    <m:rPr>
                      <m:sty m:val="p"/>
                    </m:rPr>
                    <m:t>+</m:t>
                  </m:r>
                  <m:sSub>
                    <m:e>
                      <m:r>
                        <m:t>σ</m:t>
                      </m:r>
                    </m:e>
                    <m:sub>
                      <m:r>
                        <m:t>m</m:t>
                      </m:r>
                    </m:sub>
                  </m:sSub>
                  <m:r>
                    <m:t>φ</m:t>
                  </m:r>
                  <m:d>
                    <m:dPr>
                      <m:begChr m:val="("/>
                      <m:sepChr m:val=""/>
                      <m:endChr m:val=")"/>
                      <m:grow/>
                    </m:dPr>
                    <m:e>
                      <m:r>
                        <m:t>F</m:t>
                      </m:r>
                    </m:e>
                  </m:d>
                </m:num>
                <m:den>
                  <m:r>
                    <m:t>K</m:t>
                  </m:r>
                  <m:d>
                    <m:dPr>
                      <m:begChr m:val="("/>
                      <m:sepChr m:val=""/>
                      <m:endChr m:val=")"/>
                      <m:grow/>
                    </m:dPr>
                    <m:e>
                      <m:r>
                        <m:t>F</m:t>
                      </m:r>
                    </m:e>
                  </m:d>
                  <m:r>
                    <m:rPr>
                      <m:sty m:val="p"/>
                    </m:rPr>
                    <m:t>/</m:t>
                  </m:r>
                  <m:r>
                    <m:t>Q</m:t>
                  </m:r>
                  <m:r>
                    <m:rPr>
                      <m:sty m:val="p"/>
                    </m:rPr>
                    <m:t>+</m:t>
                  </m:r>
                  <m:acc>
                    <m:accPr>
                      <m:chr m:val="‾"/>
                    </m:accPr>
                    <m:e>
                      <m:r>
                        <m:t>σ</m:t>
                      </m:r>
                    </m:e>
                  </m:acc>
                  <m:r>
                    <m:t>φ</m:t>
                  </m:r>
                  <m:d>
                    <m:dPr>
                      <m:begChr m:val="("/>
                      <m:sepChr m:val=""/>
                      <m:endChr m:val=")"/>
                      <m:grow/>
                    </m:dPr>
                    <m:e>
                      <m:r>
                        <m:t>F</m:t>
                      </m:r>
                    </m:e>
                  </m:d>
                </m:den>
              </m:f>
            </m:e>
          </m:rad>
          <m:r>
            <m:rPr>
              <m:sty m:val="p"/>
            </m:rPr>
            <m:t>∈</m:t>
          </m:r>
          <m:d>
            <m:dPr>
              <m:begChr m:val="("/>
              <m:sepChr m:val=""/>
              <m:endChr m:val=")"/>
              <m:grow/>
            </m:dPr>
            <m:e>
              <m:rad>
                <m:radPr>
                  <m:degHide m:val="on"/>
                </m:radPr>
                <m:deg/>
                <m:e>
                  <m:sSub>
                    <m:e>
                      <m:r>
                        <m:t>σ</m:t>
                      </m:r>
                    </m:e>
                    <m:sub>
                      <m:r>
                        <m:t>m</m:t>
                      </m:r>
                    </m:sub>
                  </m:sSub>
                  <m:r>
                    <m:rPr>
                      <m:sty m:val="p"/>
                    </m:rPr>
                    <m:t>/</m:t>
                  </m:r>
                  <m:acc>
                    <m:accPr>
                      <m:chr m:val="‾"/>
                    </m:accPr>
                    <m:e>
                      <m:r>
                        <m:t>σ</m:t>
                      </m:r>
                    </m:e>
                  </m:acc>
                </m:e>
              </m:rad>
              <m:r>
                <m:rPr>
                  <m:sty m:val="p"/>
                </m:rPr>
                <m:t>,</m:t>
              </m:r>
              <m:r>
                <m:t> </m:t>
              </m:r>
              <m:r>
                <m:t>1</m:t>
              </m:r>
            </m:e>
          </m:d>
          <m:r>
            <m:rPr>
              <m:sty m:val="p"/>
            </m:rPr>
            <m:t>.</m:t>
          </m:r>
          <m:r>
            <m:t>  </m:t>
          </m:r>
          <m:d>
            <m:dPr>
              <m:begChr m:val="("/>
              <m:sepChr m:val=""/>
              <m:endChr m:val=")"/>
              <m:grow/>
            </m:dPr>
            <m:e>
              <m:r>
                <m:t>10</m:t>
              </m:r>
            </m:e>
          </m:d>
        </m:oMath>
      </m:oMathPara>
    </w:p>
    <w:p>
      <w:pPr>
        <w:pStyle w:val="FirstParagraph"/>
      </w:pPr>
      <w:r>
        <w:t xml:space="preserve">The ratio rises toward 1 as the training cost per participant</w:t>
      </w:r>
      <w:r>
        <w:t xml:space="preserve"> </w:t>
      </w:r>
      <m:oMath>
        <m:r>
          <m:t>K</m:t>
        </m:r>
        <m:d>
          <m:dPr>
            <m:begChr m:val="("/>
            <m:sepChr m:val=""/>
            <m:endChr m:val=")"/>
            <m:grow/>
          </m:dPr>
          <m:e>
            <m:r>
              <m:t>F</m:t>
            </m:r>
          </m:e>
        </m:d>
        <m:r>
          <m:rPr>
            <m:sty m:val="p"/>
          </m:rPr>
          <m:t>/</m:t>
        </m:r>
        <m:r>
          <m:t>Q</m:t>
        </m:r>
      </m:oMath>
      <w:r>
        <w:t xml:space="preserve"> </w:t>
      </w:r>
      <w:r>
        <w:t xml:space="preserve">grows, and falls toward</w:t>
      </w:r>
      <w:r>
        <w:t xml:space="preserve"> </w:t>
      </w:r>
      <m:oMath>
        <m:rad>
          <m:radPr>
            <m:degHide m:val="on"/>
          </m:radPr>
          <m:deg/>
          <m:e>
            <m:sSub>
              <m:e>
                <m:r>
                  <m:t>σ</m:t>
                </m:r>
              </m:e>
              <m:sub>
                <m:r>
                  <m:t>m</m:t>
                </m:r>
              </m:sub>
            </m:sSub>
            <m:r>
              <m:rPr>
                <m:sty m:val="p"/>
              </m:rPr>
              <m:t>/</m:t>
            </m:r>
            <m:acc>
              <m:accPr>
                <m:chr m:val="‾"/>
              </m:accPr>
              <m:e>
                <m:r>
                  <m:t>σ</m:t>
                </m:r>
              </m:e>
            </m:acc>
          </m:e>
        </m:rad>
      </m:oMath>
      <w:r>
        <w:t xml:space="preserve"> </w:t>
      </w:r>
      <w:r>
        <w:t xml:space="preserve">as</w:t>
      </w:r>
      <w:r>
        <w:t xml:space="preserve"> </w:t>
      </w:r>
      <m:oMath>
        <m:r>
          <m:t>K</m:t>
        </m:r>
        <m:d>
          <m:dPr>
            <m:begChr m:val="("/>
            <m:sepChr m:val=""/>
            <m:endChr m:val=")"/>
            <m:grow/>
          </m:dPr>
          <m:e>
            <m:r>
              <m:t>F</m:t>
            </m:r>
          </m:e>
        </m:d>
        <m:r>
          <m:rPr>
            <m:sty m:val="p"/>
          </m:rPr>
          <m:t>/</m:t>
        </m:r>
        <m:r>
          <m:t>Q</m:t>
        </m:r>
      </m:oMath>
      <w:r>
        <w:t xml:space="preserve"> </w:t>
      </w:r>
      <w:r>
        <w:t xml:space="preserve">shrinks.</w:t>
      </w:r>
    </w:p>
    <w:p>
      <w:pPr>
        <w:pStyle w:val="BodyText"/>
      </w:pPr>
      <w:r>
        <w:t xml:space="preserve">The distortion is therefore largest when the ecosystem’s migration costs are large relative to the platform’s own training cost per developer. A platform with a broad base of deeply integrated developers is where over-updating should be most pronounced. As compute becomes cheaper and</w:t>
      </w:r>
      <w:r>
        <w:t xml:space="preserve"> </w:t>
      </w:r>
      <m:oMath>
        <m:r>
          <m:t>K</m:t>
        </m:r>
      </m:oMath>
      <w:r>
        <w:t xml:space="preserve"> </w:t>
      </w:r>
      <w:r>
        <w:t xml:space="preserve">falls, the distortion worsens, holding the ecosystem fixed.</w:t>
      </w:r>
    </w:p>
    <w:p>
      <w:pPr>
        <w:pStyle w:val="BodyText"/>
      </w:pPr>
      <w:r>
        <w:rPr>
          <w:bCs/>
          <w:b/>
        </w:rPr>
        <w:t xml:space="preserve">Participation.</w:t>
      </w:r>
      <w:r>
        <w:t xml:space="preserve"> </w:t>
      </w:r>
      <w:r>
        <w:t xml:space="preserve">The comparisons above are second-best comparisons at the platform’s participation level. A planner who could also choose participation would admit more developers. Under Assumption 2 the newly admitted developers have low migration costs, which lowers the average</w:t>
      </w:r>
      <w:r>
        <w:t xml:space="preserve"> </w:t>
      </w:r>
      <m:oMath>
        <m:acc>
          <m:accPr>
            <m:chr m:val="‾"/>
          </m:accPr>
          <m:e>
            <m:r>
              <m:t>σ</m:t>
            </m:r>
          </m:e>
        </m:acc>
      </m:oMath>
      <w:r>
        <w:t xml:space="preserve"> </w:t>
      </w:r>
      <w:r>
        <w:t xml:space="preserve">among participants and pushes the first-best interval down. In our numerical analysis this effect is strong enough that the first-best interval can be shorter than the platform’s (Section 8). Over-updating is thus a statement about the ecosystem the platform actually serves: given who participates, the platform changes the model too often for them.</w:t>
      </w:r>
    </w:p>
    <w:bookmarkEnd w:id="38"/>
    <w:bookmarkEnd w:id="39"/>
    <w:bookmarkStart w:id="43" w:name="version-pinning"/>
    <w:p>
      <w:pPr>
        <w:pStyle w:val="Heading1"/>
      </w:pPr>
      <w:r>
        <w:t xml:space="preserve">6. Version Pinning</w:t>
      </w:r>
    </w:p>
    <w:p>
      <w:pPr>
        <w:pStyle w:val="FirstParagraph"/>
      </w:pPr>
      <w:r>
        <w:t xml:space="preserve">The distortions in Section 5 arise because every developer must migrate at every update. In practice, providers let developers pin a version for some period before deprecating it. This section shows that pinning addresses the root of the problem, forced migration, and that the platform nonetheless provides too little of it.</w:t>
      </w:r>
    </w:p>
    <w:bookmarkStart w:id="40" w:name="pinning-window"/>
    <w:p>
      <w:pPr>
        <w:pStyle w:val="Heading2"/>
      </w:pPr>
      <w:r>
        <w:t xml:space="preserve">6.1. Pinning Window</w:t>
      </w:r>
    </w:p>
    <w:p>
      <w:pPr>
        <w:pStyle w:val="FirstParagraph"/>
      </w:pPr>
      <w:r>
        <w:t xml:space="preserve">The platform keeps each version available for a window</w:t>
      </w:r>
      <w:r>
        <w:t xml:space="preserve"> </w:t>
      </w:r>
      <m:oMath>
        <m:r>
          <m:t>L</m:t>
        </m:r>
        <m:r>
          <m:rPr>
            <m:sty m:val="p"/>
          </m:rPr>
          <m:t>≥</m:t>
        </m:r>
        <m:r>
          <m:t>0</m:t>
        </m:r>
      </m:oMath>
      <w:r>
        <w:t xml:space="preserve"> </w:t>
      </w:r>
      <w:r>
        <w:t xml:space="preserve">after its successor is released. A developer can then migrate on its own interval</w:t>
      </w:r>
      <w:r>
        <w:t xml:space="preserve"> </w:t>
      </w:r>
      <m:oMath>
        <m:r>
          <m:t>τ</m:t>
        </m:r>
        <m:r>
          <m:rPr>
            <m:sty m:val="p"/>
          </m:rPr>
          <m:t>∈</m:t>
        </m:r>
        <m:d>
          <m:dPr>
            <m:begChr m:val="["/>
            <m:sepChr m:val=""/>
            <m:endChr m:val="]"/>
            <m:grow/>
          </m:dPr>
          <m:e>
            <m:r>
              <m:t>t</m:t>
            </m:r>
            <m:r>
              <m:rPr>
                <m:sty m:val="p"/>
              </m:rPr>
              <m:t>,</m:t>
            </m:r>
            <m:r>
              <m:t>t</m:t>
            </m:r>
            <m:r>
              <m:rPr>
                <m:sty m:val="p"/>
              </m:rPr>
              <m:t>+</m:t>
            </m:r>
            <m:r>
              <m:t>L</m:t>
            </m:r>
          </m:e>
        </m:d>
      </m:oMath>
      <w:r>
        <w:t xml:space="preserve">. We use the following approximation.</w:t>
      </w:r>
    </w:p>
    <w:p>
      <w:pPr>
        <w:pStyle w:val="BodyText"/>
      </w:pPr>
      <w:r>
        <w:rPr>
          <w:bCs/>
          <w:b/>
        </w:rPr>
        <w:t xml:space="preserve">Assumption 4 (Continuous migration).</w:t>
      </w:r>
      <w:r>
        <w:t xml:space="preserve"> </w:t>
      </w:r>
      <w:r>
        <w:t xml:space="preserve">A developer migrating every</w:t>
      </w:r>
      <w:r>
        <w:t xml:space="preserve"> </w:t>
      </w:r>
      <m:oMath>
        <m:r>
          <m:t>τ</m:t>
        </m:r>
        <m:r>
          <m:rPr>
            <m:sty m:val="p"/>
          </m:rPr>
          <m:t>≥</m:t>
        </m:r>
        <m:r>
          <m:t>t</m:t>
        </m:r>
      </m:oMath>
      <w:r>
        <w:t xml:space="preserve"> </w:t>
      </w:r>
      <w:r>
        <w:t xml:space="preserve">experiences an average shortfall of</w:t>
      </w:r>
      <w:r>
        <w:t xml:space="preserve"> </w:t>
      </w:r>
      <m:oMath>
        <m:r>
          <m:t>F</m:t>
        </m:r>
        <m:r>
          <m:rPr>
            <m:sty m:val="p"/>
          </m:rPr>
          <m:t>+</m:t>
        </m:r>
        <m:r>
          <m:t>γ</m:t>
        </m:r>
        <m:r>
          <m:t>τ</m:t>
        </m:r>
        <m:r>
          <m:rPr>
            <m:sty m:val="p"/>
          </m:rPr>
          <m:t>/</m:t>
        </m:r>
        <m:r>
          <m:t>2</m:t>
        </m:r>
      </m:oMath>
      <w:r>
        <w:t xml:space="preserve">.</w:t>
      </w:r>
    </w:p>
    <w:p>
      <w:pPr>
        <w:pStyle w:val="BodyText"/>
      </w:pPr>
      <w:r>
        <w:t xml:space="preserve">The approximation is exact when</w:t>
      </w:r>
      <w:r>
        <w:t xml:space="preserve"> </w:t>
      </w:r>
      <m:oMath>
        <m:r>
          <m:t>τ</m:t>
        </m:r>
      </m:oMath>
      <w:r>
        <w:t xml:space="preserve"> </w:t>
      </w:r>
      <w:r>
        <w:t xml:space="preserve">is a multiple of</w:t>
      </w:r>
      <w:r>
        <w:t xml:space="preserve"> </w:t>
      </w:r>
      <m:oMath>
        <m:r>
          <m:t>t</m:t>
        </m:r>
      </m:oMath>
      <w:r>
        <w:t xml:space="preserve"> </w:t>
      </w:r>
      <w:r>
        <w:t xml:space="preserve">and otherwise overstates freshness by at most</w:t>
      </w:r>
      <w:r>
        <w:t xml:space="preserve"> </w:t>
      </w:r>
      <m:oMath>
        <m:r>
          <m:t>γ</m:t>
        </m:r>
        <m:r>
          <m:t>t</m:t>
        </m:r>
      </m:oMath>
      <w:r>
        <w:t xml:space="preserve">, the shortfall accumulated by the newest version before adoption. Under Assumption 4, a developer’s own cost of shortfall and migration is</w:t>
      </w:r>
      <w:r>
        <w:t xml:space="preserve"> </w:t>
      </w:r>
      <m:oMath>
        <m:r>
          <m:t>a</m:t>
        </m:r>
        <m:r>
          <m:t>γ</m:t>
        </m:r>
        <m:r>
          <m:t>τ</m:t>
        </m:r>
        <m:r>
          <m:rPr>
            <m:sty m:val="p"/>
          </m:rPr>
          <m:t>/</m:t>
        </m:r>
        <m:r>
          <m:t>2</m:t>
        </m:r>
        <m:r>
          <m:rPr>
            <m:sty m:val="p"/>
          </m:rPr>
          <m:t>+</m:t>
        </m:r>
        <m:r>
          <m:t>σ</m:t>
        </m:r>
        <m:d>
          <m:dPr>
            <m:begChr m:val="("/>
            <m:sepChr m:val=""/>
            <m:endChr m:val=")"/>
            <m:grow/>
          </m:dPr>
          <m:e>
            <m:r>
              <m:t>θ</m:t>
            </m:r>
          </m:e>
        </m:d>
        <m:r>
          <m:t>φ</m:t>
        </m:r>
        <m:d>
          <m:dPr>
            <m:begChr m:val="("/>
            <m:sepChr m:val=""/>
            <m:endChr m:val=")"/>
            <m:grow/>
          </m:dPr>
          <m:e>
            <m:r>
              <m:t>F</m:t>
            </m:r>
          </m:e>
        </m:d>
        <m:r>
          <m:rPr>
            <m:sty m:val="p"/>
          </m:rPr>
          <m:t>/</m:t>
        </m:r>
        <m:r>
          <m:t>τ</m:t>
        </m:r>
      </m:oMath>
      <w:r>
        <w:t xml:space="preserve">, minimized at</w:t>
      </w:r>
    </w:p>
    <w:p>
      <w:pPr>
        <w:pStyle w:val="BodyText"/>
      </w:pPr>
      <m:oMathPara>
        <m:oMathParaPr>
          <m:jc m:val="center"/>
        </m:oMathParaPr>
        <m:oMath>
          <m:sSup>
            <m:e>
              <m:r>
                <m:t>τ</m:t>
              </m:r>
            </m:e>
            <m:sup>
              <m:r>
                <m:rPr>
                  <m:sty m:val="p"/>
                </m:rPr>
                <m:t>∘</m:t>
              </m:r>
            </m:sup>
          </m:sSup>
          <m:d>
            <m:dPr>
              <m:begChr m:val="("/>
              <m:sepChr m:val=""/>
              <m:endChr m:val=")"/>
              <m:grow/>
            </m:dPr>
            <m:e>
              <m:r>
                <m:t>θ</m:t>
              </m:r>
            </m:e>
          </m:d>
          <m:r>
            <m:rPr>
              <m:sty m:val="p"/>
            </m:rPr>
            <m:t>=</m:t>
          </m:r>
          <m:rad>
            <m:radPr>
              <m:degHide m:val="on"/>
            </m:radPr>
            <m:deg/>
            <m:e>
              <m:f>
                <m:fPr>
                  <m:type m:val="bar"/>
                </m:fPr>
                <m:num>
                  <m:r>
                    <m:t>2</m:t>
                  </m:r>
                  <m:r>
                    <m:t> </m:t>
                  </m:r>
                  <m:r>
                    <m:t>σ</m:t>
                  </m:r>
                  <m:d>
                    <m:dPr>
                      <m:begChr m:val="("/>
                      <m:sepChr m:val=""/>
                      <m:endChr m:val=")"/>
                      <m:grow/>
                    </m:dPr>
                    <m:e>
                      <m:r>
                        <m:t>θ</m:t>
                      </m:r>
                    </m:e>
                  </m:d>
                  <m:r>
                    <m:t> </m:t>
                  </m:r>
                  <m:r>
                    <m:t>φ</m:t>
                  </m:r>
                  <m:d>
                    <m:dPr>
                      <m:begChr m:val="("/>
                      <m:sepChr m:val=""/>
                      <m:endChr m:val=")"/>
                      <m:grow/>
                    </m:dPr>
                    <m:e>
                      <m:r>
                        <m:t>F</m:t>
                      </m:r>
                    </m:e>
                  </m:d>
                </m:num>
                <m:den>
                  <m:r>
                    <m:t>a</m:t>
                  </m:r>
                  <m:r>
                    <m:t> </m:t>
                  </m:r>
                  <m:r>
                    <m:t>γ</m:t>
                  </m:r>
                </m:den>
              </m:f>
            </m:e>
          </m:rad>
          <m:r>
            <m:rPr>
              <m:sty m:val="p"/>
            </m:rPr>
            <m:t>.</m:t>
          </m:r>
          <m:r>
            <m:t>  </m:t>
          </m:r>
          <m:d>
            <m:dPr>
              <m:begChr m:val="("/>
              <m:sepChr m:val=""/>
              <m:endChr m:val=")"/>
              <m:grow/>
            </m:dPr>
            <m:e>
              <m:r>
                <m:t>11</m:t>
              </m:r>
            </m:e>
          </m:d>
        </m:oMath>
      </m:oMathPara>
    </w:p>
    <w:p>
      <w:pPr>
        <w:pStyle w:val="FirstParagraph"/>
      </w:pPr>
      <w:r>
        <w:t xml:space="preserve">This is the square-root rule applied to the developer itself. Under Assumption 2,</w:t>
      </w:r>
      <w:r>
        <w:t xml:space="preserve"> </w:t>
      </w:r>
      <m:oMath>
        <m:sSup>
          <m:e>
            <m:r>
              <m:t>τ</m:t>
            </m:r>
          </m:e>
          <m:sup>
            <m:r>
              <m:rPr>
                <m:sty m:val="p"/>
              </m:rPr>
              <m:t>∘</m:t>
            </m:r>
          </m:sup>
        </m:sSup>
      </m:oMath>
      <w:r>
        <w:t xml:space="preserve"> </w:t>
      </w:r>
      <w:r>
        <w:t xml:space="preserve">increases in</w:t>
      </w:r>
      <w:r>
        <w:t xml:space="preserve"> </w:t>
      </w:r>
      <m:oMath>
        <m:r>
          <m:t>θ</m:t>
        </m:r>
      </m:oMath>
      <w:r>
        <w:t xml:space="preserve">: deeply integrated developers prefer to migrate less often. With window</w:t>
      </w:r>
      <w:r>
        <w:t xml:space="preserve"> </w:t>
      </w:r>
      <m:oMath>
        <m:r>
          <m:t>L</m:t>
        </m:r>
      </m:oMath>
      <w:r>
        <w:t xml:space="preserve">, a developer’s interval is</w:t>
      </w:r>
    </w:p>
    <w:p>
      <w:pPr>
        <w:pStyle w:val="BodyText"/>
      </w:pPr>
      <m:oMathPara>
        <m:oMathParaPr>
          <m:jc m:val="center"/>
        </m:oMathParaPr>
        <m:oMath>
          <m:r>
            <m:t>τ</m:t>
          </m:r>
          <m:d>
            <m:dPr>
              <m:begChr m:val="("/>
              <m:sepChr m:val=""/>
              <m:endChr m:val=")"/>
              <m:grow/>
            </m:dPr>
            <m:e>
              <m:r>
                <m:t>θ</m:t>
              </m:r>
            </m:e>
          </m:d>
          <m:r>
            <m:rPr>
              <m:sty m:val="p"/>
            </m:rPr>
            <m:t>=</m:t>
          </m:r>
          <m:r>
            <m:rPr>
              <m:sty m:val="p"/>
            </m:rPr>
            <m:t>min</m:t>
          </m:r>
          <m:d>
            <m:dPr>
              <m:begChr m:val="{"/>
              <m:sepChr m:val=""/>
              <m:endChr m:val="}"/>
              <m:grow/>
            </m:dPr>
            <m:e>
              <m:r>
                <m:t>t</m:t>
              </m:r>
              <m:r>
                <m:rPr>
                  <m:sty m:val="p"/>
                </m:rPr>
                <m:t>+</m:t>
              </m:r>
              <m:r>
                <m:t>L</m:t>
              </m:r>
              <m:r>
                <m:rPr>
                  <m:sty m:val="p"/>
                </m:rPr>
                <m:t>,</m:t>
              </m:r>
              <m:r>
                <m:t> </m:t>
              </m:r>
              <m:r>
                <m:rPr>
                  <m:sty m:val="p"/>
                </m:rPr>
                <m:t>max</m:t>
              </m:r>
              <m:d>
                <m:dPr>
                  <m:begChr m:val="{"/>
                  <m:sepChr m:val=""/>
                  <m:endChr m:val="}"/>
                  <m:grow/>
                </m:dPr>
                <m:e>
                  <m:r>
                    <m:t>t</m:t>
                  </m:r>
                  <m:r>
                    <m:rPr>
                      <m:sty m:val="p"/>
                    </m:rPr>
                    <m:t>,</m:t>
                  </m:r>
                  <m:r>
                    <m:t> </m:t>
                  </m:r>
                  <m:sSup>
                    <m:e>
                      <m:r>
                        <m:t>τ</m:t>
                      </m:r>
                    </m:e>
                    <m:sup>
                      <m:r>
                        <m:rPr>
                          <m:sty m:val="p"/>
                        </m:rPr>
                        <m:t>∘</m:t>
                      </m:r>
                    </m:sup>
                  </m:sSup>
                  <m:d>
                    <m:dPr>
                      <m:begChr m:val="("/>
                      <m:sepChr m:val=""/>
                      <m:endChr m:val=")"/>
                      <m:grow/>
                    </m:dPr>
                    <m:e>
                      <m:r>
                        <m:t>θ</m:t>
                      </m:r>
                    </m:e>
                  </m:d>
                </m:e>
              </m:d>
            </m:e>
          </m:d>
          <m:r>
            <m:rPr>
              <m:sty m:val="p"/>
            </m:rPr>
            <m:t>.</m:t>
          </m:r>
          <m:r>
            <m:t>  </m:t>
          </m:r>
          <m:d>
            <m:dPr>
              <m:begChr m:val="("/>
              <m:sepChr m:val=""/>
              <m:endChr m:val=")"/>
              <m:grow/>
            </m:dPr>
            <m:e>
              <m:r>
                <m:t>12</m:t>
              </m:r>
            </m:e>
          </m:d>
        </m:oMath>
      </m:oMathPara>
    </w:p>
    <w:p>
      <w:pPr>
        <w:pStyle w:val="FirstParagraph"/>
      </w:pPr>
      <w:r>
        <w:t xml:space="preserve">Serving legacy versions costs the platform</w:t>
      </w:r>
      <w:r>
        <w:t xml:space="preserve"> </w:t>
      </w:r>
      <m:oMath>
        <m:sSub>
          <m:e>
            <m:r>
              <m:t>c</m:t>
            </m:r>
          </m:e>
          <m:sub>
            <m:r>
              <m:t>v</m:t>
            </m:r>
          </m:sub>
        </m:sSub>
        <m:r>
          <m:rPr>
            <m:sty m:val="p"/>
          </m:rPr>
          <m:t>≥</m:t>
        </m:r>
        <m:r>
          <m:t>0</m:t>
        </m:r>
      </m:oMath>
      <w:r>
        <w:t xml:space="preserve"> </w:t>
      </w:r>
      <w:r>
        <w:t xml:space="preserve">per version per unit time. About</w:t>
      </w:r>
      <w:r>
        <w:t xml:space="preserve"> </w:t>
      </w:r>
      <m:oMath>
        <m:r>
          <m:t>L</m:t>
        </m:r>
        <m:r>
          <m:rPr>
            <m:sty m:val="p"/>
          </m:rPr>
          <m:t>/</m:t>
        </m:r>
        <m:r>
          <m:t>t</m:t>
        </m:r>
      </m:oMath>
      <w:r>
        <w:t xml:space="preserve"> </w:t>
      </w:r>
      <w:r>
        <w:t xml:space="preserve">legacy versions are live at any moment, so the platform’s serving cost is</w:t>
      </w:r>
      <w:r>
        <w:t xml:space="preserve"> </w:t>
      </w:r>
      <m:oMath>
        <m:sSub>
          <m:e>
            <m:r>
              <m:t>c</m:t>
            </m:r>
          </m:e>
          <m:sub>
            <m:r>
              <m:t>v</m:t>
            </m:r>
          </m:sub>
        </m:sSub>
        <m:r>
          <m:t>L</m:t>
        </m:r>
        <m:r>
          <m:rPr>
            <m:sty m:val="p"/>
          </m:rPr>
          <m:t>/</m:t>
        </m:r>
        <m:r>
          <m:t>t</m:t>
        </m:r>
      </m:oMath>
      <w:r>
        <w:t xml:space="preserve">. Developer utility, profit and welfare are as in (1), (3) and (4), with</w:t>
      </w:r>
      <w:r>
        <w:t xml:space="preserve"> </w:t>
      </w:r>
      <m:oMath>
        <m:r>
          <m:t>τ</m:t>
        </m:r>
        <m:d>
          <m:dPr>
            <m:begChr m:val="("/>
            <m:sepChr m:val=""/>
            <m:endChr m:val=")"/>
            <m:grow/>
          </m:dPr>
          <m:e>
            <m:r>
              <m:t>θ</m:t>
            </m:r>
          </m:e>
        </m:d>
      </m:oMath>
      <w:r>
        <w:t xml:space="preserve"> </w:t>
      </w:r>
      <w:r>
        <w:t xml:space="preserve">replacing</w:t>
      </w:r>
      <w:r>
        <w:t xml:space="preserve"> </w:t>
      </w:r>
      <m:oMath>
        <m:r>
          <m:t>t</m:t>
        </m:r>
      </m:oMath>
      <w:r>
        <w:t xml:space="preserve"> </w:t>
      </w:r>
      <w:r>
        <w:t xml:space="preserve">in each developer’s shortfall and migration terms and with</w:t>
      </w:r>
      <w:r>
        <w:t xml:space="preserve"> </w:t>
      </w:r>
      <m:oMath>
        <m:sSub>
          <m:e>
            <m:r>
              <m:t>c</m:t>
            </m:r>
          </m:e>
          <m:sub>
            <m:r>
              <m:t>v</m:t>
            </m:r>
          </m:sub>
        </m:sSub>
        <m:r>
          <m:t>L</m:t>
        </m:r>
        <m:r>
          <m:rPr>
            <m:sty m:val="p"/>
          </m:rPr>
          <m:t>/</m:t>
        </m:r>
        <m:r>
          <m:t>t</m:t>
        </m:r>
      </m:oMath>
      <w:r>
        <w:t xml:space="preserve"> </w:t>
      </w:r>
      <w:r>
        <w:t xml:space="preserve">added to the platform’s cost.</w:t>
      </w:r>
    </w:p>
    <w:p>
      <w:pPr>
        <w:pStyle w:val="BodyText"/>
      </w:pPr>
      <w:r>
        <w:rPr>
          <w:b w:val="0"/>
        </w:rPr>
        <w:t>Remark (What the approximation does and does not carry). The error in Assumption 4 is one-sided and bounded by the shortfall the newest version accumulates before a developer adopts it. Proposition 5(1), that the platform never offers a window longer than the marginal developer needs, uses only that a developer’s payoff is nondecreasing in the window and flat once the window covers that developer’s preferred delay. That property holds in the exact discrete problem in which developers migrate on multiples of the update interval, because lengthening the window expands the feasible set and cannot hurt a developer. The welfare comparison in Proposition 5(2) and the bound in Corollary 1 use the continuous approximation to sign the gains of inframarginal developers. Both survive if the approximation error is uniform across types, because a uniform error is capitalized into the price and does not change the gap between marginal and average migration costs. They need not survive if the error covaries with integration depth. That case is left open.</w:t>
      </w:r>
    </w:p>
    <w:bookmarkEnd w:id="40"/>
    <w:bookmarkStart w:id="41" w:name="under-provision-of-pinning"/>
    <w:p>
      <w:pPr>
        <w:pStyle w:val="Heading2"/>
      </w:pPr>
      <w:r>
        <w:t xml:space="preserve">6.2. Under-Provision of Pinning</w:t>
      </w:r>
    </w:p>
    <w:p>
      <w:pPr>
        <w:pStyle w:val="FirstParagraph"/>
      </w:pPr>
      <w:r>
        <w:rPr>
          <w:bCs/>
          <w:b/>
        </w:rPr>
        <w:t xml:space="preserve">Proposition 5 (Under-provision of pinning).</w:t>
      </w:r>
      <w:r>
        <w:t xml:space="preserve"> </w:t>
      </w:r>
      <w:r>
        <w:t xml:space="preserve">Fix</w:t>
      </w:r>
      <w:r>
        <w:t xml:space="preserve"> </w:t>
      </w:r>
      <m:oMath>
        <m:sSup>
          <m:e>
            <m:r>
              <m:t>θ</m:t>
            </m:r>
          </m:e>
          <m:sup>
            <m:r>
              <m:rPr>
                <m:sty m:val="p"/>
              </m:rPr>
              <m:t>*</m:t>
            </m:r>
          </m:sup>
        </m:sSup>
      </m:oMath>
      <w:r>
        <w:t xml:space="preserve">,</w:t>
      </w:r>
      <w:r>
        <w:t xml:space="preserve"> </w:t>
      </w:r>
      <m:oMath>
        <m:r>
          <m:t>t</m:t>
        </m:r>
      </m:oMath>
      <w:r>
        <w:t xml:space="preserve"> </w:t>
      </w:r>
      <w:r>
        <w:t xml:space="preserve">and</w:t>
      </w:r>
      <w:r>
        <w:t xml:space="preserve"> </w:t>
      </w:r>
      <m:oMath>
        <m:r>
          <m:t>F</m:t>
        </m:r>
      </m:oMath>
      <w:r>
        <w:t xml:space="preserve">, and suppose Assumptions 2 and 4 hold. Let</w:t>
      </w:r>
      <w:r>
        <w:t xml:space="preserve"> </w:t>
      </w:r>
      <m:oMath>
        <m:sSub>
          <m:e>
            <m:r>
              <m:t>L</m:t>
            </m:r>
          </m:e>
          <m:sub>
            <m:r>
              <m:t>0</m:t>
            </m:r>
          </m:sub>
        </m:sSub>
        <m:r>
          <m:rPr>
            <m:sty m:val="p"/>
          </m:rPr>
          <m:t>=</m:t>
        </m:r>
        <m:r>
          <m:rPr>
            <m:sty m:val="p"/>
          </m:rPr>
          <m:t>max</m:t>
        </m:r>
        <m:r>
          <m:rPr>
            <m:sty m:val="p"/>
          </m:rPr>
          <m:t>{</m:t>
        </m:r>
        <m:r>
          <m:t>0</m:t>
        </m:r>
        <m:r>
          <m:rPr>
            <m:sty m:val="p"/>
          </m:rPr>
          <m:t>,</m:t>
        </m:r>
        <m:sSup>
          <m:e>
            <m:r>
              <m:t>τ</m:t>
            </m:r>
          </m:e>
          <m:sup>
            <m:r>
              <m:rPr>
                <m:sty m:val="p"/>
              </m:rPr>
              <m:t>∘</m:t>
            </m:r>
          </m:sup>
        </m:sSup>
        <m:d>
          <m:dPr>
            <m:begChr m:val="("/>
            <m:sepChr m:val=""/>
            <m:endChr m:val=")"/>
            <m:grow/>
          </m:dPr>
          <m:e>
            <m:sSup>
              <m:e>
                <m:r>
                  <m:t>θ</m:t>
                </m:r>
              </m:e>
              <m:sup>
                <m:r>
                  <m:rPr>
                    <m:sty m:val="p"/>
                  </m:rPr>
                  <m:t>*</m:t>
                </m:r>
              </m:sup>
            </m:sSup>
          </m:e>
        </m:d>
        <m:r>
          <m:rPr>
            <m:sty m:val="p"/>
          </m:rPr>
          <m:t>−</m:t>
        </m:r>
        <m:r>
          <m:t>t</m:t>
        </m:r>
        <m:r>
          <m:rPr>
            <m:sty m:val="p"/>
          </m:rPr>
          <m:t>}</m:t>
        </m:r>
      </m:oMath>
      <w:r>
        <w:t xml:space="preserve">.</w:t>
      </w:r>
    </w:p>
    <w:p>
      <w:pPr>
        <w:pStyle w:val="Compact"/>
        <w:numPr>
          <w:ilvl w:val="0"/>
          <w:numId w:val="1003"/>
        </w:numPr>
      </w:pPr>
      <w:r>
        <w:t xml:space="preserve">The platform never offers a window longer than the marginal developer needs:</w:t>
      </w:r>
      <w:r>
        <w:t xml:space="preserve"> </w:t>
      </w:r>
      <m:oMath>
        <m:sSub>
          <m:e>
            <m:r>
              <m:t>L</m:t>
            </m:r>
          </m:e>
          <m:sub>
            <m:r>
              <m:t>P</m:t>
            </m:r>
          </m:sub>
        </m:sSub>
        <m:r>
          <m:rPr>
            <m:sty m:val="p"/>
          </m:rPr>
          <m:t>≤</m:t>
        </m:r>
        <m:sSub>
          <m:e>
            <m:r>
              <m:t>L</m:t>
            </m:r>
          </m:e>
          <m:sub>
            <m:r>
              <m:t>0</m:t>
            </m:r>
          </m:sub>
        </m:sSub>
      </m:oMath>
      <w:r>
        <w:t xml:space="preserve">. In particular, if</w:t>
      </w:r>
      <w:r>
        <w:t xml:space="preserve"> </w:t>
      </w:r>
      <m:oMath>
        <m:sSup>
          <m:e>
            <m:r>
              <m:t>τ</m:t>
            </m:r>
          </m:e>
          <m:sup>
            <m:r>
              <m:rPr>
                <m:sty m:val="p"/>
              </m:rPr>
              <m:t>∘</m:t>
            </m:r>
          </m:sup>
        </m:sSup>
        <m:d>
          <m:dPr>
            <m:begChr m:val="("/>
            <m:sepChr m:val=""/>
            <m:endChr m:val=")"/>
            <m:grow/>
          </m:dPr>
          <m:e>
            <m:sSup>
              <m:e>
                <m:r>
                  <m:t>θ</m:t>
                </m:r>
              </m:e>
              <m:sup>
                <m:r>
                  <m:rPr>
                    <m:sty m:val="p"/>
                  </m:rPr>
                  <m:t>*</m:t>
                </m:r>
              </m:sup>
            </m:sSup>
          </m:e>
        </m:d>
        <m:r>
          <m:rPr>
            <m:sty m:val="p"/>
          </m:rPr>
          <m:t>≤</m:t>
        </m:r>
        <m:r>
          <m:t>t</m:t>
        </m:r>
      </m:oMath>
      <w:r>
        <w:t xml:space="preserve">, the platform offers no pinning.</w:t>
      </w:r>
    </w:p>
    <w:p>
      <w:pPr>
        <w:pStyle w:val="Compact"/>
        <w:numPr>
          <w:ilvl w:val="0"/>
          <w:numId w:val="1003"/>
        </w:numPr>
      </w:pPr>
      <w:r>
        <w:t xml:space="preserve">Welfare is concave in</w:t>
      </w:r>
      <w:r>
        <w:t xml:space="preserve"> </w:t>
      </w:r>
      <m:oMath>
        <m:r>
          <m:t>L</m:t>
        </m:r>
      </m:oMath>
      <w:r>
        <w:t xml:space="preserve">. If some participants want to migrate less often than</w:t>
      </w:r>
      <w:r>
        <w:t xml:space="preserve"> </w:t>
      </w:r>
      <m:oMath>
        <m:r>
          <m:t>t</m:t>
        </m:r>
        <m:r>
          <m:rPr>
            <m:sty m:val="p"/>
          </m:rPr>
          <m:t>+</m:t>
        </m:r>
        <m:sSub>
          <m:e>
            <m:r>
              <m:t>L</m:t>
            </m:r>
          </m:e>
          <m:sub>
            <m:r>
              <m:t>0</m:t>
            </m:r>
          </m:sub>
        </m:sSub>
      </m:oMath>
      <w:r>
        <w:t xml:space="preserve"> </w:t>
      </w:r>
      <w:r>
        <w:t xml:space="preserve">allows (</w:t>
      </w:r>
      <m:oMath>
        <m:sSup>
          <m:e>
            <m:r>
              <m:t>τ</m:t>
            </m:r>
          </m:e>
          <m:sup>
            <m:r>
              <m:rPr>
                <m:sty m:val="p"/>
              </m:rPr>
              <m:t>∘</m:t>
            </m:r>
          </m:sup>
        </m:sSup>
        <m:d>
          <m:dPr>
            <m:begChr m:val="("/>
            <m:sepChr m:val=""/>
            <m:endChr m:val=")"/>
            <m:grow/>
          </m:dPr>
          <m:e>
            <m:r>
              <m:t>1</m:t>
            </m:r>
          </m:e>
        </m:d>
        <m:r>
          <m:rPr>
            <m:sty m:val="p"/>
          </m:rPr>
          <m:t>&gt;</m:t>
        </m:r>
        <m:r>
          <m:t>t</m:t>
        </m:r>
        <m:r>
          <m:rPr>
            <m:sty m:val="p"/>
          </m:rPr>
          <m:t>+</m:t>
        </m:r>
        <m:sSub>
          <m:e>
            <m:r>
              <m:t>L</m:t>
            </m:r>
          </m:e>
          <m:sub>
            <m:r>
              <m:t>0</m:t>
            </m:r>
          </m:sub>
        </m:sSub>
      </m:oMath>
      <w:r>
        <w:t xml:space="preserve">) and</w:t>
      </w:r>
      <w:r>
        <w:t xml:space="preserve"> </w:t>
      </w:r>
      <m:oMath>
        <m:sSub>
          <m:e>
            <m:r>
              <m:t>c</m:t>
            </m:r>
          </m:e>
          <m:sub>
            <m:r>
              <m:t>v</m:t>
            </m:r>
          </m:sub>
        </m:sSub>
      </m:oMath>
      <w:r>
        <w:t xml:space="preserve"> </w:t>
      </w:r>
      <w:r>
        <w:t xml:space="preserve">is below a threshold</w:t>
      </w:r>
      <w:r>
        <w:t xml:space="preserve"> </w:t>
      </w:r>
      <m:oMath>
        <m:acc>
          <m:accPr>
            <m:chr m:val="‾"/>
          </m:accPr>
          <m:e>
            <m:r>
              <m:t>c</m:t>
            </m:r>
          </m:e>
        </m:acc>
        <m:r>
          <m:rPr>
            <m:sty m:val="p"/>
          </m:rPr>
          <m:t>&gt;</m:t>
        </m:r>
        <m:r>
          <m:t>0</m:t>
        </m:r>
      </m:oMath>
      <w:r>
        <w:t xml:space="preserve"> </w:t>
      </w:r>
      <w:r>
        <w:t xml:space="preserve">given in the appendix, then</w:t>
      </w:r>
      <w:r>
        <w:t xml:space="preserve"> </w:t>
      </w:r>
      <m:oMath>
        <m:sSub>
          <m:e>
            <m:r>
              <m:t>L</m:t>
            </m:r>
          </m:e>
          <m:sub>
            <m:r>
              <m:t>W</m:t>
            </m:r>
          </m:sub>
        </m:sSub>
        <m:r>
          <m:rPr>
            <m:sty m:val="p"/>
          </m:rPr>
          <m:t>&gt;</m:t>
        </m:r>
        <m:sSub>
          <m:e>
            <m:r>
              <m:t>L</m:t>
            </m:r>
          </m:e>
          <m:sub>
            <m:r>
              <m:t>0</m:t>
            </m:r>
          </m:sub>
        </m:sSub>
        <m:r>
          <m:rPr>
            <m:sty m:val="p"/>
          </m:rPr>
          <m:t>≥</m:t>
        </m:r>
        <m:sSub>
          <m:e>
            <m:r>
              <m:t>L</m:t>
            </m:r>
          </m:e>
          <m:sub>
            <m:r>
              <m:t>P</m:t>
            </m:r>
          </m:sub>
        </m:sSub>
      </m:oMath>
      <w:r>
        <w:t xml:space="preserve">.</w:t>
      </w:r>
    </w:p>
    <w:p>
      <w:pPr>
        <w:pStyle w:val="FirstParagraph"/>
      </w:pPr>
      <w:r>
        <w:rPr>
          <w:b w:val="0"/>
        </w:rPr>
        <w:t>The logic is the same as in Section 5, now applied to a different instrument. Pinning benefits a developer only if the developer would like to migrate less often than the platform updates. Under Assumption 2 those developers are the deeply integrated, inframarginal ones. The marginal developer, with a low migration cost, is content with the platform’s cadence or close to it, so the platform cannot raise its price by offering pinning while it bears the full serving cost. Welfare counts the gains of every developer who uses the window. The direction of this result does not depend on the continuous approximation. As the remark in Section 6.1 records, the platform’s refusal to offer more pinning than the marginal developer needs holds on the discrete grid. Only the size of the welfare gain uses Assumption 4.</w:t>
      </w:r>
    </w:p>
    <w:p>
      <w:pPr>
        <w:pStyle w:val="BodyText"/>
      </w:pPr>
      <w:r>
        <w:t xml:space="preserve">This result offers an economic rationale for minimum deprecation windows. A regulator or industry standard that requires providers to keep versions available for a minimum period raises welfare whenever legacy serving costs are modest, even though no provider would offer such a window voluntarily.</w:t>
      </w:r>
    </w:p>
    <w:bookmarkEnd w:id="41"/>
    <w:bookmarkStart w:id="42" w:name="X361eb5ea3fc3cee58a4eb59e08f4a198602136a"/>
    <w:p>
      <w:pPr>
        <w:pStyle w:val="Heading2"/>
      </w:pPr>
      <w:r>
        <w:t xml:space="preserve">6.3. Pinning Decouples Freshness from Forced Migration</w:t>
      </w:r>
    </w:p>
    <w:p>
      <w:pPr>
        <w:pStyle w:val="FirstParagraph"/>
      </w:pPr>
      <w:r>
        <w:t xml:space="preserve">Pinning changes the nature of the cadence problem. With a long window, developers who do not need fresh models simply wait, so frequent updates no longer impose migration on them.</w:t>
      </w:r>
    </w:p>
    <w:p>
      <w:pPr>
        <w:pStyle w:val="BodyText"/>
      </w:pPr>
      <w:r>
        <w:rPr>
          <w:bCs/>
          <w:b/>
        </w:rPr>
        <w:t xml:space="preserve">Corollary 1 (Bounded loss under unlimited pinning).</w:t>
      </w:r>
      <w:r>
        <w:t xml:space="preserve"> </w:t>
      </w:r>
      <w:r>
        <w:t xml:space="preserve">Suppose</w:t>
      </w:r>
      <w:r>
        <w:t xml:space="preserve"> </w:t>
      </w:r>
      <m:oMath>
        <m:sSub>
          <m:e>
            <m:r>
              <m:t>c</m:t>
            </m:r>
          </m:e>
          <m:sub>
            <m:r>
              <m:t>v</m:t>
            </m:r>
          </m:sub>
        </m:sSub>
        <m:r>
          <m:rPr>
            <m:sty m:val="p"/>
          </m:rPr>
          <m:t>=</m:t>
        </m:r>
        <m:r>
          <m:t>0</m:t>
        </m:r>
      </m:oMath>
      <w:r>
        <w:t xml:space="preserve"> </w:t>
      </w:r>
      <w:r>
        <w:t xml:space="preserve">and</w:t>
      </w:r>
      <w:r>
        <w:t xml:space="preserve"> </w:t>
      </w:r>
      <m:oMath>
        <m:r>
          <m:t>L</m:t>
        </m:r>
        <m:r>
          <m:rPr>
            <m:sty m:val="p"/>
          </m:rPr>
          <m:t>=</m:t>
        </m:r>
        <m:r>
          <m:rPr>
            <m:sty m:val="p"/>
          </m:rPr>
          <m:t>∞</m:t>
        </m:r>
      </m:oMath>
      <w:r>
        <w:t xml:space="preserve">, so that</w:t>
      </w:r>
      <w:r>
        <w:t xml:space="preserve"> </w:t>
      </w:r>
      <m:oMath>
        <m:r>
          <m:t>τ</m:t>
        </m:r>
        <m:d>
          <m:dPr>
            <m:begChr m:val="("/>
            <m:sepChr m:val=""/>
            <m:endChr m:val=")"/>
            <m:grow/>
          </m:dPr>
          <m:e>
            <m:r>
              <m:t>θ</m:t>
            </m:r>
          </m:e>
        </m:d>
        <m:r>
          <m:rPr>
            <m:sty m:val="p"/>
          </m:rPr>
          <m:t>=</m:t>
        </m:r>
        <m:r>
          <m:rPr>
            <m:sty m:val="p"/>
          </m:rPr>
          <m:t>max</m:t>
        </m:r>
        <m:r>
          <m:rPr>
            <m:sty m:val="p"/>
          </m:rPr>
          <m:t>{</m:t>
        </m:r>
        <m:r>
          <m:t>t</m:t>
        </m:r>
        <m:r>
          <m:rPr>
            <m:sty m:val="p"/>
          </m:rPr>
          <m:t>,</m:t>
        </m:r>
        <m:sSup>
          <m:e>
            <m:r>
              <m:t>τ</m:t>
            </m:r>
          </m:e>
          <m:sup>
            <m:r>
              <m:rPr>
                <m:sty m:val="p"/>
              </m:rPr>
              <m:t>∘</m:t>
            </m:r>
          </m:sup>
        </m:sSup>
        <m:d>
          <m:dPr>
            <m:begChr m:val="("/>
            <m:sepChr m:val=""/>
            <m:endChr m:val=")"/>
            <m:grow/>
          </m:dPr>
          <m:e>
            <m:r>
              <m:t>θ</m:t>
            </m:r>
          </m:e>
        </m:d>
        <m:r>
          <m:rPr>
            <m:sty m:val="p"/>
          </m:rPr>
          <m:t>}</m:t>
        </m:r>
      </m:oMath>
      <w:r>
        <w:t xml:space="preserve">. Suppose also that profit and welfare are strictly quasi-concave in</w:t>
      </w:r>
      <w:r>
        <w:t xml:space="preserve"> </w:t>
      </w:r>
      <m:oMath>
        <m:r>
          <m:t>t</m:t>
        </m:r>
      </m:oMath>
      <w:r>
        <w:t xml:space="preserve">. Then (i) the platform still updates weakly too often,</w:t>
      </w:r>
      <w:r>
        <w:t xml:space="preserve"> </w:t>
      </w:r>
      <m:oMath>
        <m:sSub>
          <m:e>
            <m:r>
              <m:t>t</m:t>
            </m:r>
          </m:e>
          <m:sub>
            <m:r>
              <m:t>P</m:t>
            </m:r>
          </m:sub>
        </m:sSub>
        <m:r>
          <m:rPr>
            <m:sty m:val="p"/>
          </m:rPr>
          <m:t>≤</m:t>
        </m:r>
        <m:sSub>
          <m:e>
            <m:r>
              <m:t>t</m:t>
            </m:r>
          </m:e>
          <m:sub>
            <m:r>
              <m:t>W</m:t>
            </m:r>
          </m:sub>
        </m:sSub>
      </m:oMath>
      <w:r>
        <w:t xml:space="preserve">, and (ii) the welfare loss from its cadence is bounded by its excess training spending:</w:t>
      </w:r>
    </w:p>
    <w:p>
      <w:pPr>
        <w:pStyle w:val="BodyText"/>
      </w:pPr>
      <m:oMathPara>
        <m:oMathParaPr>
          <m:jc m:val="center"/>
        </m:oMathParaPr>
        <m:oMath>
          <m:r>
            <m:t>W</m:t>
          </m:r>
          <m:d>
            <m:dPr>
              <m:begChr m:val="("/>
              <m:sepChr m:val=""/>
              <m:endChr m:val=")"/>
              <m:grow/>
            </m:dPr>
            <m:e>
              <m:sSub>
                <m:e>
                  <m:r>
                    <m:t>t</m:t>
                  </m:r>
                </m:e>
                <m:sub>
                  <m:r>
                    <m:t>W</m:t>
                  </m:r>
                </m:sub>
              </m:sSub>
            </m:e>
          </m:d>
          <m:r>
            <m:rPr>
              <m:sty m:val="p"/>
            </m:rPr>
            <m:t>−</m:t>
          </m:r>
          <m:r>
            <m:t>W</m:t>
          </m:r>
          <m:d>
            <m:dPr>
              <m:begChr m:val="("/>
              <m:sepChr m:val=""/>
              <m:endChr m:val=")"/>
              <m:grow/>
            </m:dPr>
            <m:e>
              <m:sSub>
                <m:e>
                  <m:r>
                    <m:t>t</m:t>
                  </m:r>
                </m:e>
                <m:sub>
                  <m:r>
                    <m:t>P</m:t>
                  </m:r>
                </m:sub>
              </m:sSub>
            </m:e>
          </m:d>
          <m:r>
            <m:t> </m:t>
          </m:r>
          <m:r>
            <m:rPr>
              <m:sty m:val="p"/>
            </m:rPr>
            <m:t>≤</m:t>
          </m:r>
          <m:r>
            <m:t> </m:t>
          </m:r>
          <m:r>
            <m:t>K</m:t>
          </m:r>
          <m:d>
            <m:dPr>
              <m:begChr m:val="("/>
              <m:sepChr m:val=""/>
              <m:endChr m:val=")"/>
              <m:grow/>
            </m:dPr>
            <m:e>
              <m:r>
                <m:t>F</m:t>
              </m:r>
            </m:e>
          </m:d>
          <m:d>
            <m:dPr>
              <m:begChr m:val="("/>
              <m:sepChr m:val=""/>
              <m:endChr m:val=")"/>
              <m:grow/>
            </m:dPr>
            <m:e>
              <m:f>
                <m:fPr>
                  <m:type m:val="bar"/>
                </m:fPr>
                <m:num>
                  <m:r>
                    <m:t>1</m:t>
                  </m:r>
                </m:num>
                <m:den>
                  <m:sSub>
                    <m:e>
                      <m:r>
                        <m:t>t</m:t>
                      </m:r>
                    </m:e>
                    <m:sub>
                      <m:r>
                        <m:t>P</m:t>
                      </m:r>
                    </m:sub>
                  </m:sSub>
                </m:den>
              </m:f>
              <m:r>
                <m:rPr>
                  <m:sty m:val="p"/>
                </m:rPr>
                <m:t>−</m:t>
              </m:r>
              <m:f>
                <m:fPr>
                  <m:type m:val="bar"/>
                </m:fPr>
                <m:num>
                  <m:r>
                    <m:t>1</m:t>
                  </m:r>
                </m:num>
                <m:den>
                  <m:sSub>
                    <m:e>
                      <m:r>
                        <m:t>t</m:t>
                      </m:r>
                    </m:e>
                    <m:sub>
                      <m:r>
                        <m:t>W</m:t>
                      </m:r>
                    </m:sub>
                  </m:sSub>
                </m:den>
              </m:f>
            </m:e>
          </m:d>
          <m:r>
            <m:rPr>
              <m:sty m:val="p"/>
            </m:rPr>
            <m:t>.</m:t>
          </m:r>
          <m:r>
            <m:t>  </m:t>
          </m:r>
          <m:d>
            <m:dPr>
              <m:begChr m:val="("/>
              <m:sepChr m:val=""/>
              <m:endChr m:val=")"/>
              <m:grow/>
            </m:dPr>
            <m:e>
              <m:r>
                <m:t>13</m:t>
              </m:r>
            </m:e>
          </m:d>
        </m:oMath>
      </m:oMathPara>
    </w:p>
    <w:p>
      <w:pPr>
        <w:pStyle w:val="FirstParagraph"/>
      </w:pPr>
      <w:r>
        <w:t xml:space="preserve">Under unlimited pinning, a shorter interval never hurts any developer. Developers who want freshness get it; others keep their preferred interval. The only cost of over-updating is the training cost the platform itself pays. The externality on the ecosystem disappears, and what remains is a distortion in the platform’s own spending. Frequent updating is not harmful in itself;</w:t>
      </w:r>
      <w:r>
        <w:t xml:space="preserve"> </w:t>
      </w:r>
      <w:r>
        <w:rPr>
          <w:iCs/>
          <w:i/>
        </w:rPr>
        <w:t xml:space="preserve">forced</w:t>
      </w:r>
      <w:r>
        <w:t xml:space="preserve"> </w:t>
      </w:r>
      <w:r>
        <w:t xml:space="preserve">migration is.</w:t>
      </w:r>
    </w:p>
    <w:bookmarkEnd w:id="42"/>
    <w:bookmarkEnd w:id="43"/>
    <w:bookmarkStart w:id="46" w:name="endogenous-integration-and-hold-up"/>
    <w:p>
      <w:pPr>
        <w:pStyle w:val="Heading1"/>
      </w:pPr>
      <w:r>
        <w:t xml:space="preserve">7. Endogenous Integration and Hold-Up</w:t>
      </w:r>
    </w:p>
    <w:p>
      <w:pPr>
        <w:pStyle w:val="FirstParagraph"/>
      </w:pPr>
      <w:r>
        <w:t xml:space="preserve">Assumption 2 drives the direction of every distortion. This section shows that it emerges naturally when developers choose how deeply to integrate the model into their products, and that the platform’s cadence in turn shapes those choices.</w:t>
      </w:r>
    </w:p>
    <w:bookmarkStart w:id="44" w:name="integration-choice"/>
    <w:p>
      <w:pPr>
        <w:pStyle w:val="Heading2"/>
      </w:pPr>
      <w:r>
        <w:t xml:space="preserve">7.1. Integration Choice</w:t>
      </w:r>
    </w:p>
    <w:p>
      <w:pPr>
        <w:pStyle w:val="FirstParagraph"/>
      </w:pPr>
      <w:r>
        <w:t xml:space="preserve">Before joining, each developer chooses an integration depth</w:t>
      </w:r>
      <w:r>
        <w:t xml:space="preserve"> </w:t>
      </w:r>
      <m:oMath>
        <m:r>
          <m:t>x</m:t>
        </m:r>
        <m:r>
          <m:rPr>
            <m:sty m:val="p"/>
          </m:rPr>
          <m:t>≥</m:t>
        </m:r>
        <m:r>
          <m:t>0</m:t>
        </m:r>
      </m:oMath>
      <w:r>
        <w:t xml:space="preserve">: how many workflows, prompts and product features rely on the model’s specific behavior. Deeper integration raises value and migration cost:</w:t>
      </w:r>
    </w:p>
    <w:p>
      <w:pPr>
        <w:pStyle w:val="BodyText"/>
      </w:pPr>
      <m:oMathPara>
        <m:oMathParaPr>
          <m:jc m:val="center"/>
        </m:oMathParaPr>
        <m:oMath>
          <m:r>
            <m:t>v</m:t>
          </m:r>
          <m:d>
            <m:dPr>
              <m:begChr m:val="("/>
              <m:sepChr m:val=""/>
              <m:endChr m:val=")"/>
              <m:grow/>
            </m:dPr>
            <m:e>
              <m:r>
                <m:t>θ</m:t>
              </m:r>
              <m:r>
                <m:rPr>
                  <m:sty m:val="p"/>
                </m:rPr>
                <m:t>,</m:t>
              </m:r>
              <m:r>
                <m:t>x</m:t>
              </m:r>
            </m:e>
          </m:d>
          <m:r>
            <m:rPr>
              <m:sty m:val="p"/>
            </m:rPr>
            <m:t>=</m:t>
          </m:r>
          <m:sSub>
            <m:e>
              <m:r>
                <m:t>v</m:t>
              </m:r>
            </m:e>
            <m:sub>
              <m:r>
                <m:t>0</m:t>
              </m:r>
            </m:sub>
          </m:sSub>
          <m:d>
            <m:dPr>
              <m:begChr m:val="("/>
              <m:sepChr m:val=""/>
              <m:endChr m:val=")"/>
              <m:grow/>
            </m:dPr>
            <m:e>
              <m:r>
                <m:t>θ</m:t>
              </m:r>
            </m:e>
          </m:d>
          <m:r>
            <m:rPr>
              <m:sty m:val="p"/>
            </m:rPr>
            <m:t>+</m:t>
          </m:r>
          <m:r>
            <m:t>θ</m:t>
          </m:r>
          <m:r>
            <m:t> </m:t>
          </m:r>
          <m:r>
            <m:t>b</m:t>
          </m:r>
          <m:d>
            <m:dPr>
              <m:begChr m:val="("/>
              <m:sepChr m:val=""/>
              <m:endChr m:val=")"/>
              <m:grow/>
            </m:dPr>
            <m:e>
              <m:r>
                <m:t>x</m:t>
              </m:r>
            </m:e>
          </m:d>
          <m:r>
            <m:rPr>
              <m:sty m:val="p"/>
            </m:rPr>
            <m:t>,</m:t>
          </m:r>
          <m:r>
            <m:t>  </m:t>
          </m:r>
          <m:r>
            <m:t>σ</m:t>
          </m:r>
          <m:d>
            <m:dPr>
              <m:begChr m:val="("/>
              <m:sepChr m:val=""/>
              <m:endChr m:val=")"/>
              <m:grow/>
            </m:dPr>
            <m:e>
              <m:r>
                <m:t>x</m:t>
              </m:r>
            </m:e>
          </m:d>
          <m:r>
            <m:rPr>
              <m:sty m:val="p"/>
            </m:rPr>
            <m:t>=</m:t>
          </m:r>
          <m:sSub>
            <m:e>
              <m:r>
                <m:t>s</m:t>
              </m:r>
            </m:e>
            <m:sub>
              <m:r>
                <m:t>0</m:t>
              </m:r>
            </m:sub>
          </m:sSub>
          <m:r>
            <m:rPr>
              <m:sty m:val="p"/>
            </m:rPr>
            <m:t>+</m:t>
          </m:r>
          <m:r>
            <m:t>s</m:t>
          </m:r>
          <m:r>
            <m:t> </m:t>
          </m:r>
          <m:r>
            <m:t>x</m:t>
          </m:r>
          <m:r>
            <m:rPr>
              <m:sty m:val="p"/>
            </m:rPr>
            <m:t>,</m:t>
          </m:r>
          <m:r>
            <m:t>  </m:t>
          </m:r>
          <m:d>
            <m:dPr>
              <m:begChr m:val="("/>
              <m:sepChr m:val=""/>
              <m:endChr m:val=")"/>
              <m:grow/>
            </m:dPr>
            <m:e>
              <m:r>
                <m:t>14</m:t>
              </m:r>
            </m:e>
          </m:d>
        </m:oMath>
      </m:oMathPara>
    </w:p>
    <w:p>
      <w:pPr>
        <w:pStyle w:val="FirstParagraph"/>
      </w:pPr>
      <w:r>
        <w:t xml:space="preserve">where</w:t>
      </w:r>
      <w:r>
        <w:t xml:space="preserve"> </w:t>
      </w:r>
      <m:oMath>
        <m:sSub>
          <m:e>
            <m:r>
              <m:t>v</m:t>
            </m:r>
          </m:e>
          <m:sub>
            <m:r>
              <m:t>0</m:t>
            </m:r>
          </m:sub>
        </m:sSub>
      </m:oMath>
      <w:r>
        <w:t xml:space="preserve"> </w:t>
      </w:r>
      <w:r>
        <w:t xml:space="preserve">is nondecreasing,</w:t>
      </w:r>
      <w:r>
        <w:t xml:space="preserve"> </w:t>
      </w:r>
      <m:oMath>
        <m:r>
          <m:t>b</m:t>
        </m:r>
      </m:oMath>
      <w:r>
        <w:t xml:space="preserve"> </w:t>
      </w:r>
      <w:r>
        <w:t xml:space="preserve">is increasing and strictly concave with</w:t>
      </w:r>
      <w:r>
        <w:t xml:space="preserve"> </w:t>
      </w:r>
      <m:oMath>
        <m:r>
          <m:t>b</m:t>
        </m:r>
        <m:d>
          <m:dPr>
            <m:begChr m:val="("/>
            <m:sepChr m:val=""/>
            <m:endChr m:val=")"/>
            <m:grow/>
          </m:dPr>
          <m:e>
            <m:r>
              <m:t>0</m:t>
            </m:r>
          </m:e>
        </m:d>
        <m:r>
          <m:rPr>
            <m:sty m:val="p"/>
          </m:rPr>
          <m:t>=</m:t>
        </m:r>
        <m:r>
          <m:t>0</m:t>
        </m:r>
      </m:oMath>
      <w:r>
        <w:t xml:space="preserve">,</w:t>
      </w:r>
      <w:r>
        <w:t xml:space="preserve"> </w:t>
      </w:r>
      <m:oMath>
        <m:r>
          <m:t>b</m:t>
        </m:r>
        <m:r>
          <m:rPr>
            <m:sty m:val="p"/>
          </m:rPr>
          <m:t>′</m:t>
        </m:r>
        <m:d>
          <m:dPr>
            <m:begChr m:val="("/>
            <m:sepChr m:val=""/>
            <m:endChr m:val=")"/>
            <m:grow/>
          </m:dPr>
          <m:e>
            <m:r>
              <m:t>0</m:t>
            </m:r>
          </m:e>
        </m:d>
        <m:r>
          <m:rPr>
            <m:sty m:val="p"/>
          </m:rPr>
          <m:t>=</m:t>
        </m:r>
        <m:r>
          <m:rPr>
            <m:sty m:val="p"/>
          </m:rPr>
          <m:t>∞</m:t>
        </m:r>
      </m:oMath>
      <w:r>
        <w:t xml:space="preserve"> </w:t>
      </w:r>
      <w:r>
        <w:t xml:space="preserve">and</w:t>
      </w:r>
      <w:r>
        <w:t xml:space="preserve"> </w:t>
      </w:r>
      <m:oMath>
        <m:r>
          <m:t>b</m:t>
        </m:r>
        <m:r>
          <m:rPr>
            <m:sty m:val="p"/>
          </m:rPr>
          <m:t>′</m:t>
        </m:r>
        <m:d>
          <m:dPr>
            <m:begChr m:val="("/>
            <m:sepChr m:val=""/>
            <m:endChr m:val=")"/>
            <m:grow/>
          </m:dPr>
          <m:e>
            <m:r>
              <m:rPr>
                <m:sty m:val="p"/>
              </m:rPr>
              <m:t>∞</m:t>
            </m:r>
          </m:e>
        </m:d>
        <m:r>
          <m:rPr>
            <m:sty m:val="p"/>
          </m:rPr>
          <m:t>=</m:t>
        </m:r>
        <m:r>
          <m:t>0</m:t>
        </m:r>
      </m:oMath>
      <w:r>
        <w:t xml:space="preserve">, and</w:t>
      </w:r>
      <w:r>
        <w:t xml:space="preserve"> </w:t>
      </w:r>
      <m:oMath>
        <m:sSub>
          <m:e>
            <m:r>
              <m:t>s</m:t>
            </m:r>
          </m:e>
          <m:sub>
            <m:r>
              <m:t>0</m:t>
            </m:r>
          </m:sub>
        </m:sSub>
        <m:r>
          <m:rPr>
            <m:sty m:val="p"/>
          </m:rPr>
          <m:t>,</m:t>
        </m:r>
        <m:r>
          <m:t>s</m:t>
        </m:r>
        <m:r>
          <m:rPr>
            <m:sty m:val="p"/>
          </m:rPr>
          <m:t>&gt;</m:t>
        </m:r>
        <m:r>
          <m:t>0</m:t>
        </m:r>
      </m:oMath>
      <w:r>
        <w:t xml:space="preserve">. Type</w:t>
      </w:r>
      <w:r>
        <w:t xml:space="preserve"> </w:t>
      </w:r>
      <m:oMath>
        <m:r>
          <m:t>θ</m:t>
        </m:r>
      </m:oMath>
      <w:r>
        <w:t xml:space="preserve"> </w:t>
      </w:r>
      <w:r>
        <w:t xml:space="preserve">now measures how much a developer gains from integration. Given</w:t>
      </w:r>
      <w:r>
        <w:t xml:space="preserve"> </w:t>
      </w:r>
      <m:oMath>
        <m:d>
          <m:dPr>
            <m:begChr m:val="("/>
            <m:sepChr m:val=""/>
            <m:endChr m:val=")"/>
            <m:grow/>
          </m:dPr>
          <m:e>
            <m:r>
              <m:t>t</m:t>
            </m:r>
            <m:r>
              <m:rPr>
                <m:sty m:val="p"/>
              </m:rPr>
              <m:t>,</m:t>
            </m:r>
            <m:r>
              <m:t>F</m:t>
            </m:r>
          </m:e>
        </m:d>
      </m:oMath>
      <w:r>
        <w:t xml:space="preserve">, a developer chooses</w:t>
      </w:r>
      <w:r>
        <w:t xml:space="preserve"> </w:t>
      </w:r>
      <m:oMath>
        <m:r>
          <m:t>x</m:t>
        </m:r>
      </m:oMath>
      <w:r>
        <w:t xml:space="preserve"> </w:t>
      </w:r>
      <w:r>
        <w:t xml:space="preserve">to maximize</w:t>
      </w:r>
      <w:r>
        <w:t xml:space="preserve"> </w:t>
      </w:r>
      <m:oMath>
        <m:r>
          <m:t>θ</m:t>
        </m:r>
        <m:r>
          <m:t>b</m:t>
        </m:r>
        <m:d>
          <m:dPr>
            <m:begChr m:val="("/>
            <m:sepChr m:val=""/>
            <m:endChr m:val=")"/>
            <m:grow/>
          </m:dPr>
          <m:e>
            <m:r>
              <m:t>x</m:t>
            </m:r>
          </m:e>
        </m:d>
        <m:r>
          <m:rPr>
            <m:sty m:val="p"/>
          </m:rPr>
          <m:t>−</m:t>
        </m:r>
        <m:r>
          <m:t>s</m:t>
        </m:r>
        <m:r>
          <m:t>x</m:t>
        </m:r>
        <m:r>
          <m:t>φ</m:t>
        </m:r>
        <m:d>
          <m:dPr>
            <m:begChr m:val="("/>
            <m:sepChr m:val=""/>
            <m:endChr m:val=")"/>
            <m:grow/>
          </m:dPr>
          <m:e>
            <m:r>
              <m:t>F</m:t>
            </m:r>
          </m:e>
        </m:d>
        <m:r>
          <m:rPr>
            <m:sty m:val="p"/>
          </m:rPr>
          <m:t>/</m:t>
        </m:r>
        <m:r>
          <m:t>t</m:t>
        </m:r>
      </m:oMath>
      <w:r>
        <w:t xml:space="preserve">, so the optimal depth solves</w:t>
      </w:r>
    </w:p>
    <w:p>
      <w:pPr>
        <w:pStyle w:val="BodyText"/>
      </w:pPr>
      <m:oMathPara>
        <m:oMathParaPr>
          <m:jc m:val="center"/>
        </m:oMathParaPr>
        <m:oMath>
          <m:r>
            <m:t>θ</m:t>
          </m:r>
          <m:r>
            <m:t> </m:t>
          </m:r>
          <m:r>
            <m:t>b</m:t>
          </m:r>
          <m:r>
            <m:rPr>
              <m:sty m:val="p"/>
            </m:rPr>
            <m:t>′</m:t>
          </m:r>
          <m:d>
            <m:dPr>
              <m:begChr m:val="("/>
              <m:sepChr m:val=""/>
              <m:endChr m:val=")"/>
              <m:grow/>
            </m:dPr>
            <m:e>
              <m:sSup>
                <m:e>
                  <m:r>
                    <m:t>x</m:t>
                  </m:r>
                </m:e>
                <m:sup>
                  <m:r>
                    <m:rPr>
                      <m:sty m:val="p"/>
                    </m:rPr>
                    <m:t>*</m:t>
                  </m:r>
                </m:sup>
              </m:sSup>
            </m:e>
          </m:d>
          <m:r>
            <m:rPr>
              <m:sty m:val="p"/>
            </m:rPr>
            <m:t>=</m:t>
          </m:r>
          <m:f>
            <m:fPr>
              <m:type m:val="bar"/>
            </m:fPr>
            <m:num>
              <m:r>
                <m:t>s</m:t>
              </m:r>
              <m:r>
                <m:t> </m:t>
              </m:r>
              <m:r>
                <m:t>φ</m:t>
              </m:r>
              <m:d>
                <m:dPr>
                  <m:begChr m:val="("/>
                  <m:sepChr m:val=""/>
                  <m:endChr m:val=")"/>
                  <m:grow/>
                </m:dPr>
                <m:e>
                  <m:r>
                    <m:t>F</m:t>
                  </m:r>
                </m:e>
              </m:d>
            </m:num>
            <m:den>
              <m:r>
                <m:t>t</m:t>
              </m:r>
            </m:den>
          </m:f>
          <m:r>
            <m:rPr>
              <m:sty m:val="p"/>
            </m:rPr>
            <m:t>.</m:t>
          </m:r>
          <m:r>
            <m:t>  </m:t>
          </m:r>
          <m:d>
            <m:dPr>
              <m:begChr m:val="("/>
              <m:sepChr m:val=""/>
              <m:endChr m:val=")"/>
              <m:grow/>
            </m:dPr>
            <m:e>
              <m:r>
                <m:t>15</m:t>
              </m:r>
            </m:e>
          </m:d>
        </m:oMath>
      </m:oMathPara>
    </w:p>
    <w:bookmarkEnd w:id="44"/>
    <w:bookmarkStart w:id="45" w:name="results"/>
    <w:p>
      <w:pPr>
        <w:pStyle w:val="Heading2"/>
      </w:pPr>
      <w:r>
        <w:t xml:space="preserve">7.2. Results</w:t>
      </w:r>
    </w:p>
    <w:p>
      <w:pPr>
        <w:pStyle w:val="FirstParagraph"/>
      </w:pPr>
      <w:r>
        <w:rPr>
          <w:bCs/>
          <w:b/>
        </w:rPr>
        <w:t xml:space="preserve">Proposition 6 (Endogenous integration).</w:t>
      </w:r>
      <w:r>
        <w:t xml:space="preserve"> </w:t>
      </w:r>
      <w:r>
        <w:t xml:space="preserve">Under (14):</w:t>
      </w:r>
    </w:p>
    <w:p>
      <w:pPr>
        <w:pStyle w:val="Compact"/>
        <w:numPr>
          <w:ilvl w:val="0"/>
          <w:numId w:val="1004"/>
        </w:numPr>
      </w:pPr>
      <w:r>
        <w:t xml:space="preserve">Integration depth</w:t>
      </w:r>
      <w:r>
        <w:t xml:space="preserve"> </w:t>
      </w:r>
      <m:oMath>
        <m:sSup>
          <m:e>
            <m:r>
              <m:t>x</m:t>
            </m:r>
          </m:e>
          <m:sup>
            <m:r>
              <m:rPr>
                <m:sty m:val="p"/>
              </m:rPr>
              <m:t>*</m:t>
            </m:r>
          </m:sup>
        </m:sSup>
        <m:d>
          <m:dPr>
            <m:begChr m:val="("/>
            <m:sepChr m:val=""/>
            <m:endChr m:val=")"/>
            <m:grow/>
          </m:dPr>
          <m:e>
            <m:r>
              <m:t>θ</m:t>
            </m:r>
            <m:r>
              <m:rPr>
                <m:sty m:val="p"/>
              </m:rPr>
              <m:t>;</m:t>
            </m:r>
            <m:r>
              <m:t>t</m:t>
            </m:r>
            <m:r>
              <m:rPr>
                <m:sty m:val="p"/>
              </m:rPr>
              <m:t>,</m:t>
            </m:r>
            <m:r>
              <m:t>F</m:t>
            </m:r>
          </m:e>
        </m:d>
      </m:oMath>
      <w:r>
        <w:t xml:space="preserve"> </w:t>
      </w:r>
      <w:r>
        <w:t xml:space="preserve">is increasing in</w:t>
      </w:r>
      <w:r>
        <w:t xml:space="preserve"> </w:t>
      </w:r>
      <m:oMath>
        <m:r>
          <m:t>θ</m:t>
        </m:r>
      </m:oMath>
      <w:r>
        <w:t xml:space="preserve"> </w:t>
      </w:r>
      <w:r>
        <w:t xml:space="preserve">and</w:t>
      </w:r>
      <w:r>
        <w:t xml:space="preserve"> </w:t>
      </w:r>
      <m:oMath>
        <m:r>
          <m:t>t</m:t>
        </m:r>
      </m:oMath>
      <w:r>
        <w:t xml:space="preserve"> </w:t>
      </w:r>
      <w:r>
        <w:t xml:space="preserve">and decreasing in</w:t>
      </w:r>
      <w:r>
        <w:t xml:space="preserve"> </w:t>
      </w:r>
      <m:oMath>
        <m:r>
          <m:t>F</m:t>
        </m:r>
      </m:oMath>
      <w:r>
        <w:t xml:space="preserve">. Hence the induced migration cost</w:t>
      </w:r>
      <w:r>
        <w:t xml:space="preserve"> </w:t>
      </w:r>
      <m:oMath>
        <m:r>
          <m:t>σ</m:t>
        </m:r>
        <m:d>
          <m:dPr>
            <m:begChr m:val="("/>
            <m:sepChr m:val=""/>
            <m:endChr m:val=")"/>
            <m:grow/>
          </m:dPr>
          <m:e>
            <m:r>
              <m:t>θ</m:t>
            </m:r>
          </m:e>
        </m:d>
        <m:r>
          <m:rPr>
            <m:sty m:val="p"/>
          </m:rPr>
          <m:t>=</m:t>
        </m:r>
        <m:sSub>
          <m:e>
            <m:r>
              <m:t>s</m:t>
            </m:r>
          </m:e>
          <m:sub>
            <m:r>
              <m:t>0</m:t>
            </m:r>
          </m:sub>
        </m:sSub>
        <m:r>
          <m:rPr>
            <m:sty m:val="p"/>
          </m:rPr>
          <m:t>+</m:t>
        </m:r>
        <m:r>
          <m:t>s</m:t>
        </m:r>
        <m:r>
          <m:t> </m:t>
        </m:r>
        <m:sSup>
          <m:e>
            <m:r>
              <m:t>x</m:t>
            </m:r>
          </m:e>
          <m:sup>
            <m:r>
              <m:rPr>
                <m:sty m:val="p"/>
              </m:rPr>
              <m:t>*</m:t>
            </m:r>
          </m:sup>
        </m:sSup>
        <m:d>
          <m:dPr>
            <m:begChr m:val="("/>
            <m:sepChr m:val=""/>
            <m:endChr m:val=")"/>
            <m:grow/>
          </m:dPr>
          <m:e>
            <m:r>
              <m:t>θ</m:t>
            </m:r>
          </m:e>
        </m:d>
      </m:oMath>
      <w:r>
        <w:t xml:space="preserve"> </w:t>
      </w:r>
      <w:r>
        <w:t xml:space="preserve">is increasing in</w:t>
      </w:r>
      <w:r>
        <w:t xml:space="preserve"> </w:t>
      </w:r>
      <m:oMath>
        <m:r>
          <m:t>θ</m:t>
        </m:r>
      </m:oMath>
      <w:r>
        <w:t xml:space="preserve">, and Assumption 2 holds endogenously.</w:t>
      </w:r>
    </w:p>
    <w:p>
      <w:pPr>
        <w:pStyle w:val="Compact"/>
        <w:numPr>
          <w:ilvl w:val="0"/>
          <w:numId w:val="1004"/>
        </w:numPr>
      </w:pPr>
      <w:r>
        <w:t xml:space="preserve">Single crossing holds automatically, so participation has a cutoff form.</w:t>
      </w:r>
    </w:p>
    <w:p>
      <w:pPr>
        <w:pStyle w:val="Compact"/>
        <w:numPr>
          <w:ilvl w:val="0"/>
          <w:numId w:val="1004"/>
        </w:numPr>
      </w:pPr>
      <w:r>
        <w:t xml:space="preserve">Propositions 1–3 hold with</w:t>
      </w:r>
      <w:r>
        <w:t xml:space="preserve"> </w:t>
      </w:r>
      <m:oMath>
        <m:sSub>
          <m:e>
            <m:r>
              <m:t>σ</m:t>
            </m:r>
          </m:e>
          <m:sub>
            <m:r>
              <m:t>m</m:t>
            </m:r>
          </m:sub>
        </m:sSub>
      </m:oMath>
      <w:r>
        <w:t xml:space="preserve"> </w:t>
      </w:r>
      <w:r>
        <w:t xml:space="preserve">and</w:t>
      </w:r>
      <w:r>
        <w:t xml:space="preserve"> </w:t>
      </w:r>
      <m:oMath>
        <m:acc>
          <m:accPr>
            <m:chr m:val="‾"/>
          </m:accPr>
          <m:e>
            <m:r>
              <m:t>σ</m:t>
            </m:r>
          </m:e>
        </m:acc>
      </m:oMath>
      <w:r>
        <w:t xml:space="preserve"> </w:t>
      </w:r>
      <w:r>
        <w:t xml:space="preserve">evaluated at the developers’ chosen depths. In particular,</w:t>
      </w:r>
      <w:r>
        <w:t xml:space="preserve"> </w:t>
      </w:r>
      <m:oMath>
        <m:sSub>
          <m:e>
            <m:r>
              <m:t>t</m:t>
            </m:r>
          </m:e>
          <m:sub>
            <m:r>
              <m:t>P</m:t>
            </m:r>
          </m:sub>
        </m:sSub>
        <m:r>
          <m:rPr>
            <m:sty m:val="p"/>
          </m:rPr>
          <m:t>&lt;</m:t>
        </m:r>
        <m:sSub>
          <m:e>
            <m:r>
              <m:t>t</m:t>
            </m:r>
          </m:e>
          <m:sub>
            <m:r>
              <m:t>W</m:t>
            </m:r>
          </m:sub>
        </m:sSub>
      </m:oMath>
      <w:r>
        <w:t xml:space="preserve">.</w:t>
      </w:r>
    </w:p>
    <w:p>
      <w:pPr>
        <w:pStyle w:val="Compact"/>
        <w:numPr>
          <w:ilvl w:val="0"/>
          <w:numId w:val="1004"/>
        </w:numPr>
      </w:pPr>
      <w:r>
        <w:t xml:space="preserve">Because</w:t>
      </w:r>
      <w:r>
        <w:t xml:space="preserve"> </w:t>
      </w:r>
      <m:oMath>
        <m:sSup>
          <m:e>
            <m:r>
              <m:t>x</m:t>
            </m:r>
          </m:e>
          <m:sup>
            <m:r>
              <m:rPr>
                <m:sty m:val="p"/>
              </m:rPr>
              <m:t>*</m:t>
            </m:r>
          </m:sup>
        </m:sSup>
      </m:oMath>
      <w:r>
        <w:t xml:space="preserve"> </w:t>
      </w:r>
      <w:r>
        <w:t xml:space="preserve">increases in</w:t>
      </w:r>
      <w:r>
        <w:t xml:space="preserve"> </w:t>
      </w:r>
      <m:oMath>
        <m:r>
          <m:t>t</m:t>
        </m:r>
      </m:oMath>
      <w:r>
        <w:t xml:space="preserve">, every developer integrates less deeply under the platform’s cadence than under the second-best cadence:</w:t>
      </w:r>
      <w:r>
        <w:t xml:space="preserve"> </w:t>
      </w:r>
      <m:oMath>
        <m:sSup>
          <m:e>
            <m:r>
              <m:t>x</m:t>
            </m:r>
          </m:e>
          <m:sup>
            <m:r>
              <m:rPr>
                <m:sty m:val="p"/>
              </m:rPr>
              <m:t>*</m:t>
            </m:r>
          </m:sup>
        </m:sSup>
        <m:d>
          <m:dPr>
            <m:begChr m:val="("/>
            <m:sepChr m:val=""/>
            <m:endChr m:val=")"/>
            <m:grow/>
          </m:dPr>
          <m:e>
            <m:r>
              <m:t>θ</m:t>
            </m:r>
            <m:r>
              <m:rPr>
                <m:sty m:val="p"/>
              </m:rPr>
              <m:t>;</m:t>
            </m:r>
            <m:sSub>
              <m:e>
                <m:r>
                  <m:t>t</m:t>
                </m:r>
              </m:e>
              <m:sub>
                <m:r>
                  <m:t>P</m:t>
                </m:r>
              </m:sub>
            </m:sSub>
            <m:r>
              <m:rPr>
                <m:sty m:val="p"/>
              </m:rPr>
              <m:t>,</m:t>
            </m:r>
            <m:r>
              <m:t>F</m:t>
            </m:r>
          </m:e>
        </m:d>
        <m:r>
          <m:rPr>
            <m:sty m:val="p"/>
          </m:rPr>
          <m:t>&lt;</m:t>
        </m:r>
        <m:sSup>
          <m:e>
            <m:r>
              <m:t>x</m:t>
            </m:r>
          </m:e>
          <m:sup>
            <m:r>
              <m:rPr>
                <m:sty m:val="p"/>
              </m:rPr>
              <m:t>*</m:t>
            </m:r>
          </m:sup>
        </m:sSup>
        <m:d>
          <m:dPr>
            <m:begChr m:val="("/>
            <m:sepChr m:val=""/>
            <m:endChr m:val=")"/>
            <m:grow/>
          </m:dPr>
          <m:e>
            <m:r>
              <m:t>θ</m:t>
            </m:r>
            <m:r>
              <m:rPr>
                <m:sty m:val="p"/>
              </m:rPr>
              <m:t>;</m:t>
            </m:r>
            <m:sSub>
              <m:e>
                <m:r>
                  <m:t>t</m:t>
                </m:r>
              </m:e>
              <m:sub>
                <m:r>
                  <m:t>W</m:t>
                </m:r>
              </m:sub>
            </m:sSub>
            <m:r>
              <m:rPr>
                <m:sty m:val="p"/>
              </m:rPr>
              <m:t>,</m:t>
            </m:r>
            <m:r>
              <m:t>F</m:t>
            </m:r>
          </m:e>
        </m:d>
      </m:oMath>
      <w:r>
        <w:t xml:space="preserve"> </w:t>
      </w:r>
      <w:r>
        <w:t xml:space="preserve">for all</w:t>
      </w:r>
      <w:r>
        <w:t xml:space="preserve"> </w:t>
      </w:r>
      <m:oMath>
        <m:r>
          <m:t>θ</m:t>
        </m:r>
        <m:r>
          <m:rPr>
            <m:sty m:val="p"/>
          </m:rPr>
          <m:t>&gt;</m:t>
        </m:r>
        <m:r>
          <m:t>0</m:t>
        </m:r>
      </m:oMath>
      <w:r>
        <w:t xml:space="preserve">.</w:t>
      </w:r>
    </w:p>
    <w:p>
      <w:pPr>
        <w:pStyle w:val="FirstParagraph"/>
      </w:pPr>
      <w:r>
        <w:t xml:space="preserve">Part 1 provides the microfoundation for the main results. Developers who gain more from integration integrate more, and therefore have more to lose at each update. Since they also value the model most, they are inframarginal. The ordering</w:t>
      </w:r>
      <w:r>
        <w:t xml:space="preserve"> </w:t>
      </w:r>
      <m:oMath>
        <m:sSub>
          <m:e>
            <m:r>
              <m:t>σ</m:t>
            </m:r>
          </m:e>
          <m:sub>
            <m:r>
              <m:t>m</m:t>
            </m:r>
          </m:sub>
        </m:sSub>
        <m:r>
          <m:rPr>
            <m:sty m:val="p"/>
          </m:rPr>
          <m:t>&lt;</m:t>
        </m:r>
        <m:acc>
          <m:accPr>
            <m:chr m:val="‾"/>
          </m:accPr>
          <m:e>
            <m:r>
              <m:t>σ</m:t>
            </m:r>
          </m:e>
        </m:acc>
      </m:oMath>
      <w:r>
        <w:t xml:space="preserve"> </w:t>
      </w:r>
      <w:r>
        <w:t xml:space="preserve">is not an assumption about the world but a consequence of optimal integration.</w:t>
      </w:r>
    </w:p>
    <w:p>
      <w:pPr>
        <w:pStyle w:val="BodyText"/>
      </w:pPr>
      <w:r>
        <w:t xml:space="preserve">Part 4 identifies a second cost of over-updating. Integration is a platform-specific investment whose return is eroded at every update. Anticipating frequent updates, developers integrate less deeply than they would under the welfare-maximizing cadence. This is a form of the hold-up problem: the platform’s control over the core technology reduces complementors’ incentives to make specific investments (Grossman and Hart 1986). By the envelope theorem, both the platform and the planner evaluate the cadence at the integration depths it induces, so part 3 already accounts for this response. The welfare cost of over-updating therefore includes the value of integration that developers forgo, not only their extra migration costs.</w:t>
      </w:r>
    </w:p>
    <w:p>
      <w:pPr>
        <w:pStyle w:val="BodyText"/>
      </w:pPr>
      <w:r>
        <w:t xml:space="preserve">The result also qualifies a common recommendation to developers: to insulate themselves from model changes by integrating thinly. Thin integration is privately rational under frequent updates, but it is partly a response to a platform policy that is itself distorted.</w:t>
      </w:r>
    </w:p>
    <w:p>
      <w:pPr>
        <w:pStyle w:val="Heading2"/>
      </w:pPr>
      <w:r>
        <w:rPr>
          <w:b w:val="0"/>
        </w:rPr>
        <w:t>7.3. Competition: When the Distortion Reverses</w:t>
      </w:r>
    </w:p>
    <w:p>
      <w:pPr>
        <w:pStyle w:val="FirstParagraph"/>
      </w:pPr>
      <w:r>
        <w:rPr>
          <w:b w:val="0"/>
        </w:rPr>
        <w:t>The baseline is a monopoly so that the marginal-versus-average wedge can be isolated. Competition does not remove the wedge. It changes who is marginal. Two forces push in opposite directions, and which one dominates is an empirical question the model can sign.</w:t>
      </w:r>
    </w:p>
    <w:p>
      <w:pPr>
        <w:pStyle w:val="BodyText"/>
      </w:pPr>
      <w:r>
        <w:rPr>
          <w:b w:val="0"/>
        </w:rPr>
        <w:t>Proposition 7 (Competition can widen or reverse the distortion). Fix the update technology, and hold participation fixed except as stated. (i) Freshness race. Suppose a rival updates on a given interval and the platform loses the marginal developer unless its own interval is no longer than the rival’s. Then the platform’s best response is weakly shorter than its monopoly interval, and the cadence distortion relative to the second best weakly widens. (ii) Marginalization of integrated customers. Suppose a rival poaches developers above some type unless the platform offers a pinning window at least as long as a required window and a price that satisfies the integrated type’s participation constraint. If the binding customer then has a migration cost above the average among retained participants, the platform’s private weight on migration costs exceeds the welfare weight. The platform updates too rarely relative to the second best for the ecosystem it retains, and it offers a weakly longer pinning window than in the monopoly.</w:t>
      </w:r>
    </w:p>
    <w:p>
      <w:pPr>
        <w:pStyle w:val="BodyText"/>
      </w:pPr>
      <w:r>
        <w:rPr>
          <w:b w:val="0"/>
        </w:rPr>
        <w:t>Part 2 is the empirically relevant reversal. Enterprise contracts, volume discounts and rival platforms aimed at large customers can make the deeply integrated developer the one whose participation constraint binds. The platform then internalizes a migration cost above the average of the developers it retains, and the monopoly over-updating result flips. This is also why a published pinning window can be a competitive instrument rather than a pure cost. Prediction P4 in Table 4 is the observable counterpart: deprecation windows should lengthen when a rival begins to court the customers who are most expensive to migrate.</w:t>
      </w:r>
    </w:p>
    <w:p>
      <w:pPr>
        <w:pStyle w:val="BodyText"/>
      </w:pPr>
      <w:r>
        <w:rPr>
          <w:b w:val="0"/>
        </w:rPr>
        <w:t>The sketch is reduced form. It does not solve a full pricing-and-cadence duopoly, and it holds the update technology fixed. It is enough to show that the sign result is not an artifact of monopoly alone, and that the same covariance which drives Propositions 1 to 6 is the object competition acts on. Characterizing the boundary between the two forces in a closed duopoly is left to future work.</w:t>
      </w:r>
    </w:p>
    <w:bookmarkEnd w:id="45"/>
    <w:bookmarkEnd w:id="46"/>
    <w:bookmarkStart w:id="52" w:name="numerical-analysis"/>
    <w:p>
      <w:pPr>
        <w:pStyle w:val="Heading1"/>
      </w:pPr>
      <w:r>
        <w:t xml:space="preserve">8. Numerical Analysis</w:t>
      </w:r>
    </w:p>
    <w:p>
      <w:pPr>
        <w:pStyle w:val="FirstParagraph"/>
      </w:pPr>
      <w:r>
        <w:rPr>
          <w:b w:val="0"/>
        </w:rPr>
        <w:t>This section has two parts. Section 8.1 summarizes a controlled illustration of two primitives, linear obsolescence and technology-dependent destruction. The illustration uses a small public model, a synthetic world and a single seed. It does not test the propositions, and it is not an estimate for production systems. The protocol and the supporting table are in Appendix B. The remaining subsections solve the model numerically to quantify the distortions, to check Assumption 3 in a concrete case and to examine the first-best comparison that the analytical results leave open. The parameters are illustrative rather than calibrated to any provider. Ratios and signs are more informative than levels.</w:t>
      </w:r>
    </w:p>
    <w:bookmarkStart w:id="47" w:name="measured-primitives"/>
    <w:p>
      <w:pPr>
        <w:pStyle w:val="Heading2"/>
      </w:pPr>
      <w:r>
        <w:rPr>
          <w:b w:val="0"/>
        </w:rPr>
        <w:t>8.1. Illustration of the Primitives</w:t>
      </w:r>
    </w:p>
    <w:p>
      <w:pPr>
        <w:pStyle w:val="FirstParagraph"/>
      </w:pPr>
      <w:r>
        <w:rPr>
          <w:b w:val="0"/>
        </w:rPr>
        <w:t>Two primitives can be illustrated on a public model without claiming to test the propositions. On EleutherAI’s Pythia-70M, fine-tuned on a synthetic world of fictional company facts that cannot have appeared in pre-training, error on facts that drift rises approximately linearly over 60 days, and a linear fit accounts for 98 percent of the variation. Destruction is not ordered by training cost. A low-rank update without replay of old data raised error on a static retention suite by 11 percentage points, while a targeted edit and a full fine-tune destroyed no measurable capability on the same suite. Appendix B records the protocol, the single-seed caveat and the table. The illustration supports treating obsolescence as locally linear and treating destruction as a choice of update technology. It does not identify migration costs, and it does not speak to Propositions 1 to 7.</w:t>
      </w:r>
    </w:p>
    <w:bookmarkEnd w:id="47"/>
    <w:bookmarkStart w:id="48" w:name="specification"/>
    <w:p>
      <w:pPr>
        <w:pStyle w:val="Heading2"/>
      </w:pPr>
      <w:r>
        <w:t xml:space="preserve">8.2. Specification</w:t>
      </w:r>
    </w:p>
    <w:p>
      <w:pPr>
        <w:pStyle w:val="FirstParagraph"/>
      </w:pPr>
      <w:r>
        <w:t xml:space="preserve">Developer types are uniform on</w:t>
      </w:r>
      <w:r>
        <w:t xml:space="preserve"> </w:t>
      </w:r>
      <m:oMath>
        <m:d>
          <m:dPr>
            <m:begChr m:val="["/>
            <m:sepChr m:val=""/>
            <m:endChr m:val="]"/>
            <m:grow/>
          </m:dPr>
          <m:e>
            <m:r>
              <m:t>0</m:t>
            </m:r>
            <m:r>
              <m:rPr>
                <m:sty m:val="p"/>
              </m:rPr>
              <m:t>,</m:t>
            </m:r>
            <m:r>
              <m:t>1</m:t>
            </m:r>
          </m:e>
        </m:d>
      </m:oMath>
      <w:r>
        <w:t xml:space="preserve">. Value is</w:t>
      </w:r>
      <w:r>
        <w:t xml:space="preserve"> </w:t>
      </w:r>
      <m:oMath>
        <m:r>
          <m:t>v</m:t>
        </m:r>
        <m:d>
          <m:dPr>
            <m:begChr m:val="("/>
            <m:sepChr m:val=""/>
            <m:endChr m:val=")"/>
            <m:grow/>
          </m:dPr>
          <m:e>
            <m:r>
              <m:t>θ</m:t>
            </m:r>
          </m:e>
        </m:d>
        <m:r>
          <m:rPr>
            <m:sty m:val="p"/>
          </m:rPr>
          <m:t>=</m:t>
        </m:r>
        <m:r>
          <m:t>2</m:t>
        </m:r>
        <m:r>
          <m:rPr>
            <m:sty m:val="p"/>
          </m:rPr>
          <m:t>+</m:t>
        </m:r>
        <m:r>
          <m:t>8</m:t>
        </m:r>
        <m:r>
          <m:t>θ</m:t>
        </m:r>
      </m:oMath>
      <w:r>
        <w:t xml:space="preserve"> </w:t>
      </w:r>
      <w:r>
        <w:t xml:space="preserve">and baseline migration cost is</w:t>
      </w:r>
      <w:r>
        <w:t xml:space="preserve"> </w:t>
      </w:r>
      <m:oMath>
        <m:r>
          <m:t>σ</m:t>
        </m:r>
        <m:d>
          <m:dPr>
            <m:begChr m:val="("/>
            <m:sepChr m:val=""/>
            <m:endChr m:val=")"/>
            <m:grow/>
          </m:dPr>
          <m:e>
            <m:r>
              <m:t>θ</m:t>
            </m:r>
          </m:e>
        </m:d>
        <m:r>
          <m:rPr>
            <m:sty m:val="p"/>
          </m:rPr>
          <m:t>=</m:t>
        </m:r>
        <m:r>
          <m:t>1</m:t>
        </m:r>
        <m:r>
          <m:rPr>
            <m:sty m:val="p"/>
          </m:rPr>
          <m:t>+</m:t>
        </m:r>
        <m:r>
          <m:t>80</m:t>
        </m:r>
        <m:r>
          <m:t>θ</m:t>
        </m:r>
      </m:oMath>
      <w:r>
        <w:t xml:space="preserve">, so Assumption 2 holds. The update cost is</w:t>
      </w:r>
      <w:r>
        <w:t xml:space="preserve"> </w:t>
      </w:r>
      <m:oMath>
        <m:r>
          <m:t>K</m:t>
        </m:r>
        <m:d>
          <m:dPr>
            <m:begChr m:val="("/>
            <m:sepChr m:val=""/>
            <m:endChr m:val=")"/>
            <m:grow/>
          </m:dPr>
          <m:e>
            <m:r>
              <m:t>F</m:t>
            </m:r>
          </m:e>
        </m:d>
        <m:r>
          <m:rPr>
            <m:sty m:val="p"/>
          </m:rPr>
          <m:t>=</m:t>
        </m:r>
        <m:r>
          <m:t>2</m:t>
        </m:r>
        <m:r>
          <m:rPr>
            <m:sty m:val="p"/>
          </m:rPr>
          <m:t>+</m:t>
        </m:r>
        <m:r>
          <m:t>10</m:t>
        </m:r>
        <m:sSup>
          <m:e>
            <m:r>
              <m:t>e</m:t>
            </m:r>
          </m:e>
          <m:sup>
            <m:r>
              <m:rPr>
                <m:sty m:val="p"/>
              </m:rPr>
              <m:t>−</m:t>
            </m:r>
            <m:r>
              <m:t>8</m:t>
            </m:r>
            <m:r>
              <m:t>F</m:t>
            </m:r>
          </m:sup>
        </m:sSup>
      </m:oMath>
      <w:r>
        <w:t xml:space="preserve">, the migration multiplier is</w:t>
      </w:r>
      <w:r>
        <w:t xml:space="preserve"> </w:t>
      </w:r>
      <m:oMath>
        <m:r>
          <m:t>φ</m:t>
        </m:r>
        <m:d>
          <m:dPr>
            <m:begChr m:val="("/>
            <m:sepChr m:val=""/>
            <m:endChr m:val=")"/>
            <m:grow/>
          </m:dPr>
          <m:e>
            <m:r>
              <m:t>F</m:t>
            </m:r>
          </m:e>
        </m:d>
        <m:r>
          <m:rPr>
            <m:sty m:val="p"/>
          </m:rPr>
          <m:t>=</m:t>
        </m:r>
        <m:r>
          <m:t>1</m:t>
        </m:r>
        <m:r>
          <m:rPr>
            <m:sty m:val="p"/>
          </m:rPr>
          <m:t>+</m:t>
        </m:r>
        <m:r>
          <m:t>F</m:t>
        </m:r>
      </m:oMath>
      <w:r>
        <w:t xml:space="preserve">, and</w:t>
      </w:r>
      <w:r>
        <w:t xml:space="preserve"> </w:t>
      </w:r>
      <m:oMath>
        <m:r>
          <m:t>a</m:t>
        </m:r>
        <m:r>
          <m:rPr>
            <m:sty m:val="p"/>
          </m:rPr>
          <m:t>=</m:t>
        </m:r>
        <m:r>
          <m:t>1</m:t>
        </m:r>
      </m:oMath>
      <w:r>
        <w:t xml:space="preserve">,</w:t>
      </w:r>
      <w:r>
        <w:t xml:space="preserve"> </w:t>
      </w:r>
      <m:oMath>
        <m:r>
          <m:t>γ</m:t>
        </m:r>
        <m:r>
          <m:rPr>
            <m:sty m:val="p"/>
          </m:rPr>
          <m:t>=</m:t>
        </m:r>
        <m:r>
          <m:t>0.1</m:t>
        </m:r>
      </m:oMath>
      <w:r>
        <w:t xml:space="preserve"> </w:t>
      </w:r>
      <w:r>
        <w:t xml:space="preserve">and</w:t>
      </w:r>
      <w:r>
        <w:t xml:space="preserve"> </w:t>
      </w:r>
      <m:oMath>
        <m:sSub>
          <m:e>
            <m:r>
              <m:t>c</m:t>
            </m:r>
          </m:e>
          <m:sub>
            <m:r>
              <m:t>v</m:t>
            </m:r>
          </m:sub>
        </m:sSub>
        <m:r>
          <m:rPr>
            <m:sty m:val="p"/>
          </m:rPr>
          <m:t>=</m:t>
        </m:r>
        <m:r>
          <m:t>0.01</m:t>
        </m:r>
      </m:oMath>
      <w:r>
        <w:t xml:space="preserve">. Time is measured in days. The platform maximizes (3) over</w:t>
      </w:r>
      <w:r>
        <w:t xml:space="preserve"> </w:t>
      </w:r>
      <m:oMath>
        <m:d>
          <m:dPr>
            <m:begChr m:val="("/>
            <m:sepChr m:val=""/>
            <m:endChr m:val=")"/>
            <m:grow/>
          </m:dPr>
          <m:e>
            <m:sSup>
              <m:e>
                <m:r>
                  <m:t>θ</m:t>
                </m:r>
              </m:e>
              <m:sup>
                <m:r>
                  <m:rPr>
                    <m:sty m:val="p"/>
                  </m:rPr>
                  <m:t>*</m:t>
                </m:r>
              </m:sup>
            </m:sSup>
            <m:r>
              <m:rPr>
                <m:sty m:val="p"/>
              </m:rPr>
              <m:t>,</m:t>
            </m:r>
            <m:r>
              <m:t>t</m:t>
            </m:r>
            <m:r>
              <m:rPr>
                <m:sty m:val="p"/>
              </m:rPr>
              <m:t>,</m:t>
            </m:r>
            <m:r>
              <m:t>F</m:t>
            </m:r>
          </m:e>
        </m:d>
      </m:oMath>
      <w:r>
        <w:t xml:space="preserve">; the second best maximizes (4) over</w:t>
      </w:r>
      <w:r>
        <w:t xml:space="preserve"> </w:t>
      </w:r>
      <m:oMath>
        <m:d>
          <m:dPr>
            <m:begChr m:val="("/>
            <m:sepChr m:val=""/>
            <m:endChr m:val=")"/>
            <m:grow/>
          </m:dPr>
          <m:e>
            <m:r>
              <m:t>t</m:t>
            </m:r>
            <m:r>
              <m:rPr>
                <m:sty m:val="p"/>
              </m:rPr>
              <m:t>,</m:t>
            </m:r>
            <m:r>
              <m:t>F</m:t>
            </m:r>
          </m:e>
        </m:d>
      </m:oMath>
      <w:r>
        <w:t xml:space="preserve"> </w:t>
      </w:r>
      <w:r>
        <w:t xml:space="preserve">at the platform’s</w:t>
      </w:r>
      <w:r>
        <w:t xml:space="preserve"> </w:t>
      </w:r>
      <m:oMath>
        <m:sSup>
          <m:e>
            <m:r>
              <m:t>θ</m:t>
            </m:r>
          </m:e>
          <m:sup>
            <m:r>
              <m:rPr>
                <m:sty m:val="p"/>
              </m:rPr>
              <m:t>*</m:t>
            </m:r>
          </m:sup>
        </m:sSup>
      </m:oMath>
      <w:r>
        <w:t xml:space="preserve">; the first best maximizes (4) over</w:t>
      </w:r>
      <w:r>
        <w:t xml:space="preserve"> </w:t>
      </w:r>
      <m:oMath>
        <m:d>
          <m:dPr>
            <m:begChr m:val="("/>
            <m:sepChr m:val=""/>
            <m:endChr m:val=")"/>
            <m:grow/>
          </m:dPr>
          <m:e>
            <m:sSup>
              <m:e>
                <m:r>
                  <m:t>θ</m:t>
                </m:r>
              </m:e>
              <m:sup>
                <m:r>
                  <m:rPr>
                    <m:sty m:val="p"/>
                  </m:rPr>
                  <m:t>*</m:t>
                </m:r>
              </m:sup>
            </m:sSup>
            <m:r>
              <m:rPr>
                <m:sty m:val="p"/>
              </m:rPr>
              <m:t>,</m:t>
            </m:r>
            <m:r>
              <m:t>t</m:t>
            </m:r>
            <m:r>
              <m:rPr>
                <m:sty m:val="p"/>
              </m:rPr>
              <m:t>,</m:t>
            </m:r>
            <m:r>
              <m:t>F</m:t>
            </m:r>
          </m:e>
        </m:d>
      </m:oMath>
      <w:r>
        <w:t xml:space="preserve">. We use bounded quasi-Newton optimization from several starting points and verify the platform’s interval against the closed form in (7).</w:t>
      </w:r>
    </w:p>
    <w:bookmarkEnd w:id="48"/>
    <w:bookmarkStart w:id="49" w:name="baseline-results"/>
    <w:p>
      <w:pPr>
        <w:pStyle w:val="Heading2"/>
      </w:pPr>
      <w:r>
        <w:t xml:space="preserve">8.3. Baseline Results</w:t>
      </w:r>
    </w:p>
    <w:p>
      <w:pPr>
        <w:pStyle w:val="TableCaption"/>
      </w:pPr>
      <w:r>
        <w:t xml:space="preserve">Table 2. Platform choice versus second-best and first-best benchmarks.</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Caption w:val="Table 2. Platform choice versus second-best and first-best benchmarks."/>
      </w:tblPr>
      <w:tblGrid>
        <w:gridCol w:w="3311"/>
        <w:gridCol w:w="2015"/>
        <w:gridCol w:w="2015"/>
        <w:gridCol w:w="2015"/>
      </w:tblGrid>
      <w:tr>
        <w:trPr>
          <w:tblHeader w:val="true"/>
        </w:trPr>
        <w:tc>
          <w:tcPr>
            <w:tcW w:type="dxa" w:w="3312"/>
            <w:tcBorders>
              <w:bottom w:val="single" w:sz="4" w:color="000000"/>
            </w:tcBorders>
          </w:tcPr>
          <w:p>
            <w:pPr>
              <w:pStyle w:val="Compact"/>
              <w:spacing w:line="240" w:lineRule="auto" w:before="20" w:after="20"/>
              <w:ind w:firstLine="0" w:left="0"/>
            </w:pPr>
          </w:p>
        </w:tc>
        <w:tc>
          <w:tcPr>
            <w:tcW w:type="dxa" w:w="2016"/>
            <w:tcBorders>
              <w:bottom w:val="single" w:sz="4" w:color="000000"/>
            </w:tcBorders>
          </w:tcPr>
          <w:p>
            <w:pPr>
              <w:pStyle w:val="Compact"/>
              <w:spacing w:line="240" w:lineRule="auto" w:before="20" w:after="20"/>
              <w:ind w:firstLine="0" w:left="0"/>
              <w:jc w:val="left"/>
            </w:pPr>
            <w:r>
              <w:rPr>
                <w:b/>
                <w:sz w:val="20"/>
              </w:rPr>
              <w:t xml:space="preserve">Platform</w:t>
            </w:r>
          </w:p>
        </w:tc>
        <w:tc>
          <w:tcPr>
            <w:tcW w:type="dxa" w:w="2016"/>
            <w:tcBorders>
              <w:bottom w:val="single" w:sz="4" w:color="000000"/>
            </w:tcBorders>
          </w:tcPr>
          <w:p>
            <w:pPr>
              <w:pStyle w:val="Compact"/>
              <w:spacing w:line="240" w:lineRule="auto" w:before="20" w:after="20"/>
              <w:ind w:firstLine="0" w:left="0"/>
              <w:jc w:val="left"/>
            </w:pPr>
            <w:r>
              <w:rPr>
                <w:b/>
                <w:sz w:val="20"/>
              </w:rPr>
              <w:t xml:space="preserve">Second best</w:t>
            </w:r>
          </w:p>
        </w:tc>
        <w:tc>
          <w:tcPr>
            <w:tcW w:type="dxa" w:w="2016"/>
            <w:tcBorders>
              <w:bottom w:val="single" w:sz="4" w:color="000000"/>
            </w:tcBorders>
          </w:tcPr>
          <w:p>
            <w:pPr>
              <w:pStyle w:val="Compact"/>
              <w:spacing w:line="240" w:lineRule="auto" w:before="20" w:after="20"/>
              <w:ind w:firstLine="0" w:left="0"/>
              <w:jc w:val="left"/>
            </w:pPr>
            <w:r>
              <w:rPr>
                <w:b/>
                <w:sz w:val="20"/>
              </w:rPr>
              <w:t xml:space="preserve">First best</w:t>
            </w:r>
          </w:p>
        </w:tc>
      </w:tr>
      <w:tr>
        <w:tc>
          <w:tcPr>
            <w:tcW w:type="dxa" w:w="3312"/>
          </w:tcPr>
          <w:p>
            <w:pPr>
              <w:pStyle w:val="Compact"/>
              <w:spacing w:line="240" w:lineRule="auto" w:before="20" w:after="20"/>
              <w:ind w:firstLine="0" w:left="0"/>
              <w:jc w:val="left"/>
            </w:pPr>
            <w:r>
              <w:rPr>
                <w:sz w:val="20"/>
              </w:rPr>
              <w:t xml:space="preserve">Participation</w:t>
            </w:r>
            <w:r>
              <w:rPr>
                <w:sz w:val="20"/>
              </w:rPr>
              <w:t xml:space="preserve"> </w:t>
            </w:r>
            <m:oMath>
              <m:r>
                <m:t>Q</m:t>
              </m:r>
            </m:oMath>
          </w:p>
        </w:tc>
        <w:tc>
          <w:tcPr>
            <w:tcW w:type="dxa" w:w="2016"/>
          </w:tcPr>
          <w:p>
            <w:pPr>
              <w:pStyle w:val="Compact"/>
              <w:spacing w:line="240" w:lineRule="auto" w:before="20" w:after="20"/>
              <w:ind w:firstLine="0" w:left="0"/>
              <w:jc w:val="left"/>
            </w:pPr>
            <w:r>
              <w:rPr>
                <w:sz w:val="20"/>
              </w:rPr>
              <w:t xml:space="preserve">0.52</w:t>
            </w:r>
          </w:p>
        </w:tc>
        <w:tc>
          <w:tcPr>
            <w:tcW w:type="dxa" w:w="2016"/>
          </w:tcPr>
          <w:p>
            <w:pPr>
              <w:pStyle w:val="Compact"/>
              <w:spacing w:line="240" w:lineRule="auto" w:before="20" w:after="20"/>
              <w:ind w:firstLine="0" w:left="0"/>
              <w:jc w:val="left"/>
            </w:pPr>
            <w:r>
              <w:rPr>
                <w:sz w:val="20"/>
              </w:rPr>
              <w:t xml:space="preserve">0.52 (fixed)</w:t>
            </w:r>
          </w:p>
        </w:tc>
        <w:tc>
          <w:tcPr>
            <w:tcW w:type="dxa" w:w="2016"/>
          </w:tcPr>
          <w:p>
            <w:pPr>
              <w:pStyle w:val="Compact"/>
              <w:spacing w:line="240" w:lineRule="auto" w:before="20" w:after="20"/>
              <w:ind w:firstLine="0" w:left="0"/>
              <w:jc w:val="left"/>
            </w:pPr>
            <w:r>
              <w:rPr>
                <w:sz w:val="20"/>
              </w:rPr>
              <w:t xml:space="preserve">0.99</w:t>
            </w:r>
          </w:p>
        </w:tc>
      </w:tr>
      <w:tr>
        <w:tc>
          <w:tcPr>
            <w:tcW w:type="dxa" w:w="3312"/>
          </w:tcPr>
          <w:p>
            <w:pPr>
              <w:pStyle w:val="Compact"/>
              <w:spacing w:line="240" w:lineRule="auto" w:before="20" w:after="20"/>
              <w:ind w:firstLine="0" w:left="0"/>
              <w:jc w:val="left"/>
            </w:pPr>
            <w:r>
              <w:rPr>
                <w:sz w:val="20"/>
              </w:rPr>
              <w:t xml:space="preserve">Update interval</w:t>
            </w:r>
            <w:r>
              <w:rPr>
                <w:sz w:val="20"/>
              </w:rPr>
              <w:t xml:space="preserve"> </w:t>
            </w:r>
            <m:oMath>
              <m:r>
                <m:t>t</m:t>
              </m:r>
            </m:oMath>
            <w:r>
              <w:rPr>
                <w:sz w:val="20"/>
              </w:rPr>
              <w:t xml:space="preserve"> </w:t>
            </w:r>
            <w:r>
              <w:rPr>
                <w:sz w:val="20"/>
              </w:rPr>
              <w:t xml:space="preserve">(days)</w:t>
            </w:r>
          </w:p>
        </w:tc>
        <w:tc>
          <w:tcPr>
            <w:tcW w:type="dxa" w:w="2016"/>
          </w:tcPr>
          <w:p>
            <w:pPr>
              <w:pStyle w:val="Compact"/>
              <w:spacing w:line="240" w:lineRule="auto" w:before="20" w:after="20"/>
              <w:ind w:firstLine="0" w:left="0"/>
              <w:jc w:val="left"/>
            </w:pPr>
            <w:r>
              <w:rPr>
                <w:sz w:val="20"/>
              </w:rPr>
              <w:t xml:space="preserve">33.5</w:t>
            </w:r>
          </w:p>
        </w:tc>
        <w:tc>
          <w:tcPr>
            <w:tcW w:type="dxa" w:w="2016"/>
          </w:tcPr>
          <w:p>
            <w:pPr>
              <w:pStyle w:val="Compact"/>
              <w:spacing w:line="240" w:lineRule="auto" w:before="20" w:after="20"/>
              <w:ind w:firstLine="0" w:left="0"/>
              <w:jc w:val="left"/>
            </w:pPr>
            <w:r>
              <w:rPr>
                <w:sz w:val="20"/>
              </w:rPr>
              <w:t xml:space="preserve">40.0</w:t>
            </w:r>
          </w:p>
        </w:tc>
        <w:tc>
          <w:tcPr>
            <w:tcW w:type="dxa" w:w="2016"/>
          </w:tcPr>
          <w:p>
            <w:pPr>
              <w:pStyle w:val="Compact"/>
              <w:spacing w:line="240" w:lineRule="auto" w:before="20" w:after="20"/>
              <w:ind w:firstLine="0" w:left="0"/>
              <w:jc w:val="left"/>
            </w:pPr>
            <w:r>
              <w:rPr>
                <w:sz w:val="20"/>
              </w:rPr>
              <w:t xml:space="preserve">32.6</w:t>
            </w:r>
          </w:p>
        </w:tc>
      </w:tr>
      <w:tr>
        <w:tc>
          <w:tcPr>
            <w:tcW w:type="dxa" w:w="3312"/>
          </w:tcPr>
          <w:p>
            <w:pPr>
              <w:pStyle w:val="Compact"/>
              <w:spacing w:line="240" w:lineRule="auto" w:before="20" w:after="20"/>
              <w:ind w:firstLine="0" w:left="0"/>
              <w:jc w:val="left"/>
            </w:pPr>
            <w:r>
              <w:rPr>
                <w:sz w:val="20"/>
              </w:rPr>
              <w:t xml:space="preserve">Destruction</w:t>
            </w:r>
            <w:r>
              <w:rPr>
                <w:sz w:val="20"/>
              </w:rPr>
              <w:t xml:space="preserve"> </w:t>
            </w:r>
            <m:oMath>
              <m:r>
                <m:t>F</m:t>
              </m:r>
            </m:oMath>
          </w:p>
        </w:tc>
        <w:tc>
          <w:tcPr>
            <w:tcW w:type="dxa" w:w="2016"/>
          </w:tcPr>
          <w:p>
            <w:pPr>
              <w:pStyle w:val="Compact"/>
              <w:spacing w:line="240" w:lineRule="auto" w:before="20" w:after="20"/>
              <w:ind w:firstLine="0" w:left="0"/>
              <w:jc w:val="left"/>
            </w:pPr>
            <w:r>
              <w:rPr>
                <w:sz w:val="20"/>
              </w:rPr>
              <w:t xml:space="preserve">0.093</w:t>
            </w:r>
          </w:p>
        </w:tc>
        <w:tc>
          <w:tcPr>
            <w:tcW w:type="dxa" w:w="2016"/>
          </w:tcPr>
          <w:p>
            <w:pPr>
              <w:pStyle w:val="Compact"/>
              <w:spacing w:line="240" w:lineRule="auto" w:before="20" w:after="20"/>
              <w:ind w:firstLine="0" w:left="0"/>
              <w:jc w:val="left"/>
            </w:pPr>
            <w:r>
              <w:rPr>
                <w:sz w:val="20"/>
              </w:rPr>
              <w:t xml:space="preserve">0.054</w:t>
            </w:r>
          </w:p>
        </w:tc>
        <w:tc>
          <w:tcPr>
            <w:tcW w:type="dxa" w:w="2016"/>
          </w:tcPr>
          <w:p>
            <w:pPr>
              <w:pStyle w:val="Compact"/>
              <w:spacing w:line="240" w:lineRule="auto" w:before="20" w:after="20"/>
              <w:ind w:firstLine="0" w:left="0"/>
              <w:jc w:val="left"/>
            </w:pPr>
            <w:r>
              <w:rPr>
                <w:sz w:val="20"/>
              </w:rPr>
              <w:t xml:space="preserve">0.011</w:t>
            </w:r>
          </w:p>
        </w:tc>
      </w:tr>
      <w:tr>
        <w:tc>
          <w:tcPr>
            <w:tcW w:type="dxa" w:w="3312"/>
          </w:tcPr>
          <w:p>
            <w:pPr>
              <w:pStyle w:val="Compact"/>
              <w:spacing w:line="240" w:lineRule="auto" w:before="20" w:after="20"/>
              <w:ind w:firstLine="0" w:left="0"/>
              <w:jc w:val="left"/>
            </w:pPr>
            <w:r>
              <w:rPr>
                <w:sz w:val="20"/>
              </w:rPr>
              <w:t xml:space="preserve">Welfare</w:t>
            </w:r>
            <w:r>
              <w:rPr>
                <w:sz w:val="20"/>
              </w:rPr>
              <w:t xml:space="preserve"> </w:t>
            </w:r>
            <m:oMath>
              <m:r>
                <m:t>W</m:t>
              </m:r>
            </m:oMath>
          </w:p>
        </w:tc>
        <w:tc>
          <w:tcPr>
            <w:tcW w:type="dxa" w:w="2016"/>
          </w:tcPr>
          <w:p>
            <w:pPr>
              <w:pStyle w:val="Compact"/>
              <w:spacing w:line="240" w:lineRule="auto" w:before="20" w:after="20"/>
              <w:ind w:firstLine="0" w:left="0"/>
              <w:jc w:val="left"/>
            </w:pPr>
            <w:r>
              <w:rPr>
                <w:sz w:val="20"/>
              </w:rPr>
              <w:t xml:space="preserve">1.972</w:t>
            </w:r>
          </w:p>
        </w:tc>
        <w:tc>
          <w:tcPr>
            <w:tcW w:type="dxa" w:w="2016"/>
          </w:tcPr>
          <w:p>
            <w:pPr>
              <w:pStyle w:val="Compact"/>
              <w:spacing w:line="240" w:lineRule="auto" w:before="20" w:after="20"/>
              <w:ind w:firstLine="0" w:left="0"/>
              <w:jc w:val="left"/>
            </w:pPr>
            <w:r>
              <w:rPr>
                <w:sz w:val="20"/>
              </w:rPr>
              <w:t xml:space="preserve">2.008</w:t>
            </w:r>
          </w:p>
        </w:tc>
        <w:tc>
          <w:tcPr>
            <w:tcW w:type="dxa" w:w="2016"/>
          </w:tcPr>
          <w:p>
            <w:pPr>
              <w:pStyle w:val="Compact"/>
              <w:spacing w:line="240" w:lineRule="auto" w:before="20" w:after="20"/>
              <w:ind w:firstLine="0" w:left="0"/>
              <w:jc w:val="left"/>
            </w:pPr>
            <w:r>
              <w:rPr>
                <w:sz w:val="20"/>
              </w:rPr>
              <w:t xml:space="preserve">2.742</w:t>
            </w:r>
          </w:p>
        </w:tc>
      </w:tr>
    </w:tbl>
    <w:p>
      <w:pPr>
        <w:pStyle w:val="BodyText"/>
        <w:spacing w:before="240"/>
      </w:pPr>
      <w:r>
        <w:t xml:space="preserve">The platform’s choices match Propositions 1–3. At its participation level, it updates every 33.5 days instead of 40.0, about 19% more often than the second best, and its update technology destroys 72% more capability. The marginal developer’s migration cost is</w:t>
      </w:r>
      <w:r>
        <w:t xml:space="preserve"> </w:t>
      </w:r>
      <m:oMath>
        <m:sSub>
          <m:e>
            <m:r>
              <m:t>σ</m:t>
            </m:r>
          </m:e>
          <m:sub>
            <m:r>
              <m:t>m</m:t>
            </m:r>
          </m:sub>
        </m:sSub>
        <m:r>
          <m:rPr>
            <m:sty m:val="p"/>
          </m:rPr>
          <m:t>=</m:t>
        </m:r>
        <m:r>
          <m:t>39.5</m:t>
        </m:r>
      </m:oMath>
      <w:r>
        <w:t xml:space="preserve"> </w:t>
      </w:r>
      <w:r>
        <w:t xml:space="preserve">while the average participant’s is</w:t>
      </w:r>
      <w:r>
        <w:t xml:space="preserve"> </w:t>
      </w:r>
      <m:oMath>
        <m:acc>
          <m:accPr>
            <m:chr m:val="‾"/>
          </m:accPr>
          <m:e>
            <m:r>
              <m:t>σ</m:t>
            </m:r>
          </m:e>
        </m:acc>
        <m:r>
          <m:rPr>
            <m:sty m:val="p"/>
          </m:rPr>
          <m:t>=</m:t>
        </m:r>
        <m:r>
          <m:t>60.3</m:t>
        </m:r>
      </m:oMath>
      <w:r>
        <w:t xml:space="preserve">. At the platform’s cadence, 71% of participating developers would prefer to migrate less often than the platform updates (</w:t>
      </w:r>
      <m:oMath>
        <m:sSup>
          <m:e>
            <m:r>
              <m:t>τ</m:t>
            </m:r>
          </m:e>
          <m:sup>
            <m:r>
              <m:rPr>
                <m:sty m:val="p"/>
              </m:rPr>
              <m:t>∘</m:t>
            </m:r>
          </m:sup>
        </m:sSup>
        <m:d>
          <m:dPr>
            <m:begChr m:val="("/>
            <m:sepChr m:val=""/>
            <m:endChr m:val=")"/>
            <m:grow/>
          </m:dPr>
          <m:e>
            <m:r>
              <m:t>θ</m:t>
            </m:r>
          </m:e>
        </m:d>
        <m:r>
          <m:rPr>
            <m:sty m:val="p"/>
          </m:rPr>
          <m:t>&gt;</m:t>
        </m:r>
        <m:sSub>
          <m:e>
            <m:r>
              <m:t>t</m:t>
            </m:r>
          </m:e>
          <m:sub>
            <m:r>
              <m:t>P</m:t>
            </m:r>
          </m:sub>
        </m:sSub>
      </m:oMath>
      <w:r>
        <w:t xml:space="preserve">).</w:t>
      </w:r>
    </w:p>
    <w:p>
      <w:pPr>
        <w:pStyle w:val="BodyText"/>
      </w:pPr>
      <w:r>
        <w:t xml:space="preserve">The first best shows the participation effect discussed in Section 5.4. A planner who serves nearly all developers admits many with low migration costs, which lowers</w:t>
      </w:r>
      <w:r>
        <w:t xml:space="preserve"> </w:t>
      </w:r>
      <m:oMath>
        <m:acc>
          <m:accPr>
            <m:chr m:val="‾"/>
          </m:accPr>
          <m:e>
            <m:r>
              <m:t>σ</m:t>
            </m:r>
          </m:e>
        </m:acc>
      </m:oMath>
      <w:r>
        <w:t xml:space="preserve"> </w:t>
      </w:r>
      <w:r>
        <w:t xml:space="preserve">and makes a shorter interval optimal. The first-best interval (32.6 days) is slightly shorter than the platform’s. Most of the welfare gap between the platform and the first best comes from restricted participation, the standard monopoly distortion. The freshness–stability distortion accounts for a welfare loss of 1.8% of second-best welfare in this specification.</w:t>
      </w:r>
    </w:p>
    <w:bookmarkEnd w:id="49"/>
    <w:bookmarkStart w:id="50" w:name="version-pinning-1"/>
    <w:p>
      <w:pPr>
        <w:pStyle w:val="Heading2"/>
      </w:pPr>
      <w:r>
        <w:t xml:space="preserve">8.4. Version Pinning</w:t>
      </w:r>
    </w:p>
    <w:p>
      <w:pPr>
        <w:pStyle w:val="FirstParagraph"/>
      </w:pPr>
      <w:r>
        <w:t xml:space="preserve">At the platform’s choices</w:t>
      </w:r>
      <w:r>
        <w:t xml:space="preserve"> </w:t>
      </w:r>
      <m:oMath>
        <m:d>
          <m:dPr>
            <m:begChr m:val="("/>
            <m:sepChr m:val=""/>
            <m:endChr m:val=")"/>
            <m:grow/>
          </m:dPr>
          <m:e>
            <m:sSup>
              <m:e>
                <m:r>
                  <m:t>θ</m:t>
                </m:r>
              </m:e>
              <m:sup>
                <m:r>
                  <m:rPr>
                    <m:sty m:val="p"/>
                  </m:rPr>
                  <m:t>*</m:t>
                </m:r>
              </m:sup>
            </m:sSup>
            <m:r>
              <m:rPr>
                <m:sty m:val="p"/>
              </m:rPr>
              <m:t>,</m:t>
            </m:r>
            <m:sSub>
              <m:e>
                <m:r>
                  <m:t>t</m:t>
                </m:r>
              </m:e>
              <m:sub>
                <m:r>
                  <m:t>P</m:t>
                </m:r>
              </m:sub>
            </m:sSub>
            <m:r>
              <m:rPr>
                <m:sty m:val="p"/>
              </m:rPr>
              <m:t>,</m:t>
            </m:r>
            <m:sSub>
              <m:e>
                <m:r>
                  <m:t>F</m:t>
                </m:r>
              </m:e>
              <m:sub>
                <m:r>
                  <m:t>P</m:t>
                </m:r>
              </m:sub>
            </m:sSub>
          </m:e>
        </m:d>
      </m:oMath>
      <w:r>
        <w:t xml:space="preserve">, the platform’s optimal pinning window is zero, as Proposition 5 predicts: the marginal developer’s preferred interval (</w:t>
      </w:r>
      <m:oMath>
        <m:sSup>
          <m:e>
            <m:r>
              <m:t>τ</m:t>
            </m:r>
          </m:e>
          <m:sup>
            <m:r>
              <m:rPr>
                <m:sty m:val="p"/>
              </m:rPr>
              <m:t>∘</m:t>
            </m:r>
          </m:sup>
        </m:sSup>
        <m:d>
          <m:dPr>
            <m:begChr m:val="("/>
            <m:sepChr m:val=""/>
            <m:endChr m:val=")"/>
            <m:grow/>
          </m:dPr>
          <m:e>
            <m:sSup>
              <m:e>
                <m:r>
                  <m:t>θ</m:t>
                </m:r>
              </m:e>
              <m:sup>
                <m:r>
                  <m:rPr>
                    <m:sty m:val="p"/>
                  </m:rPr>
                  <m:t>*</m:t>
                </m:r>
              </m:sup>
            </m:sSup>
          </m:e>
        </m:d>
        <m:r>
          <m:rPr>
            <m:sty m:val="p"/>
          </m:rPr>
          <m:t>=</m:t>
        </m:r>
        <m:r>
          <m:t>29.4</m:t>
        </m:r>
      </m:oMath>
      <w:r>
        <w:t xml:space="preserve"> </w:t>
      </w:r>
      <w:r>
        <w:t xml:space="preserve">days) is already shorter than</w:t>
      </w:r>
      <w:r>
        <w:t xml:space="preserve"> </w:t>
      </w:r>
      <m:oMath>
        <m:sSub>
          <m:e>
            <m:r>
              <m:t>t</m:t>
            </m:r>
          </m:e>
          <m:sub>
            <m:r>
              <m:t>P</m:t>
            </m:r>
          </m:sub>
        </m:sSub>
      </m:oMath>
      <w:r>
        <w:t xml:space="preserve">. The welfare-maximizing window is 6.3 days. It raises welfare from 1.972 to 1.984, closing about one third of the gap to the second best, while lowering platform profit slightly, from 1.2474 to 1.2456. The platform therefore has no incentive to offer the window even though it raises total surplus.</w:t>
      </w:r>
    </w:p>
    <w:bookmarkEnd w:id="50"/>
    <w:bookmarkStart w:id="51" w:name="comparative-statics"/>
    <w:p>
      <w:pPr>
        <w:pStyle w:val="Heading2"/>
      </w:pPr>
      <w:r>
        <w:t xml:space="preserve">8.5. Comparative Statics</w:t>
      </w:r>
    </w:p>
    <w:p>
      <w:pPr>
        <w:pStyle w:val="TableCaption"/>
      </w:pPr>
      <w:r>
        <w:t xml:space="preserve">Table 3. Distortion by renewal-cost scale and integration heterogeneity. The baseline is K scale ×1 and σ slope 80.</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Caption w:val="Table 3. Distortion by renewal-cost scale and integration heterogeneity. The baseline is K scale ×1 and σ slope 80."/>
      </w:tblPr>
      <w:tblGrid>
        <w:gridCol w:w="1800"/>
        <w:gridCol w:w="720"/>
        <w:gridCol w:w="792"/>
        <w:gridCol w:w="792"/>
        <w:gridCol w:w="936"/>
        <w:gridCol w:w="864"/>
        <w:gridCol w:w="864"/>
        <w:gridCol w:w="1080"/>
        <w:gridCol w:w="1512"/>
      </w:tblGrid>
      <w:tr>
        <w:trPr>
          <w:tblHeader w:val="true"/>
        </w:trPr>
        <w:tc>
          <w:tcPr>
            <w:tcW w:type="dxa" w:w="1800"/>
            <w:tcBorders>
              <w:bottom w:val="single" w:sz="4" w:color="000000"/>
            </w:tcBorders>
          </w:tcPr>
          <w:p>
            <w:pPr>
              <w:pStyle w:val="Compact"/>
              <w:spacing w:line="240" w:lineRule="auto" w:before="20" w:after="20"/>
              <w:ind w:firstLine="0" w:left="0"/>
              <w:jc w:val="left"/>
            </w:pPr>
            <w:r>
              <w:rPr>
                <w:b/>
                <w:sz w:val="20"/>
              </w:rPr>
              <w:t xml:space="preserve">Variation</w:t>
            </w:r>
          </w:p>
        </w:tc>
        <w:tc>
          <w:tcPr>
            <w:tcW w:type="dxa" w:w="720"/>
            <w:tcBorders>
              <w:bottom w:val="single" w:sz="4" w:color="000000"/>
            </w:tcBorders>
          </w:tcPr>
          <w:p>
            <w:pPr>
              <w:pStyle w:val="Compact"/>
              <w:spacing w:line="240" w:lineRule="auto" w:before="20" w:after="20"/>
              <w:ind w:firstLine="0" w:left="0"/>
              <w:jc w:val="left"/>
            </w:pPr>
            <m:oMath>
              <m:r>
                <m:t>Q</m:t>
              </m:r>
            </m:oMath>
          </w:p>
        </w:tc>
        <w:tc>
          <w:tcPr>
            <w:tcW w:type="dxa" w:w="792"/>
            <w:tcBorders>
              <w:bottom w:val="single" w:sz="4" w:color="000000"/>
            </w:tcBorders>
          </w:tcPr>
          <w:p>
            <w:pPr>
              <w:pStyle w:val="Compact"/>
              <w:spacing w:line="240" w:lineRule="auto" w:before="20" w:after="20"/>
              <w:ind w:firstLine="0" w:left="0"/>
              <w:jc w:val="left"/>
            </w:pPr>
            <m:oMath>
              <m:sSub>
                <m:e>
                  <m:r>
                    <m:t>t</m:t>
                  </m:r>
                </m:e>
                <m:sub>
                  <m:r>
                    <m:t>P</m:t>
                  </m:r>
                </m:sub>
              </m:sSub>
            </m:oMath>
          </w:p>
        </w:tc>
        <w:tc>
          <w:tcPr>
            <w:tcW w:type="dxa" w:w="792"/>
            <w:tcBorders>
              <w:bottom w:val="single" w:sz="4" w:color="000000"/>
            </w:tcBorders>
          </w:tcPr>
          <w:p>
            <w:pPr>
              <w:pStyle w:val="Compact"/>
              <w:spacing w:line="240" w:lineRule="auto" w:before="20" w:after="20"/>
              <w:ind w:firstLine="0" w:left="0"/>
              <w:jc w:val="left"/>
            </w:pPr>
            <m:oMath>
              <m:sSub>
                <m:e>
                  <m:r>
                    <m:t>t</m:t>
                  </m:r>
                </m:e>
                <m:sub>
                  <m:r>
                    <m:t>W</m:t>
                  </m:r>
                </m:sub>
              </m:sSub>
            </m:oMath>
          </w:p>
        </w:tc>
        <w:tc>
          <w:tcPr>
            <w:tcW w:type="dxa" w:w="936"/>
            <w:tcBorders>
              <w:bottom w:val="single" w:sz="4" w:color="000000"/>
            </w:tcBorders>
          </w:tcPr>
          <w:p>
            <w:pPr>
              <w:pStyle w:val="Compact"/>
              <w:spacing w:line="240" w:lineRule="auto" w:before="20" w:after="20"/>
              <w:ind w:firstLine="0" w:left="0"/>
              <w:jc w:val="left"/>
            </w:pPr>
            <m:oMath>
              <m:sSub>
                <m:e>
                  <m:r>
                    <m:t>t</m:t>
                  </m:r>
                </m:e>
                <m:sub>
                  <m:r>
                    <m:t>P</m:t>
                  </m:r>
                </m:sub>
              </m:sSub>
              <m:r>
                <m:rPr>
                  <m:sty m:val="p"/>
                </m:rPr>
                <m:t>/</m:t>
              </m:r>
              <m:sSub>
                <m:e>
                  <m:r>
                    <m:t>t</m:t>
                  </m:r>
                </m:e>
                <m:sub>
                  <m:r>
                    <m:t>W</m:t>
                  </m:r>
                </m:sub>
              </m:sSub>
            </m:oMath>
          </w:p>
        </w:tc>
        <w:tc>
          <w:tcPr>
            <w:tcW w:type="dxa" w:w="864"/>
            <w:tcBorders>
              <w:bottom w:val="single" w:sz="4" w:color="000000"/>
            </w:tcBorders>
          </w:tcPr>
          <w:p>
            <w:pPr>
              <w:pStyle w:val="Compact"/>
              <w:spacing w:line="240" w:lineRule="auto" w:before="20" w:after="20"/>
              <w:ind w:firstLine="0" w:left="0"/>
              <w:jc w:val="left"/>
            </w:pPr>
            <m:oMath>
              <m:sSub>
                <m:e>
                  <m:r>
                    <m:t>F</m:t>
                  </m:r>
                </m:e>
                <m:sub>
                  <m:r>
                    <m:t>P</m:t>
                  </m:r>
                </m:sub>
              </m:sSub>
            </m:oMath>
          </w:p>
        </w:tc>
        <w:tc>
          <w:tcPr>
            <w:tcW w:type="dxa" w:w="864"/>
            <w:tcBorders>
              <w:bottom w:val="single" w:sz="4" w:color="000000"/>
            </w:tcBorders>
          </w:tcPr>
          <w:p>
            <w:pPr>
              <w:pStyle w:val="Compact"/>
              <w:spacing w:line="240" w:lineRule="auto" w:before="20" w:after="20"/>
              <w:ind w:firstLine="0" w:left="0"/>
              <w:jc w:val="left"/>
            </w:pPr>
            <m:oMath>
              <m:sSub>
                <m:e>
                  <m:r>
                    <m:t>F</m:t>
                  </m:r>
                </m:e>
                <m:sub>
                  <m:r>
                    <m:t>W</m:t>
                  </m:r>
                </m:sub>
              </m:sSub>
            </m:oMath>
          </w:p>
        </w:tc>
        <w:tc>
          <w:tcPr>
            <w:tcW w:type="dxa" w:w="1080"/>
            <w:tcBorders>
              <w:bottom w:val="single" w:sz="4" w:color="000000"/>
            </w:tcBorders>
          </w:tcPr>
          <w:p>
            <w:pPr>
              <w:pStyle w:val="Compact"/>
              <w:spacing w:line="240" w:lineRule="auto" w:before="20" w:after="20"/>
              <w:ind w:firstLine="0" w:left="0"/>
              <w:jc w:val="left"/>
            </w:pPr>
            <m:oMath>
              <m:sSub>
                <m:e>
                  <m:r>
                    <m:t>L</m:t>
                  </m:r>
                </m:e>
                <m:sub>
                  <m:r>
                    <m:t>W</m:t>
                  </m:r>
                </m:sub>
              </m:sSub>
            </m:oMath>
            <w:r>
              <w:rPr>
                <w:b/>
                <w:sz w:val="20"/>
              </w:rPr>
              <w:t xml:space="preserve"> </w:t>
            </w:r>
            <w:r>
              <w:rPr>
                <w:b/>
                <w:sz w:val="20"/>
              </w:rPr>
              <w:t xml:space="preserve">(days)</w:t>
            </w:r>
          </w:p>
        </w:tc>
        <w:tc>
          <w:tcPr>
            <w:tcW w:type="dxa" w:w="1512"/>
            <w:tcBorders>
              <w:bottom w:val="single" w:sz="4" w:color="000000"/>
            </w:tcBorders>
          </w:tcPr>
          <w:p>
            <w:pPr>
              <w:pStyle w:val="Compact"/>
              <w:spacing w:line="240" w:lineRule="auto" w:before="20" w:after="20"/>
              <w:ind w:firstLine="0" w:left="0"/>
              <w:jc w:val="left"/>
            </w:pPr>
            <w:r>
              <w:rPr>
                <w:b/>
                <w:sz w:val="20"/>
              </w:rPr>
              <w:t xml:space="preserve">Welfare loss (% of second best)</w:t>
            </w:r>
          </w:p>
        </w:tc>
      </w:tr>
      <w:tr>
        <w:tc>
          <w:tcPr>
            <w:tcW w:type="dxa" w:w="1800"/>
          </w:tcPr>
          <w:p>
            <w:pPr>
              <w:pStyle w:val="Compact"/>
              <w:spacing w:line="240" w:lineRule="auto" w:before="20" w:after="20"/>
              <w:ind w:firstLine="0" w:left="0"/>
              <w:jc w:val="left"/>
            </w:pPr>
            <w:r>
              <w:rPr>
                <w:sz w:val="20"/>
              </w:rPr>
              <w:t xml:space="preserve">K × 0.25</w:t>
            </w:r>
          </w:p>
        </w:tc>
        <w:tc>
          <w:tcPr>
            <w:tcW w:type="dxa" w:w="720"/>
          </w:tcPr>
          <w:p>
            <w:pPr>
              <w:pStyle w:val="Compact"/>
              <w:spacing w:line="240" w:lineRule="auto" w:before="20" w:after="20"/>
              <w:ind w:firstLine="0" w:left="0"/>
              <w:jc w:val="left"/>
            </w:pPr>
            <w:r>
              <w:rPr>
                <w:sz w:val="20"/>
              </w:rPr>
              <w:t xml:space="preserve">0.55</w:t>
            </w:r>
          </w:p>
        </w:tc>
        <w:tc>
          <w:tcPr>
            <w:tcW w:type="dxa" w:w="792"/>
          </w:tcPr>
          <w:p>
            <w:pPr>
              <w:pStyle w:val="Compact"/>
              <w:spacing w:line="240" w:lineRule="auto" w:before="20" w:after="20"/>
              <w:ind w:firstLine="0" w:left="0"/>
              <w:jc w:val="left"/>
            </w:pPr>
            <w:r>
              <w:rPr>
                <w:sz w:val="20"/>
              </w:rPr>
              <w:t xml:space="preserve">29.2</w:t>
            </w:r>
          </w:p>
        </w:tc>
        <w:tc>
          <w:tcPr>
            <w:tcW w:type="dxa" w:w="792"/>
          </w:tcPr>
          <w:p>
            <w:pPr>
              <w:pStyle w:val="Compact"/>
              <w:spacing w:line="240" w:lineRule="auto" w:before="20" w:after="20"/>
              <w:ind w:firstLine="0" w:left="0"/>
              <w:jc w:val="left"/>
            </w:pPr>
            <w:r>
              <w:rPr>
                <w:sz w:val="20"/>
              </w:rPr>
              <w:t xml:space="preserve">35.9</w:t>
            </w:r>
          </w:p>
        </w:tc>
        <w:tc>
          <w:tcPr>
            <w:tcW w:type="dxa" w:w="936"/>
          </w:tcPr>
          <w:p>
            <w:pPr>
              <w:pStyle w:val="Compact"/>
              <w:spacing w:line="240" w:lineRule="auto" w:before="20" w:after="20"/>
              <w:ind w:firstLine="0" w:left="0"/>
              <w:jc w:val="left"/>
            </w:pPr>
            <w:r>
              <w:rPr>
                <w:sz w:val="20"/>
              </w:rPr>
              <w:t xml:space="preserve">0.81</w:t>
            </w:r>
          </w:p>
        </w:tc>
        <w:tc>
          <w:tcPr>
            <w:tcW w:type="dxa" w:w="864"/>
          </w:tcPr>
          <w:p>
            <w:pPr>
              <w:pStyle w:val="Compact"/>
              <w:spacing w:line="240" w:lineRule="auto" w:before="20" w:after="20"/>
              <w:ind w:firstLine="0" w:left="0"/>
              <w:jc w:val="left"/>
            </w:pPr>
            <w:r>
              <w:rPr>
                <w:sz w:val="20"/>
              </w:rPr>
              <w:t xml:space="preserve">0.000</w:t>
            </w:r>
          </w:p>
        </w:tc>
        <w:tc>
          <w:tcPr>
            <w:tcW w:type="dxa" w:w="864"/>
          </w:tcPr>
          <w:p>
            <w:pPr>
              <w:pStyle w:val="Compact"/>
              <w:spacing w:line="240" w:lineRule="auto" w:before="20" w:after="20"/>
              <w:ind w:firstLine="0" w:left="0"/>
              <w:jc w:val="left"/>
            </w:pPr>
            <w:r>
              <w:rPr>
                <w:sz w:val="20"/>
              </w:rPr>
              <w:t xml:space="preserve">0.000</w:t>
            </w:r>
          </w:p>
        </w:tc>
        <w:tc>
          <w:tcPr>
            <w:tcW w:type="dxa" w:w="1080"/>
          </w:tcPr>
          <w:p>
            <w:pPr>
              <w:pStyle w:val="Compact"/>
              <w:spacing w:line="240" w:lineRule="auto" w:before="20" w:after="20"/>
              <w:ind w:firstLine="0" w:left="0"/>
              <w:jc w:val="left"/>
            </w:pPr>
            <w:r>
              <w:rPr>
                <w:sz w:val="20"/>
              </w:rPr>
              <w:t xml:space="preserve">8.8</w:t>
            </w:r>
          </w:p>
        </w:tc>
        <w:tc>
          <w:tcPr>
            <w:tcW w:type="dxa" w:w="1512"/>
          </w:tcPr>
          <w:p>
            <w:pPr>
              <w:pStyle w:val="Compact"/>
              <w:spacing w:line="240" w:lineRule="auto" w:before="20" w:after="20"/>
              <w:ind w:firstLine="0" w:left="0"/>
              <w:jc w:val="left"/>
            </w:pPr>
            <w:r>
              <w:rPr>
                <w:sz w:val="20"/>
              </w:rPr>
              <w:t xml:space="preserve">1.84</w:t>
            </w:r>
          </w:p>
        </w:tc>
      </w:tr>
      <w:tr>
        <w:tc>
          <w:tcPr>
            <w:tcW w:type="dxa" w:w="1800"/>
          </w:tcPr>
          <w:p>
            <w:pPr>
              <w:pStyle w:val="Compact"/>
              <w:spacing w:line="240" w:lineRule="auto" w:before="20" w:after="20"/>
              <w:ind w:firstLine="0" w:left="0"/>
              <w:jc w:val="left"/>
            </w:pPr>
            <w:r>
              <w:rPr>
                <w:sz w:val="20"/>
              </w:rPr>
              <w:t xml:space="preserve">K × 1 (baseline)</w:t>
            </w:r>
          </w:p>
        </w:tc>
        <w:tc>
          <w:tcPr>
            <w:tcW w:type="dxa" w:w="720"/>
          </w:tcPr>
          <w:p>
            <w:pPr>
              <w:pStyle w:val="Compact"/>
              <w:spacing w:line="240" w:lineRule="auto" w:before="20" w:after="20"/>
              <w:ind w:firstLine="0" w:left="0"/>
              <w:jc w:val="left"/>
            </w:pPr>
            <w:r>
              <w:rPr>
                <w:sz w:val="20"/>
              </w:rPr>
              <w:t xml:space="preserve">0.52</w:t>
            </w:r>
          </w:p>
        </w:tc>
        <w:tc>
          <w:tcPr>
            <w:tcW w:type="dxa" w:w="792"/>
          </w:tcPr>
          <w:p>
            <w:pPr>
              <w:pStyle w:val="Compact"/>
              <w:spacing w:line="240" w:lineRule="auto" w:before="20" w:after="20"/>
              <w:ind w:firstLine="0" w:left="0"/>
              <w:jc w:val="left"/>
            </w:pPr>
            <w:r>
              <w:rPr>
                <w:sz w:val="20"/>
              </w:rPr>
              <w:t xml:space="preserve">33.5</w:t>
            </w:r>
          </w:p>
        </w:tc>
        <w:tc>
          <w:tcPr>
            <w:tcW w:type="dxa" w:w="792"/>
          </w:tcPr>
          <w:p>
            <w:pPr>
              <w:pStyle w:val="Compact"/>
              <w:spacing w:line="240" w:lineRule="auto" w:before="20" w:after="20"/>
              <w:ind w:firstLine="0" w:left="0"/>
              <w:jc w:val="left"/>
            </w:pPr>
            <w:r>
              <w:rPr>
                <w:sz w:val="20"/>
              </w:rPr>
              <w:t xml:space="preserve">40.0</w:t>
            </w:r>
          </w:p>
        </w:tc>
        <w:tc>
          <w:tcPr>
            <w:tcW w:type="dxa" w:w="936"/>
          </w:tcPr>
          <w:p>
            <w:pPr>
              <w:pStyle w:val="Compact"/>
              <w:spacing w:line="240" w:lineRule="auto" w:before="20" w:after="20"/>
              <w:ind w:firstLine="0" w:left="0"/>
              <w:jc w:val="left"/>
            </w:pPr>
            <w:r>
              <w:rPr>
                <w:sz w:val="20"/>
              </w:rPr>
              <w:t xml:space="preserve">0.84</w:t>
            </w:r>
          </w:p>
        </w:tc>
        <w:tc>
          <w:tcPr>
            <w:tcW w:type="dxa" w:w="864"/>
          </w:tcPr>
          <w:p>
            <w:pPr>
              <w:pStyle w:val="Compact"/>
              <w:spacing w:line="240" w:lineRule="auto" w:before="20" w:after="20"/>
              <w:ind w:firstLine="0" w:left="0"/>
              <w:jc w:val="left"/>
            </w:pPr>
            <w:r>
              <w:rPr>
                <w:sz w:val="20"/>
              </w:rPr>
              <w:t xml:space="preserve">0.093</w:t>
            </w:r>
          </w:p>
        </w:tc>
        <w:tc>
          <w:tcPr>
            <w:tcW w:type="dxa" w:w="864"/>
          </w:tcPr>
          <w:p>
            <w:pPr>
              <w:pStyle w:val="Compact"/>
              <w:spacing w:line="240" w:lineRule="auto" w:before="20" w:after="20"/>
              <w:ind w:firstLine="0" w:left="0"/>
              <w:jc w:val="left"/>
            </w:pPr>
            <w:r>
              <w:rPr>
                <w:sz w:val="20"/>
              </w:rPr>
              <w:t xml:space="preserve">0.054</w:t>
            </w:r>
          </w:p>
        </w:tc>
        <w:tc>
          <w:tcPr>
            <w:tcW w:type="dxa" w:w="1080"/>
          </w:tcPr>
          <w:p>
            <w:pPr>
              <w:pStyle w:val="Compact"/>
              <w:spacing w:line="240" w:lineRule="auto" w:before="20" w:after="20"/>
              <w:ind w:firstLine="0" w:left="0"/>
              <w:jc w:val="left"/>
            </w:pPr>
            <w:r>
              <w:rPr>
                <w:sz w:val="20"/>
              </w:rPr>
              <w:t xml:space="preserve">6.3</w:t>
            </w:r>
          </w:p>
        </w:tc>
        <w:tc>
          <w:tcPr>
            <w:tcW w:type="dxa" w:w="1512"/>
          </w:tcPr>
          <w:p>
            <w:pPr>
              <w:pStyle w:val="Compact"/>
              <w:spacing w:line="240" w:lineRule="auto" w:before="20" w:after="20"/>
              <w:ind w:firstLine="0" w:left="0"/>
              <w:jc w:val="left"/>
            </w:pPr>
            <w:r>
              <w:rPr>
                <w:sz w:val="20"/>
              </w:rPr>
              <w:t xml:space="preserve">1.84</w:t>
            </w:r>
          </w:p>
        </w:tc>
      </w:tr>
      <w:tr>
        <w:tc>
          <w:tcPr>
            <w:tcW w:type="dxa" w:w="1800"/>
          </w:tcPr>
          <w:p>
            <w:pPr>
              <w:pStyle w:val="Compact"/>
              <w:spacing w:line="240" w:lineRule="auto" w:before="20" w:after="20"/>
              <w:ind w:firstLine="0" w:left="0"/>
              <w:jc w:val="left"/>
            </w:pPr>
            <w:r>
              <w:rPr>
                <w:sz w:val="20"/>
              </w:rPr>
              <w:t xml:space="preserve">K × 4</w:t>
            </w:r>
          </w:p>
        </w:tc>
        <w:tc>
          <w:tcPr>
            <w:tcW w:type="dxa" w:w="720"/>
          </w:tcPr>
          <w:p>
            <w:pPr>
              <w:pStyle w:val="Compact"/>
              <w:spacing w:line="240" w:lineRule="auto" w:before="20" w:after="20"/>
              <w:ind w:firstLine="0" w:left="0"/>
              <w:jc w:val="left"/>
            </w:pPr>
            <w:r>
              <w:rPr>
                <w:sz w:val="20"/>
              </w:rPr>
              <w:t xml:space="preserve">0.47</w:t>
            </w:r>
          </w:p>
        </w:tc>
        <w:tc>
          <w:tcPr>
            <w:tcW w:type="dxa" w:w="792"/>
          </w:tcPr>
          <w:p>
            <w:pPr>
              <w:pStyle w:val="Compact"/>
              <w:spacing w:line="240" w:lineRule="auto" w:before="20" w:after="20"/>
              <w:ind w:firstLine="0" w:left="0"/>
              <w:jc w:val="left"/>
            </w:pPr>
            <w:r>
              <w:rPr>
                <w:sz w:val="20"/>
              </w:rPr>
              <w:t xml:space="preserve">40.5</w:t>
            </w:r>
          </w:p>
        </w:tc>
        <w:tc>
          <w:tcPr>
            <w:tcW w:type="dxa" w:w="792"/>
          </w:tcPr>
          <w:p>
            <w:pPr>
              <w:pStyle w:val="Compact"/>
              <w:spacing w:line="240" w:lineRule="auto" w:before="20" w:after="20"/>
              <w:ind w:firstLine="0" w:left="0"/>
              <w:jc w:val="left"/>
            </w:pPr>
            <w:r>
              <w:rPr>
                <w:sz w:val="20"/>
              </w:rPr>
              <w:t xml:space="preserve">46.2</w:t>
            </w:r>
          </w:p>
        </w:tc>
        <w:tc>
          <w:tcPr>
            <w:tcW w:type="dxa" w:w="936"/>
          </w:tcPr>
          <w:p>
            <w:pPr>
              <w:pStyle w:val="Compact"/>
              <w:spacing w:line="240" w:lineRule="auto" w:before="20" w:after="20"/>
              <w:ind w:firstLine="0" w:left="0"/>
              <w:jc w:val="left"/>
            </w:pPr>
            <w:r>
              <w:rPr>
                <w:sz w:val="20"/>
              </w:rPr>
              <w:t xml:space="preserve">0.88</w:t>
            </w:r>
          </w:p>
        </w:tc>
        <w:tc>
          <w:tcPr>
            <w:tcW w:type="dxa" w:w="864"/>
          </w:tcPr>
          <w:p>
            <w:pPr>
              <w:pStyle w:val="Compact"/>
              <w:spacing w:line="240" w:lineRule="auto" w:before="20" w:after="20"/>
              <w:ind w:firstLine="0" w:left="0"/>
              <w:jc w:val="left"/>
            </w:pPr>
            <w:r>
              <w:rPr>
                <w:sz w:val="20"/>
              </w:rPr>
              <w:t xml:space="preserve">0.262</w:t>
            </w:r>
          </w:p>
        </w:tc>
        <w:tc>
          <w:tcPr>
            <w:tcW w:type="dxa" w:w="864"/>
          </w:tcPr>
          <w:p>
            <w:pPr>
              <w:pStyle w:val="Compact"/>
              <w:spacing w:line="240" w:lineRule="auto" w:before="20" w:after="20"/>
              <w:ind w:firstLine="0" w:left="0"/>
              <w:jc w:val="left"/>
            </w:pPr>
            <w:r>
              <w:rPr>
                <w:sz w:val="20"/>
              </w:rPr>
              <w:t xml:space="preserve">0.229</w:t>
            </w:r>
          </w:p>
        </w:tc>
        <w:tc>
          <w:tcPr>
            <w:tcW w:type="dxa" w:w="1080"/>
          </w:tcPr>
          <w:p>
            <w:pPr>
              <w:pStyle w:val="Compact"/>
              <w:spacing w:line="240" w:lineRule="auto" w:before="20" w:after="20"/>
              <w:ind w:firstLine="0" w:left="0"/>
              <w:jc w:val="left"/>
            </w:pPr>
            <w:r>
              <w:rPr>
                <w:sz w:val="20"/>
              </w:rPr>
              <w:t xml:space="preserve">2.5</w:t>
            </w:r>
          </w:p>
        </w:tc>
        <w:tc>
          <w:tcPr>
            <w:tcW w:type="dxa" w:w="1512"/>
          </w:tcPr>
          <w:p>
            <w:pPr>
              <w:pStyle w:val="Compact"/>
              <w:spacing w:line="240" w:lineRule="auto" w:before="20" w:after="20"/>
              <w:ind w:firstLine="0" w:left="0"/>
              <w:jc w:val="left"/>
            </w:pPr>
            <w:r>
              <w:rPr>
                <w:sz w:val="20"/>
              </w:rPr>
              <w:t xml:space="preserve">1.41</w:t>
            </w:r>
          </w:p>
        </w:tc>
      </w:tr>
      <w:tr>
        <w:tc>
          <w:tcPr>
            <w:tcW w:type="dxa" w:w="1800"/>
          </w:tcPr>
          <w:p>
            <w:pPr>
              <w:pStyle w:val="Compact"/>
              <w:spacing w:line="240" w:lineRule="auto" w:before="20" w:after="20"/>
              <w:ind w:firstLine="0" w:left="0"/>
              <w:jc w:val="left"/>
            </w:pPr>
            <w:r>
              <w:rPr>
                <w:sz w:val="20"/>
              </w:rPr>
              <w:t xml:space="preserve">K × 16</w:t>
            </w:r>
          </w:p>
        </w:tc>
        <w:tc>
          <w:tcPr>
            <w:tcW w:type="dxa" w:w="720"/>
          </w:tcPr>
          <w:p>
            <w:pPr>
              <w:pStyle w:val="Compact"/>
              <w:spacing w:line="240" w:lineRule="auto" w:before="20" w:after="20"/>
              <w:ind w:firstLine="0" w:left="0"/>
              <w:jc w:val="left"/>
            </w:pPr>
            <w:r>
              <w:rPr>
                <w:sz w:val="20"/>
              </w:rPr>
              <w:t xml:space="preserve">0.39</w:t>
            </w:r>
          </w:p>
        </w:tc>
        <w:tc>
          <w:tcPr>
            <w:tcW w:type="dxa" w:w="792"/>
          </w:tcPr>
          <w:p>
            <w:pPr>
              <w:pStyle w:val="Compact"/>
              <w:spacing w:line="240" w:lineRule="auto" w:before="20" w:after="20"/>
              <w:ind w:firstLine="0" w:left="0"/>
              <w:jc w:val="left"/>
            </w:pPr>
            <w:r>
              <w:rPr>
                <w:sz w:val="20"/>
              </w:rPr>
              <w:t xml:space="preserve">57.8</w:t>
            </w:r>
          </w:p>
        </w:tc>
        <w:tc>
          <w:tcPr>
            <w:tcW w:type="dxa" w:w="792"/>
          </w:tcPr>
          <w:p>
            <w:pPr>
              <w:pStyle w:val="Compact"/>
              <w:spacing w:line="240" w:lineRule="auto" w:before="20" w:after="20"/>
              <w:ind w:firstLine="0" w:left="0"/>
              <w:jc w:val="left"/>
            </w:pPr>
            <w:r>
              <w:rPr>
                <w:sz w:val="20"/>
              </w:rPr>
              <w:t xml:space="preserve">61.7</w:t>
            </w:r>
          </w:p>
        </w:tc>
        <w:tc>
          <w:tcPr>
            <w:tcW w:type="dxa" w:w="936"/>
          </w:tcPr>
          <w:p>
            <w:pPr>
              <w:pStyle w:val="Compact"/>
              <w:spacing w:line="240" w:lineRule="auto" w:before="20" w:after="20"/>
              <w:ind w:firstLine="0" w:left="0"/>
              <w:jc w:val="left"/>
            </w:pPr>
            <w:r>
              <w:rPr>
                <w:sz w:val="20"/>
              </w:rPr>
              <w:t xml:space="preserve">0.94</w:t>
            </w:r>
          </w:p>
        </w:tc>
        <w:tc>
          <w:tcPr>
            <w:tcW w:type="dxa" w:w="864"/>
          </w:tcPr>
          <w:p>
            <w:pPr>
              <w:pStyle w:val="Compact"/>
              <w:spacing w:line="240" w:lineRule="auto" w:before="20" w:after="20"/>
              <w:ind w:firstLine="0" w:left="0"/>
              <w:jc w:val="left"/>
            </w:pPr>
            <w:r>
              <w:rPr>
                <w:sz w:val="20"/>
              </w:rPr>
              <w:t xml:space="preserve">0.428</w:t>
            </w:r>
          </w:p>
        </w:tc>
        <w:tc>
          <w:tcPr>
            <w:tcW w:type="dxa" w:w="864"/>
          </w:tcPr>
          <w:p>
            <w:pPr>
              <w:pStyle w:val="Compact"/>
              <w:spacing w:line="240" w:lineRule="auto" w:before="20" w:after="20"/>
              <w:ind w:firstLine="0" w:left="0"/>
              <w:jc w:val="left"/>
            </w:pPr>
            <w:r>
              <w:rPr>
                <w:sz w:val="20"/>
              </w:rPr>
              <w:t xml:space="preserve">0.407</w:t>
            </w:r>
          </w:p>
        </w:tc>
        <w:tc>
          <w:tcPr>
            <w:tcW w:type="dxa" w:w="1080"/>
          </w:tcPr>
          <w:p>
            <w:pPr>
              <w:pStyle w:val="Compact"/>
              <w:spacing w:line="240" w:lineRule="auto" w:before="20" w:after="20"/>
              <w:ind w:firstLine="0" w:left="0"/>
              <w:jc w:val="left"/>
            </w:pPr>
            <w:r>
              <w:rPr>
                <w:sz w:val="20"/>
              </w:rPr>
              <w:t xml:space="preserve">0.0</w:t>
            </w:r>
          </w:p>
        </w:tc>
        <w:tc>
          <w:tcPr>
            <w:tcW w:type="dxa" w:w="1512"/>
          </w:tcPr>
          <w:p>
            <w:pPr>
              <w:pStyle w:val="Compact"/>
              <w:spacing w:line="240" w:lineRule="auto" w:before="20" w:after="20"/>
              <w:ind w:firstLine="0" w:left="0"/>
              <w:jc w:val="left"/>
            </w:pPr>
            <w:r>
              <w:rPr>
                <w:sz w:val="20"/>
              </w:rPr>
              <w:t xml:space="preserve">0.82</w:t>
            </w:r>
          </w:p>
        </w:tc>
      </w:tr>
      <w:tr>
        <w:tc>
          <w:tcPr>
            <w:tcW w:type="dxa" w:w="1800"/>
          </w:tcPr>
          <w:p>
            <w:pPr>
              <w:pStyle w:val="Compact"/>
              <w:spacing w:line="240" w:lineRule="auto" w:before="20" w:after="20"/>
              <w:ind w:firstLine="0" w:left="0"/>
              <w:jc w:val="left"/>
            </w:pPr>
            <w:r>
              <w:rPr>
                <w:sz w:val="20"/>
              </w:rPr>
              <w:t xml:space="preserve">σ slope 20</w:t>
            </w:r>
          </w:p>
        </w:tc>
        <w:tc>
          <w:tcPr>
            <w:tcW w:type="dxa" w:w="720"/>
          </w:tcPr>
          <w:p>
            <w:pPr>
              <w:pStyle w:val="Compact"/>
              <w:spacing w:line="240" w:lineRule="auto" w:before="20" w:after="20"/>
              <w:ind w:firstLine="0" w:left="0"/>
              <w:jc w:val="left"/>
            </w:pPr>
            <w:r>
              <w:rPr>
                <w:sz w:val="20"/>
              </w:rPr>
              <w:t xml:space="preserve">0.56</w:t>
            </w:r>
          </w:p>
        </w:tc>
        <w:tc>
          <w:tcPr>
            <w:tcW w:type="dxa" w:w="792"/>
          </w:tcPr>
          <w:p>
            <w:pPr>
              <w:pStyle w:val="Compact"/>
              <w:spacing w:line="240" w:lineRule="auto" w:before="20" w:after="20"/>
              <w:ind w:firstLine="0" w:left="0"/>
              <w:jc w:val="left"/>
            </w:pPr>
            <w:r>
              <w:rPr>
                <w:sz w:val="20"/>
              </w:rPr>
              <w:t xml:space="preserve">19.5</w:t>
            </w:r>
          </w:p>
        </w:tc>
        <w:tc>
          <w:tcPr>
            <w:tcW w:type="dxa" w:w="792"/>
          </w:tcPr>
          <w:p>
            <w:pPr>
              <w:pStyle w:val="Compact"/>
              <w:spacing w:line="240" w:lineRule="auto" w:before="20" w:after="20"/>
              <w:ind w:firstLine="0" w:left="0"/>
              <w:jc w:val="left"/>
            </w:pPr>
            <w:r>
              <w:rPr>
                <w:sz w:val="20"/>
              </w:rPr>
              <w:t xml:space="preserve">23.0</w:t>
            </w:r>
          </w:p>
        </w:tc>
        <w:tc>
          <w:tcPr>
            <w:tcW w:type="dxa" w:w="936"/>
          </w:tcPr>
          <w:p>
            <w:pPr>
              <w:pStyle w:val="Compact"/>
              <w:spacing w:line="240" w:lineRule="auto" w:before="20" w:after="20"/>
              <w:ind w:firstLine="0" w:left="0"/>
              <w:jc w:val="left"/>
            </w:pPr>
            <w:r>
              <w:rPr>
                <w:sz w:val="20"/>
              </w:rPr>
              <w:t xml:space="preserve">0.85</w:t>
            </w:r>
          </w:p>
        </w:tc>
        <w:tc>
          <w:tcPr>
            <w:tcW w:type="dxa" w:w="864"/>
          </w:tcPr>
          <w:p>
            <w:pPr>
              <w:pStyle w:val="Compact"/>
              <w:spacing w:line="240" w:lineRule="auto" w:before="20" w:after="20"/>
              <w:ind w:firstLine="0" w:left="0"/>
              <w:jc w:val="left"/>
            </w:pPr>
            <w:r>
              <w:rPr>
                <w:sz w:val="20"/>
              </w:rPr>
              <w:t xml:space="preserve">0.198</w:t>
            </w:r>
          </w:p>
        </w:tc>
        <w:tc>
          <w:tcPr>
            <w:tcW w:type="dxa" w:w="864"/>
          </w:tcPr>
          <w:p>
            <w:pPr>
              <w:pStyle w:val="Compact"/>
              <w:spacing w:line="240" w:lineRule="auto" w:before="20" w:after="20"/>
              <w:ind w:firstLine="0" w:left="0"/>
              <w:jc w:val="left"/>
            </w:pPr>
            <w:r>
              <w:rPr>
                <w:sz w:val="20"/>
              </w:rPr>
              <w:t xml:space="preserve">0.165</w:t>
            </w:r>
          </w:p>
        </w:tc>
        <w:tc>
          <w:tcPr>
            <w:tcW w:type="dxa" w:w="1080"/>
          </w:tcPr>
          <w:p>
            <w:pPr>
              <w:pStyle w:val="Compact"/>
              <w:spacing w:line="240" w:lineRule="auto" w:before="20" w:after="20"/>
              <w:ind w:firstLine="0" w:left="0"/>
              <w:jc w:val="left"/>
            </w:pPr>
            <w:r>
              <w:rPr>
                <w:sz w:val="20"/>
              </w:rPr>
              <w:t xml:space="preserve">1.4</w:t>
            </w:r>
          </w:p>
        </w:tc>
        <w:tc>
          <w:tcPr>
            <w:tcW w:type="dxa" w:w="1512"/>
          </w:tcPr>
          <w:p>
            <w:pPr>
              <w:pStyle w:val="Compact"/>
              <w:spacing w:line="240" w:lineRule="auto" w:before="20" w:after="20"/>
              <w:ind w:firstLine="0" w:left="0"/>
              <w:jc w:val="left"/>
            </w:pPr>
            <w:r>
              <w:rPr>
                <w:sz w:val="20"/>
              </w:rPr>
              <w:t xml:space="preserve">0.60</w:t>
            </w:r>
          </w:p>
        </w:tc>
      </w:tr>
      <w:tr>
        <w:tc>
          <w:tcPr>
            <w:tcW w:type="dxa" w:w="1800"/>
          </w:tcPr>
          <w:p>
            <w:pPr>
              <w:pStyle w:val="Compact"/>
              <w:spacing w:line="240" w:lineRule="auto" w:before="20" w:after="20"/>
              <w:ind w:firstLine="0" w:left="0"/>
              <w:jc w:val="left"/>
            </w:pPr>
            <w:r>
              <w:rPr>
                <w:sz w:val="20"/>
              </w:rPr>
              <w:t xml:space="preserve">σ slope 40</w:t>
            </w:r>
          </w:p>
        </w:tc>
        <w:tc>
          <w:tcPr>
            <w:tcW w:type="dxa" w:w="720"/>
          </w:tcPr>
          <w:p>
            <w:pPr>
              <w:pStyle w:val="Compact"/>
              <w:spacing w:line="240" w:lineRule="auto" w:before="20" w:after="20"/>
              <w:ind w:firstLine="0" w:left="0"/>
              <w:jc w:val="left"/>
            </w:pPr>
            <w:r>
              <w:rPr>
                <w:sz w:val="20"/>
              </w:rPr>
              <w:t xml:space="preserve">0.54</w:t>
            </w:r>
          </w:p>
        </w:tc>
        <w:tc>
          <w:tcPr>
            <w:tcW w:type="dxa" w:w="792"/>
          </w:tcPr>
          <w:p>
            <w:pPr>
              <w:pStyle w:val="Compact"/>
              <w:spacing w:line="240" w:lineRule="auto" w:before="20" w:after="20"/>
              <w:ind w:firstLine="0" w:left="0"/>
              <w:jc w:val="left"/>
            </w:pPr>
            <w:r>
              <w:rPr>
                <w:sz w:val="20"/>
              </w:rPr>
              <w:t xml:space="preserve">25.0</w:t>
            </w:r>
          </w:p>
        </w:tc>
        <w:tc>
          <w:tcPr>
            <w:tcW w:type="dxa" w:w="792"/>
          </w:tcPr>
          <w:p>
            <w:pPr>
              <w:pStyle w:val="Compact"/>
              <w:spacing w:line="240" w:lineRule="auto" w:before="20" w:after="20"/>
              <w:ind w:firstLine="0" w:left="0"/>
              <w:jc w:val="left"/>
            </w:pPr>
            <w:r>
              <w:rPr>
                <w:sz w:val="20"/>
              </w:rPr>
              <w:t xml:space="preserve">29.9</w:t>
            </w:r>
          </w:p>
        </w:tc>
        <w:tc>
          <w:tcPr>
            <w:tcW w:type="dxa" w:w="936"/>
          </w:tcPr>
          <w:p>
            <w:pPr>
              <w:pStyle w:val="Compact"/>
              <w:spacing w:line="240" w:lineRule="auto" w:before="20" w:after="20"/>
              <w:ind w:firstLine="0" w:left="0"/>
              <w:jc w:val="left"/>
            </w:pPr>
            <w:r>
              <w:rPr>
                <w:sz w:val="20"/>
              </w:rPr>
              <w:t xml:space="preserve">0.84</w:t>
            </w:r>
          </w:p>
        </w:tc>
        <w:tc>
          <w:tcPr>
            <w:tcW w:type="dxa" w:w="864"/>
          </w:tcPr>
          <w:p>
            <w:pPr>
              <w:pStyle w:val="Compact"/>
              <w:spacing w:line="240" w:lineRule="auto" w:before="20" w:after="20"/>
              <w:ind w:firstLine="0" w:left="0"/>
              <w:jc w:val="left"/>
            </w:pPr>
            <w:r>
              <w:rPr>
                <w:sz w:val="20"/>
              </w:rPr>
              <w:t xml:space="preserve">0.150</w:t>
            </w:r>
          </w:p>
        </w:tc>
        <w:tc>
          <w:tcPr>
            <w:tcW w:type="dxa" w:w="864"/>
          </w:tcPr>
          <w:p>
            <w:pPr>
              <w:pStyle w:val="Compact"/>
              <w:spacing w:line="240" w:lineRule="auto" w:before="20" w:after="20"/>
              <w:ind w:firstLine="0" w:left="0"/>
              <w:jc w:val="left"/>
            </w:pPr>
            <w:r>
              <w:rPr>
                <w:sz w:val="20"/>
              </w:rPr>
              <w:t xml:space="preserve">0.112</w:t>
            </w:r>
          </w:p>
        </w:tc>
        <w:tc>
          <w:tcPr>
            <w:tcW w:type="dxa" w:w="1080"/>
          </w:tcPr>
          <w:p>
            <w:pPr>
              <w:pStyle w:val="Compact"/>
              <w:spacing w:line="240" w:lineRule="auto" w:before="20" w:after="20"/>
              <w:ind w:firstLine="0" w:left="0"/>
              <w:jc w:val="left"/>
            </w:pPr>
            <w:r>
              <w:rPr>
                <w:sz w:val="20"/>
              </w:rPr>
              <w:t xml:space="preserve">3.8</w:t>
            </w:r>
          </w:p>
        </w:tc>
        <w:tc>
          <w:tcPr>
            <w:tcW w:type="dxa" w:w="1512"/>
          </w:tcPr>
          <w:p>
            <w:pPr>
              <w:pStyle w:val="Compact"/>
              <w:spacing w:line="240" w:lineRule="auto" w:before="20" w:after="20"/>
              <w:ind w:firstLine="0" w:left="0"/>
              <w:jc w:val="left"/>
            </w:pPr>
            <w:r>
              <w:rPr>
                <w:sz w:val="20"/>
              </w:rPr>
              <w:t xml:space="preserve">1.11</w:t>
            </w:r>
          </w:p>
        </w:tc>
      </w:tr>
      <w:tr>
        <w:tc>
          <w:tcPr>
            <w:tcW w:type="dxa" w:w="1800"/>
          </w:tcPr>
          <w:p>
            <w:pPr>
              <w:pStyle w:val="Compact"/>
              <w:spacing w:line="240" w:lineRule="auto" w:before="20" w:after="20"/>
              <w:ind w:firstLine="0" w:left="0"/>
              <w:jc w:val="left"/>
            </w:pPr>
            <w:r>
              <w:rPr>
                <w:sz w:val="20"/>
              </w:rPr>
              <w:t xml:space="preserve">σ slope 120</w:t>
            </w:r>
          </w:p>
        </w:tc>
        <w:tc>
          <w:tcPr>
            <w:tcW w:type="dxa" w:w="720"/>
          </w:tcPr>
          <w:p>
            <w:pPr>
              <w:pStyle w:val="Compact"/>
              <w:spacing w:line="240" w:lineRule="auto" w:before="20" w:after="20"/>
              <w:ind w:firstLine="0" w:left="0"/>
              <w:jc w:val="left"/>
            </w:pPr>
            <w:r>
              <w:rPr>
                <w:sz w:val="20"/>
              </w:rPr>
              <w:t xml:space="preserve">0.49</w:t>
            </w:r>
          </w:p>
        </w:tc>
        <w:tc>
          <w:tcPr>
            <w:tcW w:type="dxa" w:w="792"/>
          </w:tcPr>
          <w:p>
            <w:pPr>
              <w:pStyle w:val="Compact"/>
              <w:spacing w:line="240" w:lineRule="auto" w:before="20" w:after="20"/>
              <w:ind w:firstLine="0" w:left="0"/>
              <w:jc w:val="left"/>
            </w:pPr>
            <w:r>
              <w:rPr>
                <w:sz w:val="20"/>
              </w:rPr>
              <w:t xml:space="preserve">40.8</w:t>
            </w:r>
          </w:p>
        </w:tc>
        <w:tc>
          <w:tcPr>
            <w:tcW w:type="dxa" w:w="792"/>
          </w:tcPr>
          <w:p>
            <w:pPr>
              <w:pStyle w:val="Compact"/>
              <w:spacing w:line="240" w:lineRule="auto" w:before="20" w:after="20"/>
              <w:ind w:firstLine="0" w:left="0"/>
              <w:jc w:val="left"/>
            </w:pPr>
            <w:r>
              <w:rPr>
                <w:sz w:val="20"/>
              </w:rPr>
              <w:t xml:space="preserve">48.0</w:t>
            </w:r>
          </w:p>
        </w:tc>
        <w:tc>
          <w:tcPr>
            <w:tcW w:type="dxa" w:w="936"/>
          </w:tcPr>
          <w:p>
            <w:pPr>
              <w:pStyle w:val="Compact"/>
              <w:spacing w:line="240" w:lineRule="auto" w:before="20" w:after="20"/>
              <w:ind w:firstLine="0" w:left="0"/>
              <w:jc w:val="left"/>
            </w:pPr>
            <w:r>
              <w:rPr>
                <w:sz w:val="20"/>
              </w:rPr>
              <w:t xml:space="preserve">0.85</w:t>
            </w:r>
          </w:p>
        </w:tc>
        <w:tc>
          <w:tcPr>
            <w:tcW w:type="dxa" w:w="864"/>
          </w:tcPr>
          <w:p>
            <w:pPr>
              <w:pStyle w:val="Compact"/>
              <w:spacing w:line="240" w:lineRule="auto" w:before="20" w:after="20"/>
              <w:ind w:firstLine="0" w:left="0"/>
              <w:jc w:val="left"/>
            </w:pPr>
            <w:r>
              <w:rPr>
                <w:sz w:val="20"/>
              </w:rPr>
              <w:t xml:space="preserve">0.058</w:t>
            </w:r>
          </w:p>
        </w:tc>
        <w:tc>
          <w:tcPr>
            <w:tcW w:type="dxa" w:w="864"/>
          </w:tcPr>
          <w:p>
            <w:pPr>
              <w:pStyle w:val="Compact"/>
              <w:spacing w:line="240" w:lineRule="auto" w:before="20" w:after="20"/>
              <w:ind w:firstLine="0" w:left="0"/>
              <w:jc w:val="left"/>
            </w:pPr>
            <w:r>
              <w:rPr>
                <w:sz w:val="20"/>
              </w:rPr>
              <w:t xml:space="preserve">0.020</w:t>
            </w:r>
          </w:p>
        </w:tc>
        <w:tc>
          <w:tcPr>
            <w:tcW w:type="dxa" w:w="1080"/>
          </w:tcPr>
          <w:p>
            <w:pPr>
              <w:pStyle w:val="Compact"/>
              <w:spacing w:line="240" w:lineRule="auto" w:before="20" w:after="20"/>
              <w:ind w:firstLine="0" w:left="0"/>
              <w:jc w:val="left"/>
            </w:pPr>
            <w:r>
              <w:rPr>
                <w:sz w:val="20"/>
              </w:rPr>
              <w:t xml:space="preserve">7.4</w:t>
            </w:r>
          </w:p>
        </w:tc>
        <w:tc>
          <w:tcPr>
            <w:tcW w:type="dxa" w:w="1512"/>
          </w:tcPr>
          <w:p>
            <w:pPr>
              <w:pStyle w:val="Compact"/>
              <w:spacing w:line="240" w:lineRule="auto" w:before="20" w:after="20"/>
              <w:ind w:firstLine="0" w:left="0"/>
              <w:jc w:val="left"/>
            </w:pPr>
            <w:r>
              <w:rPr>
                <w:sz w:val="20"/>
              </w:rPr>
              <w:t xml:space="preserve">2.32</w:t>
            </w:r>
          </w:p>
        </w:tc>
      </w:tr>
    </w:tbl>
    <w:p>
      <w:pPr>
        <w:pStyle w:val="BodyText"/>
        <w:spacing w:before="240"/>
      </w:pPr>
      <w:r>
        <w:t xml:space="preserve">Three patterns stand out. First, consistent with Proposition 4, the cadence distortion shrinks as training becomes more expensive relative to the ecosystem:</w:t>
      </w:r>
      <w:r>
        <w:t xml:space="preserve"> </w:t>
      </w:r>
      <m:oMath>
        <m:sSub>
          <m:e>
            <m:r>
              <m:t>t</m:t>
            </m:r>
          </m:e>
          <m:sub>
            <m:r>
              <m:t>P</m:t>
            </m:r>
          </m:sub>
        </m:sSub>
        <m:r>
          <m:rPr>
            <m:sty m:val="p"/>
          </m:rPr>
          <m:t>/</m:t>
        </m:r>
        <m:sSub>
          <m:e>
            <m:r>
              <m:t>t</m:t>
            </m:r>
          </m:e>
          <m:sub>
            <m:r>
              <m:t>W</m:t>
            </m:r>
          </m:sub>
        </m:sSub>
      </m:oMath>
      <w:r>
        <w:t xml:space="preserve"> </w:t>
      </w:r>
      <w:r>
        <w:t xml:space="preserve">rises from 0.81 to 0.94 as</w:t>
      </w:r>
      <w:r>
        <w:t xml:space="preserve"> </w:t>
      </w:r>
      <m:oMath>
        <m:r>
          <m:t>K</m:t>
        </m:r>
      </m:oMath>
      <w:r>
        <w:t xml:space="preserve"> </w:t>
      </w:r>
      <w:r>
        <w:t xml:space="preserve">grows sixty-four-fold. Cheaper compute therefore widens the gap between the platform’s cadence and the ecosystem’s interest. Second, greater heterogeneity in integration raises the welfare loss, from 0.60% to 2.32%, and widens the destruction gap, because it increases the distance between</w:t>
      </w:r>
      <w:r>
        <w:t xml:space="preserve"> </w:t>
      </w:r>
      <m:oMath>
        <m:sSub>
          <m:e>
            <m:r>
              <m:t>σ</m:t>
            </m:r>
          </m:e>
          <m:sub>
            <m:r>
              <m:t>m</m:t>
            </m:r>
          </m:sub>
        </m:sSub>
      </m:oMath>
      <w:r>
        <w:t xml:space="preserve"> </w:t>
      </w:r>
      <w:r>
        <w:t xml:space="preserve">and</w:t>
      </w:r>
      <w:r>
        <w:t xml:space="preserve"> </w:t>
      </w:r>
      <m:oMath>
        <m:acc>
          <m:accPr>
            <m:chr m:val="‾"/>
          </m:accPr>
          <m:e>
            <m:r>
              <m:t>σ</m:t>
            </m:r>
          </m:e>
        </m:acc>
      </m:oMath>
      <w:r>
        <w:t xml:space="preserve">. Third, the welfare-maximizing pinning window is longest exactly where the cadence distortion is largest, while the platform’s window is zero in every case. At very low</w:t>
      </w:r>
      <w:r>
        <w:t xml:space="preserve"> </w:t>
      </w:r>
      <m:oMath>
        <m:r>
          <m:t>K</m:t>
        </m:r>
      </m:oMath>
      <w:r>
        <w:t xml:space="preserve"> </w:t>
      </w:r>
      <w:r>
        <w:t xml:space="preserve">the destruction choice hits its lower bound for both the platform and the planner, so only the cadence is distorted.</w:t>
      </w:r>
    </w:p>
    <w:bookmarkEnd w:id="51"/>
    <w:bookmarkEnd w:id="52"/>
    <w:bookmarkStart w:id="57" w:name="implications"/>
    <w:p>
      <w:pPr>
        <w:pStyle w:val="Heading1"/>
      </w:pPr>
      <w:r>
        <w:t xml:space="preserve">9. Implications</w:t>
      </w:r>
    </w:p>
    <w:bookmarkStart w:id="53" w:name="for-platform-providers"/>
    <w:p>
      <w:pPr>
        <w:pStyle w:val="Heading2"/>
      </w:pPr>
      <w:r>
        <w:t xml:space="preserve">9.1. For Platform Providers</w:t>
      </w:r>
    </w:p>
    <w:p>
      <w:pPr>
        <w:pStyle w:val="FirstParagraph"/>
      </w:pPr>
      <w:r>
        <w:rPr>
          <w:b w:val="0"/>
        </w:rPr>
        <w:t>The analysis reframes update policy as a pricing problem in disguise. A provider that updates on the schedule that maximizes its profit is implicitly charging its most committed developers for changes they did not want. In the short run this is profitable. In the longer run it erodes the integration that makes the platform valuable (Proposition 6). Providers that want deep ecosystems therefore have reason to commit to stability, through long deprecation windows, predictable release calendars and update technologies that preserve existing behavior. A published window does two things a cadence announcement does not. It lets inframarginal developers choose their own migration date, and, because it is observed before integration, it is a commitment device against the hold-up in Section 3.2. Tiered offerings, with a stable tier priced separately from a fast-moving one, are a natural way to capture part of the value of stability from inframarginal developers. They partially internalize the distortion through second-degree price discrimination. Proposition 7 qualifies the advice. Where rivals compete on freshness, a unilateral lengthening of the interval loses the marginal developer, and the private case for stability is weaker. Where rivals court deeply integrated customers, stability is itself the competitive instrument.</w:t>
      </w:r>
    </w:p>
    <w:bookmarkEnd w:id="53"/>
    <w:bookmarkStart w:id="54" w:name="for-developers"/>
    <w:p>
      <w:pPr>
        <w:pStyle w:val="Heading2"/>
      </w:pPr>
      <w:r>
        <w:t xml:space="preserve">9.2. For Developers</w:t>
      </w:r>
    </w:p>
    <w:p>
      <w:pPr>
        <w:pStyle w:val="FirstParagraph"/>
      </w:pPr>
      <w:r>
        <w:t xml:space="preserve">Developers face a strategic choice of integration depth. Our model explains why thin, model-agnostic integration is attractive under frequent updates, but it also shows that this response is part of the inefficiency. Developers with deep integration benefit most from collective arrangements, such as contractual pinning commitments, industry standards on deprecation, or multi-provider abstraction layers that restore bargaining power.</w:t>
      </w:r>
    </w:p>
    <w:bookmarkEnd w:id="54"/>
    <w:bookmarkStart w:id="55" w:name="for-policy"/>
    <w:p>
      <w:pPr>
        <w:pStyle w:val="Heading2"/>
      </w:pPr>
      <w:r>
        <w:t xml:space="preserve">9.3. For Policy</w:t>
      </w:r>
    </w:p>
    <w:p>
      <w:pPr>
        <w:pStyle w:val="FirstParagraph"/>
      </w:pPr>
      <w:r>
        <w:rPr>
          <w:b w:val="0"/>
        </w:rPr>
        <w:t>Proposition 5 provides an economic rationale for minimum deprecation windows for widely used model APIs. The case is strongest when legacy serving costs are low and when the ecosystem’s migration costs are large relative to training costs, which Proposition 4 and Table 3 show is also when the cadence distortion is largest. Because falling compute costs widen the distortion, the case for such rules strengthens over time where providers are insulated from poaching of integrated customers. Proposition 7 is the qualifier. A minimum window is most attractive in the monopoly and freshness-race cases, in which private incentives leave the window too short. Where a rival can make deeply integrated customers marginal, private incentives already lengthen the window, and a floor is less likely to bind. Policy need not regulate update frequency directly. Corollary 1 shows that once forced migration is removed, residual over-updating harms only the platform’s own budget.</w:t>
      </w:r>
    </w:p>
    <w:bookmarkEnd w:id="55"/>
    <w:bookmarkStart w:id="56" w:name="testable-predictions"/>
    <w:p>
      <w:pPr>
        <w:pStyle w:val="Heading2"/>
      </w:pPr>
      <w:r>
        <w:t xml:space="preserve">9.4. Testable Predictions</w:t>
      </w:r>
    </w:p>
    <w:p>
      <w:pPr>
        <w:pStyle w:val="TableCaption"/>
      </w:pPr>
      <w:r>
        <w:t xml:space="preserve">Table 4. Empirical predictions.</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Caption w:val="Table 4. Empirical predictions."/>
      </w:tblPr>
      <w:tblGrid>
        <w:gridCol w:w="7200"/>
        <w:gridCol w:w="2160"/>
      </w:tblGrid>
      <w:tr>
        <w:trPr>
          <w:tblHeader w:val="true"/>
        </w:trPr>
        <w:tc>
          <w:tcPr>
            <w:tcW w:type="dxa" w:w="7200"/>
            <w:tcBorders>
              <w:bottom w:val="single" w:sz="4" w:color="000000"/>
            </w:tcBorders>
          </w:tcPr>
          <w:p>
            <w:pPr>
              <w:pStyle w:val="Compact"/>
              <w:spacing w:line="240" w:lineRule="auto" w:before="20" w:after="20"/>
              <w:ind w:firstLine="0" w:left="0"/>
              <w:jc w:val="left"/>
            </w:pPr>
            <w:r>
              <w:rPr>
                <w:b/>
                <w:sz w:val="20"/>
              </w:rPr>
              <w:t xml:space="preserve">Prediction</w:t>
            </w:r>
          </w:p>
        </w:tc>
        <w:tc>
          <w:tcPr>
            <w:tcW w:type="dxa" w:w="2160"/>
            <w:tcBorders>
              <w:bottom w:val="single" w:sz="4" w:color="000000"/>
            </w:tcBorders>
          </w:tcPr>
          <w:p>
            <w:pPr>
              <w:pStyle w:val="Compact"/>
              <w:spacing w:line="240" w:lineRule="auto" w:before="20" w:after="20"/>
              <w:ind w:firstLine="0" w:left="0"/>
              <w:jc w:val="left"/>
            </w:pPr>
            <w:r>
              <w:rPr>
                <w:b/>
                <w:sz w:val="20"/>
              </w:rPr>
              <w:t xml:space="preserve">Source</w:t>
            </w:r>
          </w:p>
        </w:tc>
      </w:tr>
      <w:tr>
        <w:tc>
          <w:tcPr>
            <w:tcW w:type="dxa" w:w="7200"/>
          </w:tcPr>
          <w:p>
            <w:pPr>
              <w:pStyle w:val="Compact"/>
              <w:spacing w:line="240" w:lineRule="auto" w:before="20" w:after="20"/>
              <w:ind w:firstLine="0" w:left="0"/>
              <w:jc w:val="left"/>
            </w:pPr>
            <w:r>
              <w:rPr>
                <w:sz w:val="20"/>
              </w:rPr>
              <w:t xml:space="preserve">P1. Across providers and model families, update intervals scale with the square root of training cost and fall with the pace of change in the domain.</w:t>
            </w:r>
          </w:p>
        </w:tc>
        <w:tc>
          <w:tcPr>
            <w:tcW w:type="dxa" w:w="2160"/>
          </w:tcPr>
          <w:p>
            <w:pPr>
              <w:pStyle w:val="Compact"/>
              <w:spacing w:line="240" w:lineRule="auto" w:before="20" w:after="20"/>
              <w:ind w:firstLine="0" w:left="0"/>
              <w:jc w:val="left"/>
            </w:pPr>
            <w:r>
              <w:rPr>
                <w:sz w:val="20"/>
              </w:rPr>
              <w:t xml:space="preserve">Lemma 1, Proposition 1</w:t>
            </w:r>
          </w:p>
        </w:tc>
      </w:tr>
      <w:tr>
        <w:tc>
          <w:tcPr>
            <w:tcW w:type="dxa" w:w="7200"/>
          </w:tcPr>
          <w:p>
            <w:pPr>
              <w:pStyle w:val="Compact"/>
              <w:spacing w:line="240" w:lineRule="auto" w:before="20" w:after="20"/>
              <w:ind w:firstLine="0" w:left="0"/>
              <w:jc w:val="left"/>
            </w:pPr>
            <w:r>
              <w:rPr>
                <w:sz w:val="20"/>
              </w:rPr>
              <w:t xml:space="preserve">P2. Holding training cost fixed, providers with larger and more deeply integrated developer bases update more often.</w:t>
            </w:r>
          </w:p>
        </w:tc>
        <w:tc>
          <w:tcPr>
            <w:tcW w:type="dxa" w:w="2160"/>
          </w:tcPr>
          <w:p>
            <w:pPr>
              <w:pStyle w:val="Compact"/>
              <w:spacing w:line="240" w:lineRule="auto" w:before="20" w:after="20"/>
              <w:ind w:firstLine="0" w:left="0"/>
              <w:jc w:val="left"/>
            </w:pPr>
            <w:r>
              <w:rPr>
                <w:sz w:val="20"/>
              </w:rPr>
              <w:t xml:space="preserve">Proposition 4</w:t>
            </w:r>
          </w:p>
        </w:tc>
      </w:tr>
      <w:tr>
        <w:tc>
          <w:tcPr>
            <w:tcW w:type="dxa" w:w="7200"/>
          </w:tcPr>
          <w:p>
            <w:pPr>
              <w:pStyle w:val="Compact"/>
              <w:spacing w:line="240" w:lineRule="auto" w:before="20" w:after="20"/>
              <w:ind w:firstLine="0" w:left="0"/>
              <w:jc w:val="left"/>
            </w:pPr>
            <w:r>
              <w:rPr>
                <w:sz w:val="20"/>
              </w:rPr>
              <w:t xml:space="preserve">P3. Reports of regressions after updates are concentrated among deeply integrated developers and rise with ecosystem size.</w:t>
            </w:r>
          </w:p>
        </w:tc>
        <w:tc>
          <w:tcPr>
            <w:tcW w:type="dxa" w:w="2160"/>
          </w:tcPr>
          <w:p>
            <w:pPr>
              <w:pStyle w:val="Compact"/>
              <w:spacing w:line="240" w:lineRule="auto" w:before="20" w:after="20"/>
              <w:ind w:firstLine="0" w:left="0"/>
              <w:jc w:val="left"/>
            </w:pPr>
            <w:r>
              <w:rPr>
                <w:sz w:val="20"/>
              </w:rPr>
              <w:t xml:space="preserve">Propositions 1, 2 and 6</w:t>
            </w:r>
          </w:p>
        </w:tc>
      </w:tr>
      <w:tr>
        <w:tc>
          <w:tcPr>
            <w:tcW w:type="dxa" w:w="7200"/>
          </w:tcPr>
          <w:p>
            <w:pPr>
              <w:pStyle w:val="Compact"/>
              <w:spacing w:line="240" w:lineRule="auto" w:before="20" w:after="20"/>
              <w:ind w:firstLine="0" w:left="0"/>
              <w:jc w:val="left"/>
            </w:pPr>
            <w:r>
              <w:rPr>
                <w:sz w:val="20"/>
              </w:rPr>
              <w:t xml:space="preserve">P4. Deprecation windows lengthen when deeply integrated customers become marginal, for example when a rival courts enterprise users.</w:t>
            </w:r>
          </w:p>
        </w:tc>
        <w:tc>
          <w:tcPr>
            <w:tcW w:type="dxa" w:w="2160"/>
          </w:tcPr>
          <w:p>
            <w:pPr>
              <w:pStyle w:val="Compact"/>
              <w:spacing w:line="240" w:lineRule="auto" w:before="20" w:after="20"/>
              <w:ind w:firstLine="0" w:left="0"/>
              <w:jc w:val="left"/>
            </w:pPr>
            <w:r>
              <w:t>Propositions 5 and 7</w:t>
            </w:r>
          </w:p>
        </w:tc>
      </w:tr>
      <w:tr>
        <w:tc>
          <w:tcPr>
            <w:tcW w:type="dxa" w:w="7200"/>
          </w:tcPr>
          <w:p>
            <w:pPr>
              <w:pStyle w:val="Compact"/>
              <w:spacing w:line="240" w:lineRule="auto" w:before="20" w:after="20"/>
              <w:ind w:firstLine="0" w:left="0"/>
              <w:jc w:val="left"/>
            </w:pPr>
            <w:r>
              <w:rPr>
                <w:sz w:val="20"/>
              </w:rPr>
              <w:t xml:space="preserve">P5. Developers on frequently updated platforms integrate less deeply, as reflected in greater use of provider-agnostic abstraction layers.</w:t>
            </w:r>
          </w:p>
        </w:tc>
        <w:tc>
          <w:tcPr>
            <w:tcW w:type="dxa" w:w="2160"/>
          </w:tcPr>
          <w:p>
            <w:pPr>
              <w:pStyle w:val="Compact"/>
              <w:spacing w:line="240" w:lineRule="auto" w:before="20" w:after="20"/>
              <w:ind w:firstLine="0" w:left="0"/>
              <w:jc w:val="left"/>
            </w:pPr>
            <w:r>
              <w:rPr>
                <w:sz w:val="20"/>
              </w:rPr>
              <w:t xml:space="preserve">Proposition 6</w:t>
            </w:r>
          </w:p>
        </w:tc>
      </w:tr>
      <w:tr>
        <w:tc>
          <w:tcPr>
            <w:tcW w:type="dxa" w:w="7200"/>
          </w:tcPr>
          <w:p>
            <w:pPr>
              <w:pStyle w:val="Compact"/>
              <w:spacing w:line="240" w:lineRule="auto" w:before="20" w:after="20"/>
              <w:ind w:firstLine="0" w:left="0"/>
              <w:jc w:val="left"/>
            </w:pPr>
            <w:r>
              <w:t>P6. A rival that competes on freshness shortens update intervals; a rival that courts deeply integrated customers lengthens deprecation windows.</w:t>
            </w:r>
          </w:p>
        </w:tc>
        <w:tc>
          <w:tcPr>
            <w:tcW w:type="dxa" w:w="2160"/>
          </w:tcPr>
          <w:p>
            <w:pPr>
              <w:pStyle w:val="Compact"/>
              <w:spacing w:line="240" w:lineRule="auto" w:before="20" w:after="20"/>
              <w:ind w:firstLine="0" w:left="0"/>
              <w:jc w:val="left"/>
            </w:pPr>
            <w:r>
              <w:t>Proposition 7</w:t>
            </w:r>
          </w:p>
        </w:tc>
      </w:tr>
    </w:tbl>
    <w:p>
      <w:pPr>
        <w:pStyle w:val="BodyText"/>
        <w:spacing w:before="240"/>
      </w:pPr>
      <w:r>
        <w:t xml:space="preserve">These predictions can be examined with public data. Release and deprecation histories from providers’ documentation measure</w:t>
      </w:r>
      <w:r>
        <w:t xml:space="preserve"> </w:t>
      </w:r>
      <m:oMath>
        <m:r>
          <m:t>t</m:t>
        </m:r>
      </m:oMath>
      <w:r>
        <w:t xml:space="preserve"> </w:t>
      </w:r>
      <w:r>
        <w:t xml:space="preserve">and</w:t>
      </w:r>
      <w:r>
        <w:t xml:space="preserve"> </w:t>
      </w:r>
      <m:oMath>
        <m:r>
          <m:t>L</m:t>
        </m:r>
      </m:oMath>
      <w:r>
        <w:t xml:space="preserve">. Model cards and published training-compute estimates proxy</w:t>
      </w:r>
      <w:r>
        <w:t xml:space="preserve"> </w:t>
      </w:r>
      <m:oMath>
        <m:r>
          <m:t>K</m:t>
        </m:r>
      </m:oMath>
      <w:r>
        <w:t xml:space="preserve">. Version-pinned open-source projects allow an event study of forced deprecations: comparing commit and issue activity in projects pinned to a deprecated version with projects already on its successor would measure the migration burden directly and test P3.</w:t>
      </w:r>
    </w:p>
    <w:bookmarkEnd w:id="56"/>
    <w:bookmarkEnd w:id="57"/>
    <w:bookmarkStart w:id="59" w:name="conclusion"/>
    <w:p>
      <w:pPr>
        <w:pStyle w:val="Heading1"/>
      </w:pPr>
      <w:r>
        <w:t xml:space="preserve">10. Conclusion</w:t>
      </w:r>
    </w:p>
    <w:p>
      <w:pPr>
        <w:pStyle w:val="FirstParagraph"/>
      </w:pPr>
      <w:r>
        <w:rPr>
          <w:b w:val="0"/>
        </w:rPr>
        <w:t>Foundation-model platforms must update their models to stay current, but each update imposes re-validation costs on the developers who build on them and can destroy capabilities those developers rely on. Integration makes the developers who value the model most the ones with the most to lose, so a platform that prices off the marginal developer updates too often, chooses too destructive an update technology and keeps old versions available too briefly. Version pinning removes the harm of forced migration, but the platform under-provides it, and once pinning is unlimited the remaining loss is bounded by the platform’s own excess renewal spending. Frequent updating also discourages integration, so the distortion feeds back into the structure of the ecosystem. Competition does not erase the wedge. It changes who is marginal, and can either widen the distortion or reverse it.</w:t>
      </w:r>
    </w:p>
    <w:bookmarkStart w:id="58" w:name="limitations-and-future-research"/>
    <w:p>
      <w:pPr>
        <w:pStyle w:val="Heading2"/>
      </w:pPr>
      <w:r>
        <w:t xml:space="preserve">10.1. Limitations and Future Research</w:t>
      </w:r>
    </w:p>
    <w:p>
      <w:pPr>
        <w:pStyle w:val="FirstParagraph"/>
      </w:pPr>
      <w:r>
        <w:t xml:space="preserve">Several simplifications point to future work.</w:t>
      </w:r>
    </w:p>
    <w:p>
      <w:pPr>
        <w:pStyle w:val="Compact"/>
        <w:numPr>
          <w:ilvl w:val="0"/>
          <w:numId w:val="1005"/>
        </w:numPr>
      </w:pPr>
      <w:r>
        <w:rPr>
          <w:b w:val="0"/>
        </w:rPr>
        <w:t>Monopoly. The baseline is a single platform. Section 7.3 signs two competitive forces in reduced form: a freshness race widens over-updating, and poaching of deeply integrated customers can reverse it. The sketch holds the update technology fixed and does not solve a closed duopoly. Which force dominates in a given market remains open.</w:t>
      </w:r>
    </w:p>
    <w:p>
      <w:pPr>
        <w:pStyle w:val="Compact"/>
        <w:numPr>
          <w:ilvl w:val="0"/>
          <w:numId w:val="1005"/>
        </w:numPr>
      </w:pPr>
      <w:r>
        <w:rPr>
          <w:b w:val="0"/>
        </w:rPr>
        <w:t>Commitment. The baseline assumes the platform commits to its cadence and its window. Without commitment, the platform ignores integration once it is sunk, which strengthens the hold-up in Proposition 6. A published deprecation window is the natural commitment device, because it binds the migration opportunity set after integration has been chosen. Modeling the window as the outcome of a repeated game, rather than as an announced policy, is left open.</w:t>
      </w:r>
    </w:p>
    <w:p>
      <w:pPr>
        <w:pStyle w:val="Compact"/>
        <w:numPr>
          <w:ilvl w:val="0"/>
          <w:numId w:val="1005"/>
        </w:numPr>
      </w:pPr>
      <w:r>
        <w:rPr>
          <w:bCs/>
          <w:b/>
        </w:rPr>
        <w:t xml:space="preserve">Scalar obsolescence.</w:t>
      </w:r>
      <w:r>
        <w:t xml:space="preserve"> </w:t>
      </w:r>
      <w:r>
        <w:t xml:space="preserve">Obsolescence is a single index and grows linearly. Different capabilities age at different rates, and selective updates could target fast-aging ones. A multidimensional model would connect to research on modular platform architecture.</w:t>
      </w:r>
    </w:p>
    <w:p>
      <w:pPr>
        <w:pStyle w:val="Compact"/>
        <w:numPr>
          <w:ilvl w:val="0"/>
          <w:numId w:val="1005"/>
        </w:numPr>
      </w:pPr>
      <w:r>
        <w:rPr>
          <w:bCs/>
          <w:b/>
        </w:rPr>
        <w:t xml:space="preserve">Exogenous environment.</w:t>
      </w:r>
      <w:r>
        <w:t xml:space="preserve"> </w:t>
      </w:r>
      <w:r>
        <w:t xml:space="preserve">The rate of obsolescence is exogenous. Model outputs increasingly enter future training data, which may make obsolescence partly endogenous to deployment.</w:t>
      </w:r>
    </w:p>
    <w:p>
      <w:pPr>
        <w:pStyle w:val="Compact"/>
        <w:numPr>
          <w:ilvl w:val="0"/>
          <w:numId w:val="1005"/>
        </w:numPr>
      </w:pPr>
      <w:r>
        <w:rPr>
          <w:b w:val="0"/>
        </w:rPr>
        <w:t>Empirical validation. The results are analytical. The numerical analysis is illustrative. Appendix B is a single-seed illustration of two primitives on a small model with synthetic drift. It does not measure developers’ migration costs and it does not test the propositions. The predictions in Table 4, including the competitive reversal in P6, call for tests that use release histories, deprecation windows and developer activity.</w:t>
      </w:r>
    </w:p>
    <w:p>
      <w:pPr>
        <w:pStyle w:val="FirstParagraph"/>
      </w:pPr>
      <w:r>
        <w:t xml:space="preserve">As AI models become infrastructure for other software, the timing of their change becomes a governance question with ecosystem-wide consequences. This paper provides a framework for analyzing that question and identifies when private and social incentives diverge.</w:t>
      </w:r>
    </w:p>
    <w:bookmarkEnd w:id="58"/>
    <w:bookmarkEnd w:id="59"/>
    <w:bookmarkStart w:id="60" w:name="references"/>
    <w:p>
      <w:pPr>
        <w:pStyle w:val="Heading1"/>
      </w:pPr>
      <w:r>
        <w:t xml:space="preserve">References</w:t>
      </w:r>
    </w:p>
    <w:p>
      <w:pPr>
        <w:pStyle w:val="Bibliography"/>
      </w:pPr>
      <w:r>
        <w:t xml:space="preserve">Arora A, Caulkins JP, Telang R (2006) Sell first, fix later: Impact of patching on software quality.</w:t>
      </w:r>
      <w:r>
        <w:t xml:space="preserve"> </w:t>
      </w:r>
      <w:r>
        <w:rPr>
          <w:iCs/>
          <w:i/>
        </w:rPr>
        <w:t xml:space="preserve">Management Sci.</w:t>
      </w:r>
      <w:r>
        <w:t xml:space="preserve"> </w:t>
      </w:r>
      <w:r>
        <w:t xml:space="preserve">52(3):465–471.</w:t>
      </w:r>
    </w:p>
    <w:p>
      <w:pPr>
        <w:pStyle w:val="Bibliography"/>
      </w:pPr>
      <w:r>
        <w:rPr>
          <w:b w:val="0"/>
        </w:rPr>
        <w:t>Anthropic (2026) Model deprecations. Claude API documentation. Accessed October 3, 2026, https://docs.claude.com/en/docs/about-claude/model-deprecations.</w:t>
      </w:r>
    </w:p>
    <w:p>
      <w:pPr>
        <w:pStyle w:val="Bibliography"/>
      </w:pPr>
      <w:r>
        <w:t xml:space="preserve">August T, Tunca TI (2006) Network software security and user incentives.</w:t>
      </w:r>
      <w:r>
        <w:t xml:space="preserve"> </w:t>
      </w:r>
      <w:r>
        <w:rPr>
          <w:iCs/>
          <w:i/>
        </w:rPr>
        <w:t xml:space="preserve">Management Sci.</w:t>
      </w:r>
      <w:r>
        <w:t xml:space="preserve"> </w:t>
      </w:r>
      <w:r>
        <w:t xml:space="preserve">52(11):1703–1720.</w:t>
      </w:r>
    </w:p>
    <w:p>
      <w:pPr>
        <w:pStyle w:val="Bibliography"/>
      </w:pPr>
      <w:r>
        <w:t xml:space="preserve">Bansal G, Nushi B, Kamar E, Weld DS, Lasecki WS, Horvitz E (2019) Updates in human-AI teams: Understanding and addressing the performance/compatibility tradeoff.</w:t>
      </w:r>
      <w:r>
        <w:t xml:space="preserve"> </w:t>
      </w:r>
      <w:r>
        <w:rPr>
          <w:iCs/>
          <w:i/>
        </w:rPr>
        <w:t xml:space="preserve">Proc. AAAI Conf. Artificial Intelligence</w:t>
      </w:r>
      <w:r>
        <w:t xml:space="preserve"> </w:t>
      </w:r>
      <w:r>
        <w:t xml:space="preserve">33(1):2429–2437.</w:t>
      </w:r>
    </w:p>
    <w:p>
      <w:pPr>
        <w:pStyle w:val="Bibliography"/>
      </w:pPr>
      <w:r>
        <w:t xml:space="preserve">Baumol WJ (1952) The transactions demand for cash: An inventory theoretic approach.</w:t>
      </w:r>
      <w:r>
        <w:t xml:space="preserve"> </w:t>
      </w:r>
      <w:r>
        <w:rPr>
          <w:iCs/>
          <w:i/>
        </w:rPr>
        <w:t xml:space="preserve">Quart. J. Econom.</w:t>
      </w:r>
      <w:r>
        <w:t xml:space="preserve"> </w:t>
      </w:r>
      <w:r>
        <w:t xml:space="preserve">66(4):545–556.</w:t>
      </w:r>
    </w:p>
    <w:p>
      <w:pPr>
        <w:pStyle w:val="Bibliography"/>
      </w:pPr>
      <w:r>
        <w:t xml:space="preserve">Bhargava HK, Choudhary V (2001) Information goods and vertical differentiation.</w:t>
      </w:r>
      <w:r>
        <w:t xml:space="preserve"> </w:t>
      </w:r>
      <w:r>
        <w:rPr>
          <w:iCs/>
          <w:i/>
        </w:rPr>
        <w:t xml:space="preserve">J. Management Inform. Systems</w:t>
      </w:r>
      <w:r>
        <w:t xml:space="preserve"> </w:t>
      </w:r>
      <w:r>
        <w:t xml:space="preserve">18(2):89–106.</w:t>
      </w:r>
    </w:p>
    <w:p>
      <w:pPr>
        <w:pStyle w:val="Bibliography"/>
      </w:pPr>
      <w:r>
        <w:t xml:space="preserve">Boudreau K (2010) Open platform strategies and innovation: Granting access vs. devolving control.</w:t>
      </w:r>
      <w:r>
        <w:t xml:space="preserve"> </w:t>
      </w:r>
      <w:r>
        <w:rPr>
          <w:iCs/>
          <w:i/>
        </w:rPr>
        <w:t xml:space="preserve">Management Sci.</w:t>
      </w:r>
      <w:r>
        <w:t xml:space="preserve"> </w:t>
      </w:r>
      <w:r>
        <w:t xml:space="preserve">56(10):1849–1872.</w:t>
      </w:r>
    </w:p>
    <w:p>
      <w:pPr>
        <w:pStyle w:val="Bibliography"/>
      </w:pPr>
      <w:r>
        <w:t xml:space="preserve">Cavusoglu H, Cavusoglu H, Zhang J (2008) Security patch management: Share the burden or share the damage?</w:t>
      </w:r>
      <w:r>
        <w:t xml:space="preserve"> </w:t>
      </w:r>
      <w:r>
        <w:rPr>
          <w:iCs/>
          <w:i/>
        </w:rPr>
        <w:t xml:space="preserve">Management Sci.</w:t>
      </w:r>
      <w:r>
        <w:t xml:space="preserve"> </w:t>
      </w:r>
      <w:r>
        <w:t xml:space="preserve">54(4):657–670.</w:t>
      </w:r>
    </w:p>
    <w:p>
      <w:pPr>
        <w:pStyle w:val="Bibliography"/>
      </w:pPr>
      <w:r>
        <w:t xml:space="preserve">Ceccagnoli M, Forman C, Huang P, Wu DJ (2012) Cocreation of value in a platform ecosystem: The case of enterprise software.</w:t>
      </w:r>
      <w:r>
        <w:t xml:space="preserve"> </w:t>
      </w:r>
      <w:r>
        <w:rPr>
          <w:iCs/>
          <w:i/>
        </w:rPr>
        <w:t xml:space="preserve">MIS Quart.</w:t>
      </w:r>
      <w:r>
        <w:t xml:space="preserve"> </w:t>
      </w:r>
      <w:r>
        <w:t xml:space="preserve">36(1):263–290.</w:t>
      </w:r>
    </w:p>
    <w:p>
      <w:pPr>
        <w:pStyle w:val="Bibliography"/>
      </w:pPr>
      <w:r>
        <w:t xml:space="preserve">Chen L, Zaharia M, Zou J (2024) How is ChatGPT’s behavior changing over time?</w:t>
      </w:r>
      <w:r>
        <w:t xml:space="preserve"> </w:t>
      </w:r>
      <w:r>
        <w:rPr>
          <w:iCs/>
          <w:i/>
        </w:rPr>
        <w:t xml:space="preserve">Harvard Data Sci. Rev.</w:t>
      </w:r>
      <w:r>
        <w:t xml:space="preserve"> </w:t>
      </w:r>
      <w:r>
        <w:t xml:space="preserve">6(2).</w:t>
      </w:r>
    </w:p>
    <w:p>
      <w:pPr>
        <w:pStyle w:val="Bibliography"/>
      </w:pPr>
      <w:r>
        <w:t xml:space="preserve">Ghazawneh A, Henfridsson O (2013) Balancing platform control and external contribution in third-party development: The boundary resources model.</w:t>
      </w:r>
      <w:r>
        <w:t xml:space="preserve"> </w:t>
      </w:r>
      <w:r>
        <w:rPr>
          <w:iCs/>
          <w:i/>
        </w:rPr>
        <w:t xml:space="preserve">Inform. Systems J.</w:t>
      </w:r>
      <w:r>
        <w:t xml:space="preserve"> </w:t>
      </w:r>
      <w:r>
        <w:t xml:space="preserve">23(2):173–192.</w:t>
      </w:r>
    </w:p>
    <w:p>
      <w:pPr>
        <w:pStyle w:val="Bibliography"/>
      </w:pPr>
      <w:r>
        <w:rPr>
          <w:b w:val="0"/>
        </w:rPr>
        <w:t>Google (2026) Gemini API deprecations. Google AI for Developers documentation. Accessed October 3, 2026, https://ai.google.dev/gemini-api/docs/deprecations.</w:t>
      </w:r>
    </w:p>
    <w:p>
      <w:pPr>
        <w:pStyle w:val="Bibliography"/>
      </w:pPr>
      <w:r>
        <w:t xml:space="preserve">Grossman SJ, Hart OD (1986) The costs and benefits of ownership: A theory of vertical and lateral integration.</w:t>
      </w:r>
      <w:r>
        <w:t xml:space="preserve"> </w:t>
      </w:r>
      <w:r>
        <w:rPr>
          <w:iCs/>
          <w:i/>
        </w:rPr>
        <w:t xml:space="preserve">J. Political Econom.</w:t>
      </w:r>
      <w:r>
        <w:t xml:space="preserve"> </w:t>
      </w:r>
      <w:r>
        <w:t xml:space="preserve">94(4):691–719.</w:t>
      </w:r>
    </w:p>
    <w:p>
      <w:pPr>
        <w:pStyle w:val="Bibliography"/>
      </w:pPr>
      <w:r>
        <w:t xml:space="preserve">Guo Z, Ma D (2018) A model of competition between perpetual software and software as a service.</w:t>
      </w:r>
      <w:r>
        <w:t xml:space="preserve"> </w:t>
      </w:r>
      <w:r>
        <w:rPr>
          <w:iCs/>
          <w:i/>
        </w:rPr>
        <w:t xml:space="preserve">MIS Quart.</w:t>
      </w:r>
      <w:r>
        <w:t xml:space="preserve"> </w:t>
      </w:r>
      <w:r>
        <w:t xml:space="preserve">42(1):101–120.</w:t>
      </w:r>
    </w:p>
    <w:p>
      <w:pPr>
        <w:pStyle w:val="Bibliography"/>
      </w:pPr>
      <w:r>
        <w:t xml:space="preserve">Kirkpatrick J, Pascanu R, Rabinowitz N, Veness J, Desjardins G, Rusu AA, Milan K, et al. (2017) Overcoming catastrophic forgetting in neural networks.</w:t>
      </w:r>
      <w:r>
        <w:t xml:space="preserve"> </w:t>
      </w:r>
      <w:r>
        <w:rPr>
          <w:iCs/>
          <w:i/>
        </w:rPr>
        <w:t xml:space="preserve">Proc. Natl. Acad. Sci. USA</w:t>
      </w:r>
      <w:r>
        <w:t xml:space="preserve"> </w:t>
      </w:r>
      <w:r>
        <w:t xml:space="preserve">114(13):3521–3526.</w:t>
      </w:r>
    </w:p>
    <w:p>
      <w:pPr>
        <w:pStyle w:val="Bibliography"/>
      </w:pPr>
      <w:r>
        <w:t xml:space="preserve">Ma W, Yang C, Kästner C (2024) (Why) is my prompt getting worse? Rethinking regression testing for evolving LLM APIs.</w:t>
      </w:r>
      <w:r>
        <w:t xml:space="preserve"> </w:t>
      </w:r>
      <w:r>
        <w:rPr>
          <w:iCs/>
          <w:i/>
        </w:rPr>
        <w:t xml:space="preserve">Proc. IEEE/ACM 3rd Internat. Conf. AI Engrg.—Software Engrg. for AI (CAIN)</w:t>
      </w:r>
      <w:r>
        <w:t xml:space="preserve">.</w:t>
      </w:r>
    </w:p>
    <w:p>
      <w:pPr>
        <w:pStyle w:val="Bibliography"/>
      </w:pPr>
      <w:r>
        <w:t xml:space="preserve">Mussa M, Rosen S (1978) Monopoly and product quality.</w:t>
      </w:r>
      <w:r>
        <w:t xml:space="preserve"> </w:t>
      </w:r>
      <w:r>
        <w:rPr>
          <w:iCs/>
          <w:i/>
        </w:rPr>
        <w:t xml:space="preserve">J. Econom. Theory</w:t>
      </w:r>
      <w:r>
        <w:t xml:space="preserve"> </w:t>
      </w:r>
      <w:r>
        <w:t xml:space="preserve">18(2):301–317.</w:t>
      </w:r>
    </w:p>
    <w:p>
      <w:pPr>
        <w:pStyle w:val="Bibliography"/>
      </w:pPr>
      <w:r>
        <w:rPr>
          <w:b w:val="0"/>
        </w:rPr>
        <w:t>OpenAI (2026) Deprecations. OpenAI API documentation. Accessed October 3, 2026. Published policy: at least six months’ notice before retirement of generally available models.</w:t>
      </w:r>
    </w:p>
    <w:p>
      <w:pPr>
        <w:pStyle w:val="Bibliography"/>
      </w:pPr>
      <w:r>
        <w:t xml:space="preserve">Parker GG, Van Alstyne MW (2005) Two-sided network effects: A theory of information product design.</w:t>
      </w:r>
      <w:r>
        <w:t xml:space="preserve"> </w:t>
      </w:r>
      <w:r>
        <w:rPr>
          <w:iCs/>
          <w:i/>
        </w:rPr>
        <w:t xml:space="preserve">Management Sci.</w:t>
      </w:r>
      <w:r>
        <w:t xml:space="preserve"> </w:t>
      </w:r>
      <w:r>
        <w:t xml:space="preserve">51(10):1494–1504.</w:t>
      </w:r>
    </w:p>
    <w:p>
      <w:pPr>
        <w:pStyle w:val="Bibliography"/>
      </w:pPr>
      <w:r>
        <w:t xml:space="preserve">Qian S, Mehra A, Liu D (2025) The economics of AI supply chain regulation. Working paper, arXiv:2603.12630.</w:t>
      </w:r>
    </w:p>
    <w:p>
      <w:pPr>
        <w:pStyle w:val="Bibliography"/>
      </w:pPr>
      <w:r>
        <w:t xml:space="preserve">Shapiro C, Varian HR (1998) Versioning: The smart way to sell information.</w:t>
      </w:r>
      <w:r>
        <w:t xml:space="preserve"> </w:t>
      </w:r>
      <w:r>
        <w:rPr>
          <w:iCs/>
          <w:i/>
        </w:rPr>
        <w:t xml:space="preserve">Harvard Bus. Rev.</w:t>
      </w:r>
      <w:r>
        <w:t xml:space="preserve"> </w:t>
      </w:r>
      <w:r>
        <w:t xml:space="preserve">76(6):106–114.</w:t>
      </w:r>
    </w:p>
    <w:p>
      <w:pPr>
        <w:pStyle w:val="Bibliography"/>
      </w:pPr>
      <w:r>
        <w:t xml:space="preserve">Spence AM (1975) Monopoly, quality, and regulation.</w:t>
      </w:r>
      <w:r>
        <w:t xml:space="preserve"> </w:t>
      </w:r>
      <w:r>
        <w:rPr>
          <w:iCs/>
          <w:i/>
        </w:rPr>
        <w:t xml:space="preserve">Bell J. Econom.</w:t>
      </w:r>
      <w:r>
        <w:t xml:space="preserve"> </w:t>
      </w:r>
      <w:r>
        <w:t xml:space="preserve">6(2):417–429.</w:t>
      </w:r>
    </w:p>
    <w:p>
      <w:pPr>
        <w:pStyle w:val="Bibliography"/>
      </w:pPr>
      <w:r>
        <w:t xml:space="preserve">Srivastava M, Nushi B, Kamar E, Shah S, Horvitz E (2020) An empirical analysis of backward compatibility in machine learning systems.</w:t>
      </w:r>
      <w:r>
        <w:t xml:space="preserve"> </w:t>
      </w:r>
      <w:r>
        <w:rPr>
          <w:iCs/>
          <w:i/>
        </w:rPr>
        <w:t xml:space="preserve">Proc. 26th ACM SIGKDD Internat. Conf. Knowledge Discovery Data Mining</w:t>
      </w:r>
      <w:r>
        <w:t xml:space="preserve"> </w:t>
      </w:r>
      <w:r>
        <w:t xml:space="preserve">(ACM, New York), 3272–3280.</w:t>
      </w:r>
    </w:p>
    <w:p>
      <w:pPr>
        <w:pStyle w:val="Bibliography"/>
      </w:pPr>
      <w:r>
        <w:t xml:space="preserve">Tiwana A, Konsynski B, Bush AA (2010) Platform evolution: Coevolution of platform architecture, governance, and environmental dynamics.</w:t>
      </w:r>
      <w:r>
        <w:t xml:space="preserve"> </w:t>
      </w:r>
      <w:r>
        <w:rPr>
          <w:iCs/>
          <w:i/>
        </w:rPr>
        <w:t xml:space="preserve">Inform. Systems Res.</w:t>
      </w:r>
      <w:r>
        <w:t xml:space="preserve"> </w:t>
      </w:r>
      <w:r>
        <w:t xml:space="preserve">21(4):675–687.</w:t>
      </w:r>
    </w:p>
    <w:p>
      <w:pPr>
        <w:pStyle w:val="Bibliography"/>
      </w:pPr>
      <w:r>
        <w:t xml:space="preserve">Tobin J (1956) The interest-elasticity of transactions demand for cash.</w:t>
      </w:r>
      <w:r>
        <w:t xml:space="preserve"> </w:t>
      </w:r>
      <w:r>
        <w:rPr>
          <w:iCs/>
          <w:i/>
        </w:rPr>
        <w:t xml:space="preserve">Rev. Econom. Statist.</w:t>
      </w:r>
      <w:r>
        <w:t xml:space="preserve"> </w:t>
      </w:r>
      <w:r>
        <w:t xml:space="preserve">38(3):241–247.</w:t>
      </w:r>
    </w:p>
    <w:p>
      <w:pPr>
        <w:pStyle w:val="Bibliography"/>
      </w:pPr>
      <w:r>
        <w:t xml:space="preserve">Topkis DM (1998)</w:t>
      </w:r>
      <w:r>
        <w:t xml:space="preserve"> </w:t>
      </w:r>
      <w:r>
        <w:rPr>
          <w:iCs/>
          <w:i/>
        </w:rPr>
        <w:t xml:space="preserve">Supermodularity and Complementarity</w:t>
      </w:r>
      <w:r>
        <w:t xml:space="preserve"> </w:t>
      </w:r>
      <w:r>
        <w:t xml:space="preserve">(Princeton University Press, Princeton, NJ).</w:t>
      </w:r>
    </w:p>
    <w:p>
      <w:pPr>
        <w:pStyle w:val="Bibliography"/>
      </w:pPr>
      <w:r>
        <w:t xml:space="preserve">Zhang Y, Zhang T (2026) The economics of digital intelligence capital: Endogenous depreciation and the structural Jevons paradox. Working paper, arXiv:2601.12339.</w:t>
      </w:r>
    </w:p>
    <w:bookmarkEnd w:id="60"/>
    <w:bookmarkStart w:id="61" w:name="appendix.-proofs"/>
    <w:p>
      <w:pPr>
        <w:pStyle w:val="Heading1"/>
      </w:pPr>
      <w:r>
        <w:rPr>
          <w:b w:val="0"/>
        </w:rPr>
        <w:t>Appendix A. Proofs</w:t>
      </w:r>
    </w:p>
    <w:p>
      <w:pPr>
        <w:pStyle w:val="FirstParagraph"/>
      </w:pPr>
      <w:r>
        <w:t xml:space="preserve">Throughout,</w:t>
      </w:r>
      <w:r>
        <w:t xml:space="preserve"> </w:t>
      </w:r>
      <w:r>
        <w:t xml:space="preserve">“</w:t>
      </w:r>
      <w:r>
        <w:t xml:space="preserve">increasing</w:t>
      </w:r>
      <w:r>
        <w:t xml:space="preserve">”</w:t>
      </w:r>
      <w:r>
        <w:t xml:space="preserve"> </w:t>
      </w:r>
      <w:r>
        <w:t xml:space="preserve">means strictly increasing, and</w:t>
      </w:r>
      <w:r>
        <w:t xml:space="preserve"> </w:t>
      </w:r>
      <m:oMath>
        <m:sSup>
          <m:e>
            <m:r>
              <m:t>θ</m:t>
            </m:r>
          </m:e>
          <m:sup>
            <m:r>
              <m:rPr>
                <m:sty m:val="p"/>
              </m:rPr>
              <m:t>*</m:t>
            </m:r>
          </m:sup>
        </m:sSup>
        <m:r>
          <m:rPr>
            <m:sty m:val="p"/>
          </m:rPr>
          <m:t>∈</m:t>
        </m:r>
        <m:d>
          <m:dPr>
            <m:begChr m:val="("/>
            <m:sepChr m:val=""/>
            <m:endChr m:val=")"/>
            <m:grow/>
          </m:dPr>
          <m:e>
            <m:r>
              <m:t>0</m:t>
            </m:r>
            <m:r>
              <m:rPr>
                <m:sty m:val="p"/>
              </m:rPr>
              <m:t>,</m:t>
            </m:r>
            <m:r>
              <m:t>1</m:t>
            </m:r>
          </m:e>
        </m:d>
      </m:oMath>
      <w:r>
        <w:t xml:space="preserve"> </w:t>
      </w:r>
      <w:r>
        <w:t xml:space="preserve">is fixed unless stated otherwise. Write</w:t>
      </w:r>
      <w:r>
        <w:t xml:space="preserve"> </w:t>
      </w:r>
      <m:oMath>
        <m:r>
          <m:t>Q</m:t>
        </m:r>
        <m:r>
          <m:rPr>
            <m:sty m:val="p"/>
          </m:rPr>
          <m:t>=</m:t>
        </m:r>
        <m:r>
          <m:t>1</m:t>
        </m:r>
        <m:r>
          <m:rPr>
            <m:sty m:val="p"/>
          </m:rPr>
          <m:t>−</m:t>
        </m:r>
        <m:r>
          <m:t>G</m:t>
        </m:r>
        <m:d>
          <m:dPr>
            <m:begChr m:val="("/>
            <m:sepChr m:val=""/>
            <m:endChr m:val=")"/>
            <m:grow/>
          </m:dPr>
          <m:e>
            <m:sSup>
              <m:e>
                <m:r>
                  <m:t>θ</m:t>
                </m:r>
              </m:e>
              <m:sup>
                <m:r>
                  <m:rPr>
                    <m:sty m:val="p"/>
                  </m:rPr>
                  <m:t>*</m:t>
                </m:r>
              </m:sup>
            </m:sSup>
          </m:e>
        </m:d>
      </m:oMath>
      <w:r>
        <w:t xml:space="preserve">.</w:t>
      </w:r>
    </w:p>
    <w:p>
      <w:pPr>
        <w:pStyle w:val="BodyText"/>
      </w:pPr>
      <w:r>
        <w:rPr>
          <w:bCs/>
          <w:b/>
        </w:rPr>
        <w:t xml:space="preserve">Proof of Lemma 1.</w:t>
      </w:r>
      <w:r>
        <w:t xml:space="preserve"> </w:t>
      </w:r>
      <m:oMath>
        <m:r>
          <m:t>C</m:t>
        </m:r>
        <m:d>
          <m:dPr>
            <m:begChr m:val="("/>
            <m:sepChr m:val=""/>
            <m:endChr m:val=")"/>
            <m:grow/>
          </m:dPr>
          <m:e>
            <m:r>
              <m:t>t</m:t>
            </m:r>
            <m:r>
              <m:rPr>
                <m:sty m:val="p"/>
              </m:rPr>
              <m:t>,</m:t>
            </m:r>
            <m:r>
              <m:t>F</m:t>
            </m:r>
          </m:e>
        </m:d>
      </m:oMath>
      <w:r>
        <w:t xml:space="preserve"> </w:t>
      </w:r>
      <w:r>
        <w:t xml:space="preserve">in (5) is strictly convex in</w:t>
      </w:r>
      <w:r>
        <w:t xml:space="preserve"> </w:t>
      </w:r>
      <m:oMath>
        <m:r>
          <m:t>t</m:t>
        </m:r>
        <m:r>
          <m:rPr>
            <m:sty m:val="p"/>
          </m:rPr>
          <m:t>&gt;</m:t>
        </m:r>
        <m:r>
          <m:t>0</m:t>
        </m:r>
      </m:oMath>
      <w:r>
        <w:t xml:space="preserve"> </w:t>
      </w:r>
      <w:r>
        <w:t xml:space="preserve">because its second derivative,</w:t>
      </w:r>
      <w:r>
        <w:t xml:space="preserve"> </w:t>
      </w:r>
      <m:oMath>
        <m:r>
          <m:t>2</m:t>
        </m:r>
        <m:d>
          <m:dPr>
            <m:begChr m:val="["/>
            <m:sepChr m:val=""/>
            <m:endChr m:val="]"/>
            <m:grow/>
          </m:dPr>
          <m:e>
            <m:r>
              <m:t>K</m:t>
            </m:r>
            <m:d>
              <m:dPr>
                <m:begChr m:val="("/>
                <m:sepChr m:val=""/>
                <m:endChr m:val=")"/>
                <m:grow/>
              </m:dPr>
              <m:e>
                <m:r>
                  <m:t>F</m:t>
                </m:r>
              </m:e>
            </m:d>
            <m:r>
              <m:rPr>
                <m:sty m:val="p"/>
              </m:rPr>
              <m:t>+</m:t>
            </m:r>
            <m:r>
              <m:t>σ</m:t>
            </m:r>
            <m:r>
              <m:t>φ</m:t>
            </m:r>
            <m:d>
              <m:dPr>
                <m:begChr m:val="("/>
                <m:sepChr m:val=""/>
                <m:endChr m:val=")"/>
                <m:grow/>
              </m:dPr>
              <m:e>
                <m:r>
                  <m:t>F</m:t>
                </m:r>
              </m:e>
            </m:d>
          </m:e>
        </m:d>
        <m:r>
          <m:rPr>
            <m:sty m:val="p"/>
          </m:rPr>
          <m:t>/</m:t>
        </m:r>
        <m:sSup>
          <m:e>
            <m:r>
              <m:t>t</m:t>
            </m:r>
          </m:e>
          <m:sup>
            <m:r>
              <m:t>3</m:t>
            </m:r>
          </m:sup>
        </m:sSup>
      </m:oMath>
      <w:r>
        <w:t xml:space="preserve">, is positive. Setting</w:t>
      </w:r>
      <w:r>
        <w:t xml:space="preserve"> </w:t>
      </w:r>
      <m:oMath>
        <m:r>
          <m:rPr>
            <m:sty m:val="p"/>
          </m:rPr>
          <m:t>∂</m:t>
        </m:r>
        <m:r>
          <m:t>C</m:t>
        </m:r>
        <m:r>
          <m:rPr>
            <m:sty m:val="p"/>
          </m:rPr>
          <m:t>/</m:t>
        </m:r>
        <m:r>
          <m:rPr>
            <m:sty m:val="p"/>
          </m:rPr>
          <m:t>∂</m:t>
        </m:r>
        <m:r>
          <m:t>t</m:t>
        </m:r>
        <m:r>
          <m:rPr>
            <m:sty m:val="p"/>
          </m:rPr>
          <m:t>=</m:t>
        </m:r>
        <m:r>
          <m:t>c</m:t>
        </m:r>
        <m:r>
          <m:t>γ</m:t>
        </m:r>
        <m:r>
          <m:rPr>
            <m:sty m:val="p"/>
          </m:rPr>
          <m:t>/</m:t>
        </m:r>
        <m:r>
          <m:t>2</m:t>
        </m:r>
        <m:r>
          <m:rPr>
            <m:sty m:val="p"/>
          </m:rPr>
          <m:t>−</m:t>
        </m:r>
        <m:d>
          <m:dPr>
            <m:begChr m:val="["/>
            <m:sepChr m:val=""/>
            <m:endChr m:val="]"/>
            <m:grow/>
          </m:dPr>
          <m:e>
            <m:r>
              <m:t>K</m:t>
            </m:r>
            <m:d>
              <m:dPr>
                <m:begChr m:val="("/>
                <m:sepChr m:val=""/>
                <m:endChr m:val=")"/>
                <m:grow/>
              </m:dPr>
              <m:e>
                <m:r>
                  <m:t>F</m:t>
                </m:r>
              </m:e>
            </m:d>
            <m:r>
              <m:rPr>
                <m:sty m:val="p"/>
              </m:rPr>
              <m:t>+</m:t>
            </m:r>
            <m:r>
              <m:t>σ</m:t>
            </m:r>
            <m:r>
              <m:t>φ</m:t>
            </m:r>
            <m:d>
              <m:dPr>
                <m:begChr m:val="("/>
                <m:sepChr m:val=""/>
                <m:endChr m:val=")"/>
                <m:grow/>
              </m:dPr>
              <m:e>
                <m:r>
                  <m:t>F</m:t>
                </m:r>
              </m:e>
            </m:d>
          </m:e>
        </m:d>
        <m:r>
          <m:rPr>
            <m:sty m:val="p"/>
          </m:rPr>
          <m:t>/</m:t>
        </m:r>
        <m:sSup>
          <m:e>
            <m:r>
              <m:t>t</m:t>
            </m:r>
          </m:e>
          <m:sup>
            <m:r>
              <m:t>2</m:t>
            </m:r>
          </m:sup>
        </m:sSup>
      </m:oMath>
      <w:r>
        <w:t xml:space="preserve"> </w:t>
      </w:r>
      <w:r>
        <w:t xml:space="preserve">to zero gives</w:t>
      </w:r>
      <w:r>
        <w:t xml:space="preserve"> </w:t>
      </w:r>
      <m:oMath>
        <m:sSup>
          <m:e>
            <m:r>
              <m:t>t</m:t>
            </m:r>
          </m:e>
          <m:sup>
            <m:r>
              <m:rPr>
                <m:sty m:val="p"/>
              </m:rPr>
              <m:t>∘</m:t>
            </m:r>
          </m:sup>
        </m:sSup>
        <m:d>
          <m:dPr>
            <m:begChr m:val="("/>
            <m:sepChr m:val=""/>
            <m:endChr m:val=")"/>
            <m:grow/>
          </m:dPr>
          <m:e>
            <m:r>
              <m:t>F</m:t>
            </m:r>
          </m:e>
        </m:d>
      </m:oMath>
      <w:r>
        <w:t xml:space="preserve">. Substituting back gives</w:t>
      </w:r>
      <w:r>
        <w:t xml:space="preserve"> </w:t>
      </w:r>
      <m:oMath>
        <m:sSup>
          <m:e>
            <m:r>
              <m:t>C</m:t>
            </m:r>
          </m:e>
          <m:sup>
            <m:r>
              <m:rPr>
                <m:sty m:val="p"/>
              </m:rPr>
              <m:t>∘</m:t>
            </m:r>
          </m:sup>
        </m:sSup>
        <m:d>
          <m:dPr>
            <m:begChr m:val="("/>
            <m:sepChr m:val=""/>
            <m:endChr m:val=")"/>
            <m:grow/>
          </m:dPr>
          <m:e>
            <m:r>
              <m:t>F</m:t>
            </m:r>
          </m:e>
        </m:d>
      </m:oMath>
      <w:r>
        <w:t xml:space="preserve">.</w:t>
      </w:r>
      <w:r>
        <w:t xml:space="preserve"> </w:t>
      </w:r>
      <m:oMath>
        <m:r>
          <m:rPr>
            <m:sty m:val="p"/>
          </m:rPr>
          <m:t>◼</m:t>
        </m:r>
      </m:oMath>
    </w:p>
    <w:p>
      <w:pPr>
        <w:pStyle w:val="BodyText"/>
      </w:pPr>
      <w:r>
        <w:rPr>
          <w:bCs/>
          <w:b/>
        </w:rPr>
        <w:t xml:space="preserve">Proof of Lemma 2.</w:t>
      </w:r>
      <w:r>
        <w:t xml:space="preserve"> </w:t>
      </w:r>
      <w:r>
        <w:t xml:space="preserve">By (6),</w:t>
      </w:r>
      <w:r>
        <w:t xml:space="preserve"> </w:t>
      </w:r>
      <m:oMath>
        <m:sSup>
          <m:e>
            <m:r>
              <m:t>t</m:t>
            </m:r>
          </m:e>
          <m:sup>
            <m:r>
              <m:rPr>
                <m:sty m:val="p"/>
              </m:rPr>
              <m:t>∘</m:t>
            </m:r>
          </m:sup>
        </m:sSup>
      </m:oMath>
      <w:r>
        <w:t xml:space="preserve"> </w:t>
      </w:r>
      <w:r>
        <w:t xml:space="preserve">is increasing in</w:t>
      </w:r>
      <w:r>
        <w:t xml:space="preserve"> </w:t>
      </w:r>
      <m:oMath>
        <m:r>
          <m:t>K</m:t>
        </m:r>
        <m:r>
          <m:rPr>
            <m:sty m:val="p"/>
          </m:rPr>
          <m:t>+</m:t>
        </m:r>
        <m:r>
          <m:t>σ</m:t>
        </m:r>
        <m:r>
          <m:t>φ</m:t>
        </m:r>
        <m:d>
          <m:dPr>
            <m:begChr m:val="("/>
            <m:sepChr m:val=""/>
            <m:endChr m:val=")"/>
            <m:grow/>
          </m:dPr>
          <m:e>
            <m:r>
              <m:t>F</m:t>
            </m:r>
          </m:e>
        </m:d>
      </m:oMath>
      <w:r>
        <w:t xml:space="preserve">. With</w:t>
      </w:r>
      <w:r>
        <w:t xml:space="preserve"> </w:t>
      </w:r>
      <m:oMath>
        <m:r>
          <m:t>K</m:t>
        </m:r>
      </m:oMath>
      <w:r>
        <w:t xml:space="preserve"> </w:t>
      </w:r>
      <w:r>
        <w:t xml:space="preserve">fixed and</w:t>
      </w:r>
      <w:r>
        <w:t xml:space="preserve"> </w:t>
      </w:r>
      <m:oMath>
        <m:r>
          <m:t>φ</m:t>
        </m:r>
      </m:oMath>
      <w:r>
        <w:t xml:space="preserve"> </w:t>
      </w:r>
      <w:r>
        <w:t xml:space="preserve">increasing,</w:t>
      </w:r>
      <w:r>
        <w:t xml:space="preserve"> </w:t>
      </w:r>
      <m:oMath>
        <m:r>
          <m:t>φ</m:t>
        </m:r>
        <m:d>
          <m:dPr>
            <m:begChr m:val="("/>
            <m:sepChr m:val=""/>
            <m:endChr m:val=")"/>
            <m:grow/>
          </m:dPr>
          <m:e>
            <m:sSub>
              <m:e>
                <m:r>
                  <m:t>F</m:t>
                </m:r>
              </m:e>
              <m:sub>
                <m:r>
                  <m:t>1</m:t>
                </m:r>
              </m:sub>
            </m:sSub>
          </m:e>
        </m:d>
        <m:r>
          <m:rPr>
            <m:sty m:val="p"/>
          </m:rPr>
          <m:t>&lt;</m:t>
        </m:r>
        <m:r>
          <m:t>φ</m:t>
        </m:r>
        <m:d>
          <m:dPr>
            <m:begChr m:val="("/>
            <m:sepChr m:val=""/>
            <m:endChr m:val=")"/>
            <m:grow/>
          </m:dPr>
          <m:e>
            <m:sSub>
              <m:e>
                <m:r>
                  <m:t>F</m:t>
                </m:r>
              </m:e>
              <m:sub>
                <m:r>
                  <m:t>2</m:t>
                </m:r>
              </m:sub>
            </m:sSub>
          </m:e>
        </m:d>
      </m:oMath>
      <w:r>
        <w:t xml:space="preserve"> </w:t>
      </w:r>
      <w:r>
        <w:t xml:space="preserve">implies</w:t>
      </w:r>
      <w:r>
        <w:t xml:space="preserve"> </w:t>
      </w:r>
      <m:oMath>
        <m:sSup>
          <m:e>
            <m:r>
              <m:t>t</m:t>
            </m:r>
          </m:e>
          <m:sup>
            <m:r>
              <m:rPr>
                <m:sty m:val="p"/>
              </m:rPr>
              <m:t>∘</m:t>
            </m:r>
          </m:sup>
        </m:sSup>
        <m:d>
          <m:dPr>
            <m:begChr m:val="("/>
            <m:sepChr m:val=""/>
            <m:endChr m:val=")"/>
            <m:grow/>
          </m:dPr>
          <m:e>
            <m:sSub>
              <m:e>
                <m:r>
                  <m:t>F</m:t>
                </m:r>
              </m:e>
              <m:sub>
                <m:r>
                  <m:t>1</m:t>
                </m:r>
              </m:sub>
            </m:sSub>
          </m:e>
        </m:d>
        <m:r>
          <m:rPr>
            <m:sty m:val="p"/>
          </m:rPr>
          <m:t>&lt;</m:t>
        </m:r>
        <m:sSup>
          <m:e>
            <m:r>
              <m:t>t</m:t>
            </m:r>
          </m:e>
          <m:sup>
            <m:r>
              <m:rPr>
                <m:sty m:val="p"/>
              </m:rPr>
              <m:t>∘</m:t>
            </m:r>
          </m:sup>
        </m:sSup>
        <m:d>
          <m:dPr>
            <m:begChr m:val="("/>
            <m:sepChr m:val=""/>
            <m:endChr m:val=")"/>
            <m:grow/>
          </m:dPr>
          <m:e>
            <m:sSub>
              <m:e>
                <m:r>
                  <m:t>F</m:t>
                </m:r>
              </m:e>
              <m:sub>
                <m:r>
                  <m:t>2</m:t>
                </m:r>
              </m:sub>
            </m:sSub>
          </m:e>
        </m:d>
      </m:oMath>
      <w:r>
        <w:t xml:space="preserve">.</w:t>
      </w:r>
      <w:r>
        <w:t xml:space="preserve"> </w:t>
      </w:r>
      <m:oMath>
        <m:r>
          <m:rPr>
            <m:sty m:val="p"/>
          </m:rPr>
          <m:t>◼</m:t>
        </m:r>
      </m:oMath>
    </w:p>
    <w:p>
      <w:pPr>
        <w:pStyle w:val="BodyText"/>
      </w:pPr>
      <w:r>
        <w:rPr>
          <w:bCs/>
          <w:b/>
        </w:rPr>
        <w:t xml:space="preserve">Proof of Proposition 1.</w:t>
      </w:r>
      <w:r>
        <w:t xml:space="preserve"> </w:t>
      </w:r>
      <w:r>
        <w:t xml:space="preserve">Collecting terms in (3) and (4) that depend on</w:t>
      </w:r>
      <w:r>
        <w:t xml:space="preserve"> </w:t>
      </w:r>
      <m:oMath>
        <m:r>
          <m:t>t</m:t>
        </m:r>
      </m:oMath>
      <w:r>
        <w:t xml:space="preserve">,</w:t>
      </w:r>
    </w:p>
    <w:p>
      <w:pPr>
        <w:pStyle w:val="BodyText"/>
      </w:pPr>
      <m:oMathPara>
        <m:oMathParaPr>
          <m:jc m:val="center"/>
        </m:oMathParaPr>
        <m:oMath>
          <m:r>
            <m:t>Π</m:t>
          </m:r>
          <m:r>
            <m:rPr>
              <m:sty m:val="p"/>
            </m:rPr>
            <m:t>=</m:t>
          </m:r>
          <m:sSub>
            <m:e>
              <m:r>
                <m:t>A</m:t>
              </m:r>
            </m:e>
            <m:sub>
              <m:r>
                <m:t>P</m:t>
              </m:r>
            </m:sub>
          </m:sSub>
          <m:r>
            <m:rPr>
              <m:sty m:val="p"/>
            </m:rPr>
            <m:t>−</m:t>
          </m:r>
          <m:f>
            <m:fPr>
              <m:type m:val="bar"/>
            </m:fPr>
            <m:num>
              <m:r>
                <m:t>Q</m:t>
              </m:r>
              <m:r>
                <m:t>a</m:t>
              </m:r>
              <m:r>
                <m:t>γ</m:t>
              </m:r>
              <m:r>
                <m:t>t</m:t>
              </m:r>
            </m:num>
            <m:den>
              <m:r>
                <m:t>2</m:t>
              </m:r>
            </m:den>
          </m:f>
          <m:r>
            <m:rPr>
              <m:sty m:val="p"/>
            </m:rPr>
            <m:t>−</m:t>
          </m:r>
          <m:f>
            <m:fPr>
              <m:type m:val="bar"/>
            </m:fPr>
            <m:num>
              <m:r>
                <m:t>K</m:t>
              </m:r>
              <m:d>
                <m:dPr>
                  <m:begChr m:val="("/>
                  <m:sepChr m:val=""/>
                  <m:endChr m:val=")"/>
                  <m:grow/>
                </m:dPr>
                <m:e>
                  <m:r>
                    <m:t>F</m:t>
                  </m:r>
                </m:e>
              </m:d>
              <m:r>
                <m:rPr>
                  <m:sty m:val="p"/>
                </m:rPr>
                <m:t>+</m:t>
              </m:r>
              <m:r>
                <m:t>Q</m:t>
              </m:r>
              <m:sSub>
                <m:e>
                  <m:r>
                    <m:t>σ</m:t>
                  </m:r>
                </m:e>
                <m:sub>
                  <m:r>
                    <m:t>m</m:t>
                  </m:r>
                </m:sub>
              </m:sSub>
              <m:r>
                <m:t>φ</m:t>
              </m:r>
              <m:d>
                <m:dPr>
                  <m:begChr m:val="("/>
                  <m:sepChr m:val=""/>
                  <m:endChr m:val=")"/>
                  <m:grow/>
                </m:dPr>
                <m:e>
                  <m:r>
                    <m:t>F</m:t>
                  </m:r>
                </m:e>
              </m:d>
            </m:num>
            <m:den>
              <m:r>
                <m:t>t</m:t>
              </m:r>
            </m:den>
          </m:f>
          <m:r>
            <m:rPr>
              <m:sty m:val="p"/>
            </m:rPr>
            <m:t>,</m:t>
          </m:r>
          <m:r>
            <m:t>  </m:t>
          </m:r>
          <m:r>
            <m:t>W</m:t>
          </m:r>
          <m:r>
            <m:rPr>
              <m:sty m:val="p"/>
            </m:rPr>
            <m:t>=</m:t>
          </m:r>
          <m:sSub>
            <m:e>
              <m:r>
                <m:t>A</m:t>
              </m:r>
            </m:e>
            <m:sub>
              <m:r>
                <m:t>W</m:t>
              </m:r>
            </m:sub>
          </m:sSub>
          <m:r>
            <m:rPr>
              <m:sty m:val="p"/>
            </m:rPr>
            <m:t>−</m:t>
          </m:r>
          <m:f>
            <m:fPr>
              <m:type m:val="bar"/>
            </m:fPr>
            <m:num>
              <m:r>
                <m:t>Q</m:t>
              </m:r>
              <m:r>
                <m:t>a</m:t>
              </m:r>
              <m:r>
                <m:t>γ</m:t>
              </m:r>
              <m:r>
                <m:t>t</m:t>
              </m:r>
            </m:num>
            <m:den>
              <m:r>
                <m:t>2</m:t>
              </m:r>
            </m:den>
          </m:f>
          <m:r>
            <m:rPr>
              <m:sty m:val="p"/>
            </m:rPr>
            <m:t>−</m:t>
          </m:r>
          <m:f>
            <m:fPr>
              <m:type m:val="bar"/>
            </m:fPr>
            <m:num>
              <m:r>
                <m:t>K</m:t>
              </m:r>
              <m:d>
                <m:dPr>
                  <m:begChr m:val="("/>
                  <m:sepChr m:val=""/>
                  <m:endChr m:val=")"/>
                  <m:grow/>
                </m:dPr>
                <m:e>
                  <m:r>
                    <m:t>F</m:t>
                  </m:r>
                </m:e>
              </m:d>
              <m:r>
                <m:rPr>
                  <m:sty m:val="p"/>
                </m:rPr>
                <m:t>+</m:t>
              </m:r>
              <m:r>
                <m:t>Q</m:t>
              </m:r>
              <m:acc>
                <m:accPr>
                  <m:chr m:val="‾"/>
                </m:accPr>
                <m:e>
                  <m:r>
                    <m:t>σ</m:t>
                  </m:r>
                </m:e>
              </m:acc>
              <m:r>
                <m:t>φ</m:t>
              </m:r>
              <m:d>
                <m:dPr>
                  <m:begChr m:val="("/>
                  <m:sepChr m:val=""/>
                  <m:endChr m:val=")"/>
                  <m:grow/>
                </m:dPr>
                <m:e>
                  <m:r>
                    <m:t>F</m:t>
                  </m:r>
                </m:e>
              </m:d>
            </m:num>
            <m:den>
              <m:r>
                <m:t>t</m:t>
              </m:r>
            </m:den>
          </m:f>
          <m:r>
            <m:rPr>
              <m:sty m:val="p"/>
            </m:rPr>
            <m:t>,</m:t>
          </m:r>
        </m:oMath>
      </m:oMathPara>
    </w:p>
    <w:p>
      <w:pPr>
        <w:pStyle w:val="FirstParagraph"/>
      </w:pPr>
      <w:r>
        <w:t xml:space="preserve">where</w:t>
      </w:r>
      <w:r>
        <w:t xml:space="preserve"> </w:t>
      </w:r>
      <m:oMath>
        <m:sSub>
          <m:e>
            <m:r>
              <m:t>A</m:t>
            </m:r>
          </m:e>
          <m:sub>
            <m:r>
              <m:t>P</m:t>
            </m:r>
          </m:sub>
        </m:sSub>
      </m:oMath>
      <w:r>
        <w:t xml:space="preserve"> </w:t>
      </w:r>
      <w:r>
        <w:t xml:space="preserve">and</w:t>
      </w:r>
      <w:r>
        <w:t xml:space="preserve"> </w:t>
      </w:r>
      <m:oMath>
        <m:sSub>
          <m:e>
            <m:r>
              <m:t>A</m:t>
            </m:r>
          </m:e>
          <m:sub>
            <m:r>
              <m:t>W</m:t>
            </m:r>
          </m:sub>
        </m:sSub>
      </m:oMath>
      <w:r>
        <w:t xml:space="preserve"> </w:t>
      </w:r>
      <w:r>
        <w:t xml:space="preserve">do not depend on</w:t>
      </w:r>
      <w:r>
        <w:t xml:space="preserve"> </w:t>
      </w:r>
      <m:oMath>
        <m:r>
          <m:t>t</m:t>
        </m:r>
      </m:oMath>
      <w:r>
        <w:t xml:space="preserve">. Each is strictly concave in</w:t>
      </w:r>
      <w:r>
        <w:t xml:space="preserve"> </w:t>
      </w:r>
      <m:oMath>
        <m:r>
          <m:t>t</m:t>
        </m:r>
      </m:oMath>
      <w:r>
        <w:t xml:space="preserve">, and the first-order conditions give (7). Both intervals are increasing in the coefficient on</w:t>
      </w:r>
      <w:r>
        <w:t xml:space="preserve"> </w:t>
      </w:r>
      <m:oMath>
        <m:r>
          <m:t>1</m:t>
        </m:r>
        <m:r>
          <m:rPr>
            <m:sty m:val="p"/>
          </m:rPr>
          <m:t>/</m:t>
        </m:r>
        <m:r>
          <m:t>t</m:t>
        </m:r>
      </m:oMath>
      <w:r>
        <w:t xml:space="preserve">, so</w:t>
      </w:r>
      <w:r>
        <w:t xml:space="preserve"> </w:t>
      </w:r>
      <m:oMath>
        <m:sSub>
          <m:e>
            <m:r>
              <m:t>t</m:t>
            </m:r>
          </m:e>
          <m:sub>
            <m:r>
              <m:t>P</m:t>
            </m:r>
          </m:sub>
        </m:sSub>
        <m:r>
          <m:rPr>
            <m:sty m:val="p"/>
          </m:rPr>
          <m:t>&lt;</m:t>
        </m:r>
        <m:sSub>
          <m:e>
            <m:r>
              <m:t>t</m:t>
            </m:r>
          </m:e>
          <m:sub>
            <m:r>
              <m:t>W</m:t>
            </m:r>
          </m:sub>
        </m:sSub>
      </m:oMath>
      <w:r>
        <w:t xml:space="preserve"> </w:t>
      </w:r>
      <w:r>
        <w:t xml:space="preserve">if and only if</w:t>
      </w:r>
      <w:r>
        <w:t xml:space="preserve"> </w:t>
      </w:r>
      <m:oMath>
        <m:sSub>
          <m:e>
            <m:r>
              <m:t>σ</m:t>
            </m:r>
          </m:e>
          <m:sub>
            <m:r>
              <m:t>m</m:t>
            </m:r>
          </m:sub>
        </m:sSub>
        <m:r>
          <m:rPr>
            <m:sty m:val="p"/>
          </m:rPr>
          <m:t>&lt;</m:t>
        </m:r>
        <m:acc>
          <m:accPr>
            <m:chr m:val="‾"/>
          </m:accPr>
          <m:e>
            <m:r>
              <m:t>σ</m:t>
            </m:r>
          </m:e>
        </m:acc>
      </m:oMath>
      <w:r>
        <w:t xml:space="preserve">. If</w:t>
      </w:r>
      <w:r>
        <w:t xml:space="preserve"> </w:t>
      </w:r>
      <m:oMath>
        <m:r>
          <m:t>σ</m:t>
        </m:r>
      </m:oMath>
      <w:r>
        <w:t xml:space="preserve"> </w:t>
      </w:r>
      <w:r>
        <w:t xml:space="preserve">is increasing,</w:t>
      </w:r>
      <w:r>
        <w:t xml:space="preserve"> </w:t>
      </w:r>
      <m:oMath>
        <m:r>
          <m:t>σ</m:t>
        </m:r>
        <m:d>
          <m:dPr>
            <m:begChr m:val="("/>
            <m:sepChr m:val=""/>
            <m:endChr m:val=")"/>
            <m:grow/>
          </m:dPr>
          <m:e>
            <m:r>
              <m:t>θ</m:t>
            </m:r>
          </m:e>
        </m:d>
        <m:r>
          <m:rPr>
            <m:sty m:val="p"/>
          </m:rPr>
          <m:t>&gt;</m:t>
        </m:r>
        <m:r>
          <m:t>σ</m:t>
        </m:r>
        <m:d>
          <m:dPr>
            <m:begChr m:val="("/>
            <m:sepChr m:val=""/>
            <m:endChr m:val=")"/>
            <m:grow/>
          </m:dPr>
          <m:e>
            <m:sSup>
              <m:e>
                <m:r>
                  <m:t>θ</m:t>
                </m:r>
              </m:e>
              <m:sup>
                <m:r>
                  <m:rPr>
                    <m:sty m:val="p"/>
                  </m:rPr>
                  <m:t>*</m:t>
                </m:r>
              </m:sup>
            </m:sSup>
          </m:e>
        </m:d>
      </m:oMath>
      <w:r>
        <w:t xml:space="preserve"> </w:t>
      </w:r>
      <w:r>
        <w:t xml:space="preserve">for every</w:t>
      </w:r>
      <w:r>
        <w:t xml:space="preserve"> </w:t>
      </w:r>
      <m:oMath>
        <m:r>
          <m:t>θ</m:t>
        </m:r>
        <m:r>
          <m:rPr>
            <m:sty m:val="p"/>
          </m:rPr>
          <m:t>&gt;</m:t>
        </m:r>
        <m:sSup>
          <m:e>
            <m:r>
              <m:t>θ</m:t>
            </m:r>
          </m:e>
          <m:sup>
            <m:r>
              <m:rPr>
                <m:sty m:val="p"/>
              </m:rPr>
              <m:t>*</m:t>
            </m:r>
          </m:sup>
        </m:sSup>
      </m:oMath>
      <w:r>
        <w:t xml:space="preserve">, so</w:t>
      </w:r>
      <w:r>
        <w:t xml:space="preserve"> </w:t>
      </w:r>
      <m:oMath>
        <m:acc>
          <m:accPr>
            <m:chr m:val="‾"/>
          </m:accPr>
          <m:e>
            <m:r>
              <m:t>σ</m:t>
            </m:r>
          </m:e>
        </m:acc>
        <m:r>
          <m:rPr>
            <m:sty m:val="p"/>
          </m:rPr>
          <m:t>&gt;</m:t>
        </m:r>
        <m:sSub>
          <m:e>
            <m:r>
              <m:t>σ</m:t>
            </m:r>
          </m:e>
          <m:sub>
            <m:r>
              <m:t>m</m:t>
            </m:r>
          </m:sub>
        </m:sSub>
      </m:oMath>
      <w:r>
        <w:t xml:space="preserve">. If</w:t>
      </w:r>
      <w:r>
        <w:t xml:space="preserve"> </w:t>
      </w:r>
      <m:oMath>
        <m:r>
          <m:t>σ</m:t>
        </m:r>
      </m:oMath>
      <w:r>
        <w:t xml:space="preserve"> </w:t>
      </w:r>
      <w:r>
        <w:t xml:space="preserve">is decreasing, the inequality reverses.</w:t>
      </w:r>
      <w:r>
        <w:t xml:space="preserve"> </w:t>
      </w:r>
      <m:oMath>
        <m:r>
          <m:rPr>
            <m:sty m:val="p"/>
          </m:rPr>
          <m:t>◼</m:t>
        </m:r>
      </m:oMath>
    </w:p>
    <w:p>
      <w:pPr>
        <w:pStyle w:val="BodyText"/>
      </w:pPr>
      <w:r>
        <w:rPr>
          <w:bCs/>
          <w:b/>
        </w:rPr>
        <w:t xml:space="preserve">Proof of Proposition 2.</w:t>
      </w:r>
      <w:r>
        <w:t xml:space="preserve"> </w:t>
      </w:r>
      <w:r>
        <w:t xml:space="preserve">With</w:t>
      </w:r>
      <w:r>
        <w:t xml:space="preserve"> </w:t>
      </w:r>
      <m:oMath>
        <m:sSup>
          <m:e>
            <m:r>
              <m:t>θ</m:t>
            </m:r>
          </m:e>
          <m:sup>
            <m:r>
              <m:rPr>
                <m:sty m:val="p"/>
              </m:rPr>
              <m:t>*</m:t>
            </m:r>
          </m:sup>
        </m:sSup>
      </m:oMath>
      <w:r>
        <w:t xml:space="preserve"> </w:t>
      </w:r>
      <w:r>
        <w:t xml:space="preserve">and</w:t>
      </w:r>
      <w:r>
        <w:t xml:space="preserve"> </w:t>
      </w:r>
      <m:oMath>
        <m:r>
          <m:t>t</m:t>
        </m:r>
      </m:oMath>
      <w:r>
        <w:t xml:space="preserve"> </w:t>
      </w:r>
      <w:r>
        <w:t xml:space="preserve">fixed, write the objective with weight</w:t>
      </w:r>
      <w:r>
        <w:t xml:space="preserve"> </w:t>
      </w:r>
      <m:oMath>
        <m:r>
          <m:t>s</m:t>
        </m:r>
      </m:oMath>
      <w:r>
        <w:t xml:space="preserve"> </w:t>
      </w:r>
      <w:r>
        <w:t xml:space="preserve">on migration costs as</w:t>
      </w:r>
      <w:r>
        <w:t xml:space="preserve"> </w:t>
      </w:r>
      <m:oMath>
        <m:r>
          <m:t>h</m:t>
        </m:r>
        <m:d>
          <m:dPr>
            <m:begChr m:val="("/>
            <m:sepChr m:val=""/>
            <m:endChr m:val=")"/>
            <m:grow/>
          </m:dPr>
          <m:e>
            <m:r>
              <m:t>F</m:t>
            </m:r>
            <m:r>
              <m:rPr>
                <m:sty m:val="p"/>
              </m:rPr>
              <m:t>;</m:t>
            </m:r>
            <m:r>
              <m:t>s</m:t>
            </m:r>
          </m:e>
        </m:d>
        <m:r>
          <m:rPr>
            <m:sty m:val="p"/>
          </m:rPr>
          <m:t>=</m:t>
        </m:r>
        <m:r>
          <m:rPr>
            <m:sty m:val="p"/>
          </m:rPr>
          <m:t>−</m:t>
        </m:r>
        <m:r>
          <m:t>Q</m:t>
        </m:r>
        <m:r>
          <m:t>a</m:t>
        </m:r>
        <m:r>
          <m:t>F</m:t>
        </m:r>
        <m:r>
          <m:rPr>
            <m:sty m:val="p"/>
          </m:rPr>
          <m:t>−</m:t>
        </m:r>
        <m:d>
          <m:dPr>
            <m:begChr m:val="["/>
            <m:sepChr m:val=""/>
            <m:endChr m:val="]"/>
            <m:grow/>
          </m:dPr>
          <m:e>
            <m:r>
              <m:t>K</m:t>
            </m:r>
            <m:d>
              <m:dPr>
                <m:begChr m:val="("/>
                <m:sepChr m:val=""/>
                <m:endChr m:val=")"/>
                <m:grow/>
              </m:dPr>
              <m:e>
                <m:r>
                  <m:t>F</m:t>
                </m:r>
              </m:e>
            </m:d>
            <m:r>
              <m:rPr>
                <m:sty m:val="p"/>
              </m:rPr>
              <m:t>+</m:t>
            </m:r>
            <m:r>
              <m:t>Q</m:t>
            </m:r>
            <m:r>
              <m:t>s</m:t>
            </m:r>
            <m:r>
              <m:t>φ</m:t>
            </m:r>
            <m:d>
              <m:dPr>
                <m:begChr m:val="("/>
                <m:sepChr m:val=""/>
                <m:endChr m:val=")"/>
                <m:grow/>
              </m:dPr>
              <m:e>
                <m:r>
                  <m:t>F</m:t>
                </m:r>
              </m:e>
            </m:d>
          </m:e>
        </m:d>
        <m:r>
          <m:rPr>
            <m:sty m:val="p"/>
          </m:rPr>
          <m:t>/</m:t>
        </m:r>
        <m:r>
          <m:t>t</m:t>
        </m:r>
      </m:oMath>
      <w:r>
        <w:t xml:space="preserve"> </w:t>
      </w:r>
      <w:r>
        <w:t xml:space="preserve">plus terms independent of</w:t>
      </w:r>
      <w:r>
        <w:t xml:space="preserve"> </w:t>
      </w:r>
      <m:oMath>
        <m:r>
          <m:t>F</m:t>
        </m:r>
      </m:oMath>
      <w:r>
        <w:t xml:space="preserve">;</w:t>
      </w:r>
      <w:r>
        <w:t xml:space="preserve"> </w:t>
      </w:r>
      <m:oMath>
        <m:r>
          <m:t>s</m:t>
        </m:r>
        <m:r>
          <m:rPr>
            <m:sty m:val="p"/>
          </m:rPr>
          <m:t>=</m:t>
        </m:r>
        <m:sSub>
          <m:e>
            <m:r>
              <m:t>σ</m:t>
            </m:r>
          </m:e>
          <m:sub>
            <m:r>
              <m:t>m</m:t>
            </m:r>
          </m:sub>
        </m:sSub>
      </m:oMath>
      <w:r>
        <w:t xml:space="preserve"> </w:t>
      </w:r>
      <w:r>
        <w:t xml:space="preserve">gives profit and</w:t>
      </w:r>
      <w:r>
        <w:t xml:space="preserve"> </w:t>
      </w:r>
      <m:oMath>
        <m:r>
          <m:t>s</m:t>
        </m:r>
        <m:r>
          <m:rPr>
            <m:sty m:val="p"/>
          </m:rPr>
          <m:t>=</m:t>
        </m:r>
        <m:acc>
          <m:accPr>
            <m:chr m:val="‾"/>
          </m:accPr>
          <m:e>
            <m:r>
              <m:t>σ</m:t>
            </m:r>
          </m:e>
        </m:acc>
      </m:oMath>
      <w:r>
        <w:t xml:space="preserve"> </w:t>
      </w:r>
      <w:r>
        <w:t xml:space="preserve">gives welfare. Then</w:t>
      </w:r>
      <w:r>
        <w:t xml:space="preserve"> </w:t>
      </w:r>
      <m:oMath>
        <m:sSub>
          <m:e>
            <m:r>
              <m:t>h</m:t>
            </m:r>
          </m:e>
          <m:sub>
            <m:r>
              <m:t>F</m:t>
            </m:r>
            <m:r>
              <m:t>F</m:t>
            </m:r>
          </m:sub>
        </m:sSub>
        <m:r>
          <m:rPr>
            <m:sty m:val="p"/>
          </m:rPr>
          <m:t>=</m:t>
        </m:r>
        <m:r>
          <m:rPr>
            <m:sty m:val="p"/>
          </m:rPr>
          <m:t>−</m:t>
        </m:r>
        <m:d>
          <m:dPr>
            <m:begChr m:val="["/>
            <m:sepChr m:val=""/>
            <m:endChr m:val="]"/>
            <m:grow/>
          </m:dPr>
          <m:e>
            <m:r>
              <m:t>K</m:t>
            </m:r>
            <m:r>
              <m:rPr>
                <m:sty m:val="p"/>
              </m:rPr>
              <m:t>″</m:t>
            </m:r>
            <m:d>
              <m:dPr>
                <m:begChr m:val="("/>
                <m:sepChr m:val=""/>
                <m:endChr m:val=")"/>
                <m:grow/>
              </m:dPr>
              <m:e>
                <m:r>
                  <m:t>F</m:t>
                </m:r>
              </m:e>
            </m:d>
            <m:r>
              <m:rPr>
                <m:sty m:val="p"/>
              </m:rPr>
              <m:t>+</m:t>
            </m:r>
            <m:r>
              <m:t>Q</m:t>
            </m:r>
            <m:r>
              <m:t>s</m:t>
            </m:r>
            <m:r>
              <m:t>φ</m:t>
            </m:r>
            <m:r>
              <m:rPr>
                <m:sty m:val="p"/>
              </m:rPr>
              <m:t>″</m:t>
            </m:r>
            <m:d>
              <m:dPr>
                <m:begChr m:val="("/>
                <m:sepChr m:val=""/>
                <m:endChr m:val=")"/>
                <m:grow/>
              </m:dPr>
              <m:e>
                <m:r>
                  <m:t>F</m:t>
                </m:r>
              </m:e>
            </m:d>
          </m:e>
        </m:d>
        <m:r>
          <m:rPr>
            <m:sty m:val="p"/>
          </m:rPr>
          <m:t>/</m:t>
        </m:r>
        <m:r>
          <m:t>t</m:t>
        </m:r>
        <m:r>
          <m:rPr>
            <m:sty m:val="p"/>
          </m:rPr>
          <m:t>&lt;</m:t>
        </m:r>
        <m:r>
          <m:t>0</m:t>
        </m:r>
      </m:oMath>
      <w:r>
        <w:t xml:space="preserve"> </w:t>
      </w:r>
      <w:r>
        <w:t xml:space="preserve">because</w:t>
      </w:r>
      <w:r>
        <w:t xml:space="preserve"> </w:t>
      </w:r>
      <m:oMath>
        <m:r>
          <m:t>K</m:t>
        </m:r>
      </m:oMath>
      <w:r>
        <w:t xml:space="preserve"> </w:t>
      </w:r>
      <w:r>
        <w:t xml:space="preserve">is strictly convex and</w:t>
      </w:r>
      <w:r>
        <w:t xml:space="preserve"> </w:t>
      </w:r>
      <m:oMath>
        <m:r>
          <m:t>φ</m:t>
        </m:r>
      </m:oMath>
      <w:r>
        <w:t xml:space="preserve"> </w:t>
      </w:r>
      <w:r>
        <w:t xml:space="preserve">is convex, so</w:t>
      </w:r>
      <w:r>
        <w:t xml:space="preserve"> </w:t>
      </w:r>
      <m:oMath>
        <m:r>
          <m:t>h</m:t>
        </m:r>
      </m:oMath>
      <w:r>
        <w:t xml:space="preserve"> </w:t>
      </w:r>
      <w:r>
        <w:t xml:space="preserve">is strictly concave, and the first-order condition gives (8). Moreover</w:t>
      </w:r>
      <w:r>
        <w:t xml:space="preserve"> </w:t>
      </w:r>
      <m:oMath>
        <m:sSub>
          <m:e>
            <m:r>
              <m:t>h</m:t>
            </m:r>
          </m:e>
          <m:sub>
            <m:r>
              <m:t>F</m:t>
            </m:r>
            <m:r>
              <m:t>s</m:t>
            </m:r>
          </m:sub>
        </m:sSub>
        <m:r>
          <m:rPr>
            <m:sty m:val="p"/>
          </m:rPr>
          <m:t>=</m:t>
        </m:r>
        <m:r>
          <m:rPr>
            <m:sty m:val="p"/>
          </m:rPr>
          <m:t>−</m:t>
        </m:r>
        <m:r>
          <m:t>Q</m:t>
        </m:r>
        <m:r>
          <m:t>φ</m:t>
        </m:r>
        <m:r>
          <m:rPr>
            <m:sty m:val="p"/>
          </m:rPr>
          <m:t>′</m:t>
        </m:r>
        <m:d>
          <m:dPr>
            <m:begChr m:val="("/>
            <m:sepChr m:val=""/>
            <m:endChr m:val=")"/>
            <m:grow/>
          </m:dPr>
          <m:e>
            <m:r>
              <m:t>F</m:t>
            </m:r>
          </m:e>
        </m:d>
        <m:r>
          <m:rPr>
            <m:sty m:val="p"/>
          </m:rPr>
          <m:t>/</m:t>
        </m:r>
        <m:r>
          <m:t>t</m:t>
        </m:r>
        <m:r>
          <m:rPr>
            <m:sty m:val="p"/>
          </m:rPr>
          <m:t>≤</m:t>
        </m:r>
        <m:r>
          <m:t>0</m:t>
        </m:r>
      </m:oMath>
      <w:r>
        <w:t xml:space="preserve">, so</w:t>
      </w:r>
      <w:r>
        <w:t xml:space="preserve"> </w:t>
      </w:r>
      <m:oMath>
        <m:r>
          <m:t>h</m:t>
        </m:r>
      </m:oMath>
      <w:r>
        <w:t xml:space="preserve"> </w:t>
      </w:r>
      <w:r>
        <w:t xml:space="preserve">has decreasing differences in</w:t>
      </w:r>
      <w:r>
        <w:t xml:space="preserve"> </w:t>
      </w:r>
      <m:oMath>
        <m:d>
          <m:dPr>
            <m:begChr m:val="("/>
            <m:sepChr m:val=""/>
            <m:endChr m:val=")"/>
            <m:grow/>
          </m:dPr>
          <m:e>
            <m:r>
              <m:t>F</m:t>
            </m:r>
            <m:r>
              <m:rPr>
                <m:sty m:val="p"/>
              </m:rPr>
              <m:t>,</m:t>
            </m:r>
            <m:r>
              <m:t>s</m:t>
            </m:r>
          </m:e>
        </m:d>
      </m:oMath>
      <w:r>
        <w:t xml:space="preserve"> </w:t>
      </w:r>
      <w:r>
        <w:t xml:space="preserve">and its maximizer is nonincreasing in</w:t>
      </w:r>
      <w:r>
        <w:t xml:space="preserve"> </w:t>
      </w:r>
      <m:oMath>
        <m:r>
          <m:t>s</m:t>
        </m:r>
      </m:oMath>
      <w:r>
        <w:t xml:space="preserve"> </w:t>
      </w:r>
      <w:r>
        <w:t xml:space="preserve">(Topkis 1998). At an interior optimum with</w:t>
      </w:r>
      <w:r>
        <w:t xml:space="preserve"> </w:t>
      </w:r>
      <m:oMath>
        <m:r>
          <m:t>φ</m:t>
        </m:r>
        <m:r>
          <m:rPr>
            <m:sty m:val="p"/>
          </m:rPr>
          <m:t>′</m:t>
        </m:r>
        <m:r>
          <m:rPr>
            <m:sty m:val="p"/>
          </m:rPr>
          <m:t>&gt;</m:t>
        </m:r>
        <m:r>
          <m:t>0</m:t>
        </m:r>
      </m:oMath>
      <w:r>
        <w:t xml:space="preserve">, the implicit function theorem gives</w:t>
      </w:r>
      <w:r>
        <w:t xml:space="preserve"> </w:t>
      </w:r>
      <m:oMath>
        <m:r>
          <m:t>d</m:t>
        </m:r>
        <m:r>
          <m:t>F</m:t>
        </m:r>
        <m:r>
          <m:rPr>
            <m:sty m:val="p"/>
          </m:rPr>
          <m:t>/</m:t>
        </m:r>
        <m:r>
          <m:t>d</m:t>
        </m:r>
        <m:r>
          <m:t>s</m:t>
        </m:r>
        <m:r>
          <m:rPr>
            <m:sty m:val="p"/>
          </m:rPr>
          <m:t>=</m:t>
        </m:r>
        <m:r>
          <m:rPr>
            <m:sty m:val="p"/>
          </m:rPr>
          <m:t>−</m:t>
        </m:r>
        <m:r>
          <m:t>Q</m:t>
        </m:r>
        <m:r>
          <m:t>φ</m:t>
        </m:r>
        <m:r>
          <m:rPr>
            <m:sty m:val="p"/>
          </m:rPr>
          <m:t>′</m:t>
        </m:r>
        <m:r>
          <m:rPr>
            <m:sty m:val="p"/>
          </m:rPr>
          <m:t>/</m:t>
        </m:r>
        <m:d>
          <m:dPr>
            <m:begChr m:val="("/>
            <m:sepChr m:val=""/>
            <m:endChr m:val=")"/>
            <m:grow/>
          </m:dPr>
          <m:e>
            <m:r>
              <m:t>K</m:t>
            </m:r>
            <m:r>
              <m:rPr>
                <m:sty m:val="p"/>
              </m:rPr>
              <m:t>″</m:t>
            </m:r>
            <m:r>
              <m:rPr>
                <m:sty m:val="p"/>
              </m:rPr>
              <m:t>+</m:t>
            </m:r>
            <m:r>
              <m:t>Q</m:t>
            </m:r>
            <m:r>
              <m:t>s</m:t>
            </m:r>
            <m:r>
              <m:t>φ</m:t>
            </m:r>
            <m:r>
              <m:rPr>
                <m:sty m:val="p"/>
              </m:rPr>
              <m:t>″</m:t>
            </m:r>
          </m:e>
        </m:d>
        <m:r>
          <m:rPr>
            <m:sty m:val="p"/>
          </m:rPr>
          <m:t>&lt;</m:t>
        </m:r>
        <m:r>
          <m:t>0</m:t>
        </m:r>
      </m:oMath>
      <w:r>
        <w:t xml:space="preserve">. Hence</w:t>
      </w:r>
      <w:r>
        <w:t xml:space="preserve"> </w:t>
      </w:r>
      <m:oMath>
        <m:sSub>
          <m:e>
            <m:r>
              <m:t>F</m:t>
            </m:r>
          </m:e>
          <m:sub>
            <m:r>
              <m:t>P</m:t>
            </m:r>
          </m:sub>
        </m:sSub>
        <m:r>
          <m:rPr>
            <m:sty m:val="p"/>
          </m:rPr>
          <m:t>≥</m:t>
        </m:r>
        <m:sSub>
          <m:e>
            <m:r>
              <m:t>F</m:t>
            </m:r>
          </m:e>
          <m:sub>
            <m:r>
              <m:t>W</m:t>
            </m:r>
          </m:sub>
        </m:sSub>
      </m:oMath>
      <w:r>
        <w:t xml:space="preserve">, strictly when</w:t>
      </w:r>
      <w:r>
        <w:t xml:space="preserve"> </w:t>
      </w:r>
      <m:oMath>
        <m:r>
          <m:t>φ</m:t>
        </m:r>
        <m:r>
          <m:rPr>
            <m:sty m:val="p"/>
          </m:rPr>
          <m:t>′</m:t>
        </m:r>
        <m:r>
          <m:rPr>
            <m:sty m:val="p"/>
          </m:rPr>
          <m:t>&gt;</m:t>
        </m:r>
        <m:r>
          <m:t>0</m:t>
        </m:r>
      </m:oMath>
      <w:r>
        <w:t xml:space="preserve">.</w:t>
      </w:r>
      <w:r>
        <w:t xml:space="preserve"> </w:t>
      </w:r>
      <m:oMath>
        <m:r>
          <m:rPr>
            <m:sty m:val="p"/>
          </m:rPr>
          <m:t>◼</m:t>
        </m:r>
      </m:oMath>
    </w:p>
    <w:p>
      <w:pPr>
        <w:pStyle w:val="BodyText"/>
      </w:pPr>
      <w:r>
        <w:rPr>
          <w:bCs/>
          <w:b/>
        </w:rPr>
        <w:t xml:space="preserve">Proof of Proposition 3.</w:t>
      </w:r>
      <w:r>
        <w:t xml:space="preserve"> </w:t>
      </w:r>
      <w:r>
        <w:t xml:space="preserve">The joint objective is a constant minus</w:t>
      </w:r>
      <w:r>
        <w:t xml:space="preserve"> </w:t>
      </w:r>
      <m:oMath>
        <m:r>
          <m:t>Q</m:t>
        </m:r>
        <m:r>
          <m:t>a</m:t>
        </m:r>
        <m:r>
          <m:t>F</m:t>
        </m:r>
        <m:r>
          <m:rPr>
            <m:sty m:val="p"/>
          </m:rPr>
          <m:t>+</m:t>
        </m:r>
        <m:r>
          <m:t>Q</m:t>
        </m:r>
        <m:r>
          <m:t>a</m:t>
        </m:r>
        <m:r>
          <m:t>γ</m:t>
        </m:r>
        <m:r>
          <m:t>t</m:t>
        </m:r>
        <m:r>
          <m:rPr>
            <m:sty m:val="p"/>
          </m:rPr>
          <m:t>/</m:t>
        </m:r>
        <m:r>
          <m:t>2</m:t>
        </m:r>
        <m:r>
          <m:rPr>
            <m:sty m:val="p"/>
          </m:rPr>
          <m:t>+</m:t>
        </m:r>
        <m:r>
          <m:t>H</m:t>
        </m:r>
        <m:d>
          <m:dPr>
            <m:begChr m:val="("/>
            <m:sepChr m:val=""/>
            <m:endChr m:val=")"/>
            <m:grow/>
          </m:dPr>
          <m:e>
            <m:r>
              <m:t>F</m:t>
            </m:r>
            <m:r>
              <m:rPr>
                <m:sty m:val="p"/>
              </m:rPr>
              <m:t>;</m:t>
            </m:r>
            <m:r>
              <m:t>s</m:t>
            </m:r>
          </m:e>
        </m:d>
        <m:r>
          <m:rPr>
            <m:sty m:val="p"/>
          </m:rPr>
          <m:t>/</m:t>
        </m:r>
        <m:r>
          <m:t>t</m:t>
        </m:r>
      </m:oMath>
      <w:r>
        <w:t xml:space="preserve">, with</w:t>
      </w:r>
      <w:r>
        <w:t xml:space="preserve"> </w:t>
      </w:r>
      <m:oMath>
        <m:r>
          <m:t>H</m:t>
        </m:r>
        <m:r>
          <m:rPr>
            <m:sty m:val="p"/>
          </m:rPr>
          <m:t>=</m:t>
        </m:r>
        <m:r>
          <m:t>K</m:t>
        </m:r>
        <m:r>
          <m:rPr>
            <m:sty m:val="p"/>
          </m:rPr>
          <m:t>+</m:t>
        </m:r>
        <m:r>
          <m:t>Q</m:t>
        </m:r>
        <m:r>
          <m:t>s</m:t>
        </m:r>
        <m:r>
          <m:t>φ</m:t>
        </m:r>
      </m:oMath>
      <w:r>
        <w:t xml:space="preserve">. For each</w:t>
      </w:r>
      <w:r>
        <w:t xml:space="preserve"> </w:t>
      </w:r>
      <m:oMath>
        <m:r>
          <m:t>F</m:t>
        </m:r>
      </m:oMath>
      <w:r>
        <w:t xml:space="preserve">, the maximizing</w:t>
      </w:r>
      <w:r>
        <w:t xml:space="preserve"> </w:t>
      </w:r>
      <m:oMath>
        <m:r>
          <m:t>t</m:t>
        </m:r>
      </m:oMath>
      <w:r>
        <w:t xml:space="preserve"> </w:t>
      </w:r>
      <w:r>
        <w:t xml:space="preserve">is</w:t>
      </w:r>
      <w:r>
        <w:t xml:space="preserve"> </w:t>
      </w:r>
      <m:oMath>
        <m:r>
          <m:t>t</m:t>
        </m:r>
        <m:d>
          <m:dPr>
            <m:begChr m:val="("/>
            <m:sepChr m:val=""/>
            <m:endChr m:val=")"/>
            <m:grow/>
          </m:dPr>
          <m:e>
            <m:r>
              <m:t>F</m:t>
            </m:r>
            <m:r>
              <m:rPr>
                <m:sty m:val="p"/>
              </m:rPr>
              <m:t>;</m:t>
            </m:r>
            <m:r>
              <m:t>s</m:t>
            </m:r>
          </m:e>
        </m:d>
        <m:r>
          <m:rPr>
            <m:sty m:val="p"/>
          </m:rPr>
          <m:t>=</m:t>
        </m:r>
        <m:rad>
          <m:radPr>
            <m:degHide m:val="on"/>
          </m:radPr>
          <m:deg/>
          <m:e>
            <m:r>
              <m:t>2</m:t>
            </m:r>
            <m:r>
              <m:t>H</m:t>
            </m:r>
            <m:r>
              <m:rPr>
                <m:sty m:val="p"/>
              </m:rPr>
              <m:t>/</m:t>
            </m:r>
            <m:d>
              <m:dPr>
                <m:begChr m:val="("/>
                <m:sepChr m:val=""/>
                <m:endChr m:val=")"/>
                <m:grow/>
              </m:dPr>
              <m:e>
                <m:r>
                  <m:t>Q</m:t>
                </m:r>
                <m:r>
                  <m:t>a</m:t>
                </m:r>
                <m:r>
                  <m:t>γ</m:t>
                </m:r>
              </m:e>
            </m:d>
          </m:e>
        </m:rad>
      </m:oMath>
      <w:r>
        <w:t xml:space="preserve">, and the concentrated objective is</w:t>
      </w:r>
      <w:r>
        <w:t xml:space="preserve"> </w:t>
      </w:r>
      <m:oMath>
        <m:r>
          <m:t>V</m:t>
        </m:r>
        <m:d>
          <m:dPr>
            <m:begChr m:val="("/>
            <m:sepChr m:val=""/>
            <m:endChr m:val=")"/>
            <m:grow/>
          </m:dPr>
          <m:e>
            <m:r>
              <m:t>F</m:t>
            </m:r>
            <m:r>
              <m:rPr>
                <m:sty m:val="p"/>
              </m:rPr>
              <m:t>;</m:t>
            </m:r>
            <m:r>
              <m:t>s</m:t>
            </m:r>
          </m:e>
        </m:d>
      </m:oMath>
      <w:r>
        <w:t xml:space="preserve"> </w:t>
      </w:r>
      <w:r>
        <w:t xml:space="preserve">in (9). Let</w:t>
      </w:r>
      <w:r>
        <w:t xml:space="preserve"> </w:t>
      </w:r>
      <m:oMath>
        <m:sSup>
          <m:e>
            <m:r>
              <m:t>F</m:t>
            </m:r>
          </m:e>
          <m:sup>
            <m:r>
              <m:rPr>
                <m:sty m:val="p"/>
              </m:rPr>
              <m:t>*</m:t>
            </m:r>
          </m:sup>
        </m:sSup>
        <m:d>
          <m:dPr>
            <m:begChr m:val="("/>
            <m:sepChr m:val=""/>
            <m:endChr m:val=")"/>
            <m:grow/>
          </m:dPr>
          <m:e>
            <m:r>
              <m:t>s</m:t>
            </m:r>
          </m:e>
        </m:d>
      </m:oMath>
      <w:r>
        <w:t xml:space="preserve"> </w:t>
      </w:r>
      <w:r>
        <w:t xml:space="preserve">be its unique interior maximizer (Assumption 3). The first-order condition is</w:t>
      </w:r>
    </w:p>
    <w:p>
      <w:pPr>
        <w:pStyle w:val="BodyText"/>
      </w:pPr>
      <m:oMathPara>
        <m:oMathParaPr>
          <m:jc m:val="center"/>
        </m:oMathParaPr>
        <m:oMath>
          <m:sSub>
            <m:e>
              <m:r>
                <m:t>V</m:t>
              </m:r>
            </m:e>
            <m:sub>
              <m:r>
                <m:t>F</m:t>
              </m:r>
            </m:sub>
          </m:sSub>
          <m:r>
            <m:rPr>
              <m:sty m:val="p"/>
            </m:rPr>
            <m:t>=</m:t>
          </m:r>
          <m:r>
            <m:rPr>
              <m:sty m:val="p"/>
            </m:rPr>
            <m:t>−</m:t>
          </m:r>
          <m:r>
            <m:t>Q</m:t>
          </m:r>
          <m:r>
            <m:t>a</m:t>
          </m:r>
          <m:r>
            <m:rPr>
              <m:sty m:val="p"/>
            </m:rPr>
            <m:t>−</m:t>
          </m:r>
          <m:rad>
            <m:radPr>
              <m:degHide m:val="on"/>
            </m:radPr>
            <m:deg/>
            <m:e>
              <m:r>
                <m:t>2</m:t>
              </m:r>
              <m:r>
                <m:t>Q</m:t>
              </m:r>
              <m:r>
                <m:t>a</m:t>
              </m:r>
              <m:r>
                <m:t>γ</m:t>
              </m:r>
            </m:e>
          </m:rad>
          <m:r>
            <m:t> </m:t>
          </m:r>
          <m:f>
            <m:fPr>
              <m:type m:val="bar"/>
            </m:fPr>
            <m:num>
              <m:sSub>
                <m:e>
                  <m:r>
                    <m:t>H</m:t>
                  </m:r>
                </m:e>
                <m:sub>
                  <m:r>
                    <m:t>F</m:t>
                  </m:r>
                </m:sub>
              </m:sSub>
            </m:num>
            <m:den>
              <m:r>
                <m:t>2</m:t>
              </m:r>
              <m:rad>
                <m:radPr>
                  <m:degHide m:val="on"/>
                </m:radPr>
                <m:deg/>
                <m:e>
                  <m:r>
                    <m:t>H</m:t>
                  </m:r>
                </m:e>
              </m:rad>
            </m:den>
          </m:f>
          <m:r>
            <m:rPr>
              <m:sty m:val="p"/>
            </m:rPr>
            <m:t>=</m:t>
          </m:r>
          <m:r>
            <m:t>0</m:t>
          </m:r>
          <m:r>
            <m:rPr>
              <m:sty m:val="p"/>
            </m:rPr>
            <m:t>,</m:t>
          </m:r>
        </m:oMath>
      </m:oMathPara>
    </w:p>
    <w:p>
      <w:pPr>
        <w:pStyle w:val="FirstParagraph"/>
      </w:pPr>
      <w:r>
        <w:t xml:space="preserve">so</w:t>
      </w:r>
      <w:r>
        <w:t xml:space="preserve"> </w:t>
      </w:r>
      <m:oMath>
        <m:sSub>
          <m:e>
            <m:r>
              <m:t>H</m:t>
            </m:r>
          </m:e>
          <m:sub>
            <m:r>
              <m:t>F</m:t>
            </m:r>
          </m:sub>
        </m:sSub>
        <m:d>
          <m:dPr>
            <m:begChr m:val="("/>
            <m:sepChr m:val=""/>
            <m:endChr m:val=")"/>
            <m:grow/>
          </m:dPr>
          <m:e>
            <m:sSup>
              <m:e>
                <m:r>
                  <m:t>F</m:t>
                </m:r>
              </m:e>
              <m:sup>
                <m:r>
                  <m:rPr>
                    <m:sty m:val="p"/>
                  </m:rPr>
                  <m:t>*</m:t>
                </m:r>
              </m:sup>
            </m:sSup>
            <m:d>
              <m:dPr>
                <m:begChr m:val="("/>
                <m:sepChr m:val=""/>
                <m:endChr m:val=")"/>
                <m:grow/>
              </m:dPr>
              <m:e>
                <m:r>
                  <m:t>s</m:t>
                </m:r>
              </m:e>
            </m:d>
            <m:r>
              <m:rPr>
                <m:sty m:val="p"/>
              </m:rPr>
              <m:t>;</m:t>
            </m:r>
            <m:r>
              <m:t>s</m:t>
            </m:r>
          </m:e>
        </m:d>
        <m:r>
          <m:rPr>
            <m:sty m:val="p"/>
          </m:rPr>
          <m:t>&lt;</m:t>
        </m:r>
        <m:r>
          <m:t>0</m:t>
        </m:r>
      </m:oMath>
      <w:r>
        <w:t xml:space="preserve"> </w:t>
      </w:r>
      <w:r>
        <w:t xml:space="preserve">at the optimum. Differentiating</w:t>
      </w:r>
      <w:r>
        <w:t xml:space="preserve"> </w:t>
      </w:r>
      <m:oMath>
        <m:sSub>
          <m:e>
            <m:r>
              <m:t>V</m:t>
            </m:r>
          </m:e>
          <m:sub>
            <m:r>
              <m:t>F</m:t>
            </m:r>
          </m:sub>
        </m:sSub>
      </m:oMath>
      <w:r>
        <w:t xml:space="preserve"> </w:t>
      </w:r>
      <w:r>
        <w:t xml:space="preserve">with respect to</w:t>
      </w:r>
      <w:r>
        <w:t xml:space="preserve"> </w:t>
      </w:r>
      <m:oMath>
        <m:r>
          <m:t>s</m:t>
        </m:r>
      </m:oMath>
      <w:r>
        <w:t xml:space="preserve">,</w:t>
      </w:r>
    </w:p>
    <w:p>
      <w:pPr>
        <w:pStyle w:val="BodyText"/>
      </w:pPr>
      <m:oMathPara>
        <m:oMathParaPr>
          <m:jc m:val="center"/>
        </m:oMathParaPr>
        <m:oMath>
          <m:sSub>
            <m:e>
              <m:r>
                <m:t>V</m:t>
              </m:r>
            </m:e>
            <m:sub>
              <m:r>
                <m:t>F</m:t>
              </m:r>
              <m:r>
                <m:t>s</m:t>
              </m:r>
            </m:sub>
          </m:sSub>
          <m:r>
            <m:rPr>
              <m:sty m:val="p"/>
            </m:rPr>
            <m:t>=</m:t>
          </m:r>
          <m:r>
            <m:rPr>
              <m:sty m:val="p"/>
            </m:rPr>
            <m:t>−</m:t>
          </m:r>
          <m:f>
            <m:fPr>
              <m:type m:val="bar"/>
            </m:fPr>
            <m:num>
              <m:rad>
                <m:radPr>
                  <m:degHide m:val="on"/>
                </m:radPr>
                <m:deg/>
                <m:e>
                  <m:r>
                    <m:t>2</m:t>
                  </m:r>
                  <m:r>
                    <m:t>Q</m:t>
                  </m:r>
                  <m:r>
                    <m:t>a</m:t>
                  </m:r>
                  <m:r>
                    <m:t>γ</m:t>
                  </m:r>
                </m:e>
              </m:rad>
            </m:num>
            <m:den>
              <m:r>
                <m:t>2</m:t>
              </m:r>
            </m:den>
          </m:f>
          <m:d>
            <m:dPr>
              <m:begChr m:val="["/>
              <m:sepChr m:val=""/>
              <m:endChr m:val="]"/>
              <m:grow/>
            </m:dPr>
            <m:e>
              <m:f>
                <m:fPr>
                  <m:type m:val="bar"/>
                </m:fPr>
                <m:num>
                  <m:r>
                    <m:t>Q</m:t>
                  </m:r>
                  <m:r>
                    <m:t>φ</m:t>
                  </m:r>
                  <m:r>
                    <m:rPr>
                      <m:sty m:val="p"/>
                    </m:rPr>
                    <m:t>′</m:t>
                  </m:r>
                  <m:d>
                    <m:dPr>
                      <m:begChr m:val="("/>
                      <m:sepChr m:val=""/>
                      <m:endChr m:val=")"/>
                      <m:grow/>
                    </m:dPr>
                    <m:e>
                      <m:r>
                        <m:t>F</m:t>
                      </m:r>
                    </m:e>
                  </m:d>
                </m:num>
                <m:den>
                  <m:rad>
                    <m:radPr>
                      <m:degHide m:val="on"/>
                    </m:radPr>
                    <m:deg/>
                    <m:e>
                      <m:r>
                        <m:t>H</m:t>
                      </m:r>
                    </m:e>
                  </m:rad>
                </m:den>
              </m:f>
              <m:r>
                <m:rPr>
                  <m:sty m:val="p"/>
                </m:rPr>
                <m:t>−</m:t>
              </m:r>
              <m:f>
                <m:fPr>
                  <m:type m:val="bar"/>
                </m:fPr>
                <m:num>
                  <m:sSub>
                    <m:e>
                      <m:r>
                        <m:t>H</m:t>
                      </m:r>
                    </m:e>
                    <m:sub>
                      <m:r>
                        <m:t>F</m:t>
                      </m:r>
                    </m:sub>
                  </m:sSub>
                  <m:r>
                    <m:t> </m:t>
                  </m:r>
                  <m:r>
                    <m:t>Q</m:t>
                  </m:r>
                  <m:r>
                    <m:t> </m:t>
                  </m:r>
                  <m:r>
                    <m:t>φ</m:t>
                  </m:r>
                  <m:d>
                    <m:dPr>
                      <m:begChr m:val="("/>
                      <m:sepChr m:val=""/>
                      <m:endChr m:val=")"/>
                      <m:grow/>
                    </m:dPr>
                    <m:e>
                      <m:r>
                        <m:t>F</m:t>
                      </m:r>
                    </m:e>
                  </m:d>
                </m:num>
                <m:den>
                  <m:r>
                    <m:t>2</m:t>
                  </m:r>
                  <m:sSup>
                    <m:e>
                      <m:r>
                        <m:t>H</m:t>
                      </m:r>
                    </m:e>
                    <m:sup>
                      <m:r>
                        <m:t>3</m:t>
                      </m:r>
                      <m:r>
                        <m:rPr>
                          <m:sty m:val="p"/>
                        </m:rPr>
                        <m:t>/</m:t>
                      </m:r>
                      <m:r>
                        <m:t>2</m:t>
                      </m:r>
                    </m:sup>
                  </m:sSup>
                </m:den>
              </m:f>
            </m:e>
          </m:d>
          <m:r>
            <m:rPr>
              <m:sty m:val="p"/>
            </m:rPr>
            <m:t>&lt;</m:t>
          </m:r>
          <m:r>
            <m:t>0</m:t>
          </m:r>
          <m:r>
            <m:rPr>
              <m:sty m:val="p"/>
            </m:rPr>
            <m:t>,</m:t>
          </m:r>
        </m:oMath>
      </m:oMathPara>
    </w:p>
    <w:p>
      <w:pPr>
        <w:pStyle w:val="FirstParagraph"/>
      </w:pPr>
      <w:r>
        <w:t xml:space="preserve">because</w:t>
      </w:r>
      <w:r>
        <w:t xml:space="preserve"> </w:t>
      </w:r>
      <m:oMath>
        <m:r>
          <m:t>φ</m:t>
        </m:r>
        <m:r>
          <m:rPr>
            <m:sty m:val="p"/>
          </m:rPr>
          <m:t>′</m:t>
        </m:r>
        <m:r>
          <m:rPr>
            <m:sty m:val="p"/>
          </m:rPr>
          <m:t>≥</m:t>
        </m:r>
        <m:r>
          <m:t>0</m:t>
        </m:r>
      </m:oMath>
      <w:r>
        <w:t xml:space="preserve">,</w:t>
      </w:r>
      <w:r>
        <w:t xml:space="preserve"> </w:t>
      </w:r>
      <m:oMath>
        <m:r>
          <m:t>φ</m:t>
        </m:r>
        <m:r>
          <m:rPr>
            <m:sty m:val="p"/>
          </m:rPr>
          <m:t>&gt;</m:t>
        </m:r>
        <m:r>
          <m:t>0</m:t>
        </m:r>
      </m:oMath>
      <w:r>
        <w:t xml:space="preserve"> </w:t>
      </w:r>
      <w:r>
        <w:t xml:space="preserve">and</w:t>
      </w:r>
      <w:r>
        <w:t xml:space="preserve"> </w:t>
      </w:r>
      <m:oMath>
        <m:sSub>
          <m:e>
            <m:r>
              <m:t>H</m:t>
            </m:r>
          </m:e>
          <m:sub>
            <m:r>
              <m:t>F</m:t>
            </m:r>
          </m:sub>
        </m:sSub>
        <m:r>
          <m:rPr>
            <m:sty m:val="p"/>
          </m:rPr>
          <m:t>&lt;</m:t>
        </m:r>
        <m:r>
          <m:t>0</m:t>
        </m:r>
      </m:oMath>
      <w:r>
        <w:t xml:space="preserve"> </w:t>
      </w:r>
      <w:r>
        <w:t xml:space="preserve">make the bracket positive. With</w:t>
      </w:r>
      <w:r>
        <w:t xml:space="preserve"> </w:t>
      </w:r>
      <m:oMath>
        <m:sSub>
          <m:e>
            <m:r>
              <m:t>V</m:t>
            </m:r>
          </m:e>
          <m:sub>
            <m:r>
              <m:t>F</m:t>
            </m:r>
            <m:r>
              <m:t>F</m:t>
            </m:r>
          </m:sub>
        </m:sSub>
        <m:r>
          <m:rPr>
            <m:sty m:val="p"/>
          </m:rPr>
          <m:t>&lt;</m:t>
        </m:r>
        <m:r>
          <m:t>0</m:t>
        </m:r>
      </m:oMath>
      <w:r>
        <w:t xml:space="preserve">, the implicit function theorem gives</w:t>
      </w:r>
      <w:r>
        <w:t xml:space="preserve"> </w:t>
      </w:r>
      <m:oMath>
        <m:r>
          <m:t>d</m:t>
        </m:r>
        <m:sSup>
          <m:e>
            <m:r>
              <m:t>F</m:t>
            </m:r>
          </m:e>
          <m:sup>
            <m:r>
              <m:rPr>
                <m:sty m:val="p"/>
              </m:rPr>
              <m:t>*</m:t>
            </m:r>
          </m:sup>
        </m:sSup>
        <m:r>
          <m:rPr>
            <m:sty m:val="p"/>
          </m:rPr>
          <m:t>/</m:t>
        </m:r>
        <m:r>
          <m:t>d</m:t>
        </m:r>
        <m:r>
          <m:t>s</m:t>
        </m:r>
        <m:r>
          <m:rPr>
            <m:sty m:val="p"/>
          </m:rPr>
          <m:t>=</m:t>
        </m:r>
        <m:r>
          <m:rPr>
            <m:sty m:val="p"/>
          </m:rPr>
          <m:t>−</m:t>
        </m:r>
        <m:sSub>
          <m:e>
            <m:r>
              <m:t>V</m:t>
            </m:r>
          </m:e>
          <m:sub>
            <m:r>
              <m:t>F</m:t>
            </m:r>
            <m:r>
              <m:t>s</m:t>
            </m:r>
          </m:sub>
        </m:sSub>
        <m:r>
          <m:rPr>
            <m:sty m:val="p"/>
          </m:rPr>
          <m:t>/</m:t>
        </m:r>
        <m:sSub>
          <m:e>
            <m:r>
              <m:t>V</m:t>
            </m:r>
          </m:e>
          <m:sub>
            <m:r>
              <m:t>F</m:t>
            </m:r>
            <m:r>
              <m:t>F</m:t>
            </m:r>
          </m:sub>
        </m:sSub>
        <m:r>
          <m:rPr>
            <m:sty m:val="p"/>
          </m:rPr>
          <m:t>&lt;</m:t>
        </m:r>
        <m:r>
          <m:t>0</m:t>
        </m:r>
      </m:oMath>
      <w:r>
        <w:t xml:space="preserve">, so</w:t>
      </w:r>
      <w:r>
        <w:t xml:space="preserve"> </w:t>
      </w:r>
      <m:oMath>
        <m:sSub>
          <m:e>
            <m:r>
              <m:t>F</m:t>
            </m:r>
          </m:e>
          <m:sub>
            <m:r>
              <m:t>P</m:t>
            </m:r>
          </m:sub>
        </m:sSub>
        <m:r>
          <m:rPr>
            <m:sty m:val="p"/>
          </m:rPr>
          <m:t>=</m:t>
        </m:r>
        <m:sSup>
          <m:e>
            <m:r>
              <m:t>F</m:t>
            </m:r>
          </m:e>
          <m:sup>
            <m:r>
              <m:rPr>
                <m:sty m:val="p"/>
              </m:rPr>
              <m:t>*</m:t>
            </m:r>
          </m:sup>
        </m:sSup>
        <m:d>
          <m:dPr>
            <m:begChr m:val="("/>
            <m:sepChr m:val=""/>
            <m:endChr m:val=")"/>
            <m:grow/>
          </m:dPr>
          <m:e>
            <m:sSub>
              <m:e>
                <m:r>
                  <m:t>σ</m:t>
                </m:r>
              </m:e>
              <m:sub>
                <m:r>
                  <m:t>m</m:t>
                </m:r>
              </m:sub>
            </m:sSub>
          </m:e>
        </m:d>
        <m:r>
          <m:rPr>
            <m:sty m:val="p"/>
          </m:rPr>
          <m:t>&gt;</m:t>
        </m:r>
        <m:sSup>
          <m:e>
            <m:r>
              <m:t>F</m:t>
            </m:r>
          </m:e>
          <m:sup>
            <m:r>
              <m:rPr>
                <m:sty m:val="p"/>
              </m:rPr>
              <m:t>*</m:t>
            </m:r>
          </m:sup>
        </m:sSup>
        <m:d>
          <m:dPr>
            <m:begChr m:val="("/>
            <m:sepChr m:val=""/>
            <m:endChr m:val=")"/>
            <m:grow/>
          </m:dPr>
          <m:e>
            <m:acc>
              <m:accPr>
                <m:chr m:val="‾"/>
              </m:accPr>
              <m:e>
                <m:r>
                  <m:t>σ</m:t>
                </m:r>
              </m:e>
            </m:acc>
          </m:e>
        </m:d>
        <m:r>
          <m:rPr>
            <m:sty m:val="p"/>
          </m:rPr>
          <m:t>=</m:t>
        </m:r>
        <m:sSub>
          <m:e>
            <m:r>
              <m:t>F</m:t>
            </m:r>
          </m:e>
          <m:sub>
            <m:r>
              <m:t>W</m:t>
            </m:r>
          </m:sub>
        </m:sSub>
      </m:oMath>
      <w:r>
        <w:t xml:space="preserve">. For the interval,</w:t>
      </w:r>
      <w:r>
        <w:t xml:space="preserve"> </w:t>
      </w:r>
      <m:oMath>
        <m:sSup>
          <m:e>
            <m:r>
              <m:t>t</m:t>
            </m:r>
          </m:e>
          <m:sup>
            <m:r>
              <m:rPr>
                <m:sty m:val="p"/>
              </m:rPr>
              <m:t>*</m:t>
            </m:r>
          </m:sup>
        </m:sSup>
        <m:d>
          <m:dPr>
            <m:begChr m:val="("/>
            <m:sepChr m:val=""/>
            <m:endChr m:val=")"/>
            <m:grow/>
          </m:dPr>
          <m:e>
            <m:r>
              <m:t>s</m:t>
            </m:r>
          </m:e>
        </m:d>
        <m:r>
          <m:rPr>
            <m:sty m:val="p"/>
          </m:rPr>
          <m:t>=</m:t>
        </m:r>
        <m:rad>
          <m:radPr>
            <m:degHide m:val="on"/>
          </m:radPr>
          <m:deg/>
          <m:e>
            <m:r>
              <m:t>2</m:t>
            </m:r>
            <m:r>
              <m:t>H</m:t>
            </m:r>
            <m:d>
              <m:dPr>
                <m:begChr m:val="("/>
                <m:sepChr m:val=""/>
                <m:endChr m:val=")"/>
                <m:grow/>
              </m:dPr>
              <m:e>
                <m:sSup>
                  <m:e>
                    <m:r>
                      <m:t>F</m:t>
                    </m:r>
                  </m:e>
                  <m:sup>
                    <m:r>
                      <m:rPr>
                        <m:sty m:val="p"/>
                      </m:rPr>
                      <m:t>*</m:t>
                    </m:r>
                  </m:sup>
                </m:sSup>
                <m:d>
                  <m:dPr>
                    <m:begChr m:val="("/>
                    <m:sepChr m:val=""/>
                    <m:endChr m:val=")"/>
                    <m:grow/>
                  </m:dPr>
                  <m:e>
                    <m:r>
                      <m:t>s</m:t>
                    </m:r>
                  </m:e>
                </m:d>
                <m:r>
                  <m:rPr>
                    <m:sty m:val="p"/>
                  </m:rPr>
                  <m:t>;</m:t>
                </m:r>
                <m:r>
                  <m:t>s</m:t>
                </m:r>
              </m:e>
            </m:d>
            <m:r>
              <m:rPr>
                <m:sty m:val="p"/>
              </m:rPr>
              <m:t>/</m:t>
            </m:r>
            <m:d>
              <m:dPr>
                <m:begChr m:val="("/>
                <m:sepChr m:val=""/>
                <m:endChr m:val=")"/>
                <m:grow/>
              </m:dPr>
              <m:e>
                <m:r>
                  <m:t>Q</m:t>
                </m:r>
                <m:r>
                  <m:t>a</m:t>
                </m:r>
                <m:r>
                  <m:t>γ</m:t>
                </m:r>
              </m:e>
            </m:d>
          </m:e>
        </m:rad>
      </m:oMath>
      <w:r>
        <w:t xml:space="preserve"> </w:t>
      </w:r>
      <w:r>
        <w:t xml:space="preserve">and</w:t>
      </w:r>
    </w:p>
    <w:p>
      <w:pPr>
        <w:pStyle w:val="BodyText"/>
      </w:pPr>
      <m:oMathPara>
        <m:oMathParaPr>
          <m:jc m:val="center"/>
        </m:oMathParaPr>
        <m:oMath>
          <m:f>
            <m:fPr>
              <m:type m:val="bar"/>
            </m:fPr>
            <m:num>
              <m:r>
                <m:t>d</m:t>
              </m:r>
            </m:num>
            <m:den>
              <m:r>
                <m:t>d</m:t>
              </m:r>
              <m:r>
                <m:t>s</m:t>
              </m:r>
            </m:den>
          </m:f>
          <m:r>
            <m:t>H</m:t>
          </m:r>
          <m:d>
            <m:dPr>
              <m:begChr m:val="("/>
              <m:sepChr m:val=""/>
              <m:endChr m:val=")"/>
              <m:grow/>
            </m:dPr>
            <m:e>
              <m:sSup>
                <m:e>
                  <m:r>
                    <m:t>F</m:t>
                  </m:r>
                </m:e>
                <m:sup>
                  <m:r>
                    <m:rPr>
                      <m:sty m:val="p"/>
                    </m:rPr>
                    <m:t>*</m:t>
                  </m:r>
                </m:sup>
              </m:sSup>
              <m:d>
                <m:dPr>
                  <m:begChr m:val="("/>
                  <m:sepChr m:val=""/>
                  <m:endChr m:val=")"/>
                  <m:grow/>
                </m:dPr>
                <m:e>
                  <m:r>
                    <m:t>s</m:t>
                  </m:r>
                </m:e>
              </m:d>
              <m:r>
                <m:rPr>
                  <m:sty m:val="p"/>
                </m:rPr>
                <m:t>;</m:t>
              </m:r>
              <m:r>
                <m:t>s</m:t>
              </m:r>
            </m:e>
          </m:d>
          <m:r>
            <m:rPr>
              <m:sty m:val="p"/>
            </m:rPr>
            <m:t>=</m:t>
          </m:r>
          <m:sSub>
            <m:e>
              <m:r>
                <m:t>H</m:t>
              </m:r>
            </m:e>
            <m:sub>
              <m:r>
                <m:t>F</m:t>
              </m:r>
            </m:sub>
          </m:sSub>
          <m:r>
            <m:t> </m:t>
          </m:r>
          <m:f>
            <m:fPr>
              <m:type m:val="bar"/>
            </m:fPr>
            <m:num>
              <m:r>
                <m:t>d</m:t>
              </m:r>
              <m:sSup>
                <m:e>
                  <m:r>
                    <m:t>F</m:t>
                  </m:r>
                </m:e>
                <m:sup>
                  <m:r>
                    <m:rPr>
                      <m:sty m:val="p"/>
                    </m:rPr>
                    <m:t>*</m:t>
                  </m:r>
                </m:sup>
              </m:sSup>
            </m:num>
            <m:den>
              <m:r>
                <m:t>d</m:t>
              </m:r>
              <m:r>
                <m:t>s</m:t>
              </m:r>
            </m:den>
          </m:f>
          <m:r>
            <m:rPr>
              <m:sty m:val="p"/>
            </m:rPr>
            <m:t>+</m:t>
          </m:r>
          <m:r>
            <m:t>Q</m:t>
          </m:r>
          <m:r>
            <m:t> </m:t>
          </m:r>
          <m:r>
            <m:t>φ</m:t>
          </m:r>
          <m:d>
            <m:dPr>
              <m:begChr m:val="("/>
              <m:sepChr m:val=""/>
              <m:endChr m:val=")"/>
              <m:grow/>
            </m:dPr>
            <m:e>
              <m:sSup>
                <m:e>
                  <m:r>
                    <m:t>F</m:t>
                  </m:r>
                </m:e>
                <m:sup>
                  <m:r>
                    <m:rPr>
                      <m:sty m:val="p"/>
                    </m:rPr>
                    <m:t>*</m:t>
                  </m:r>
                </m:sup>
              </m:sSup>
            </m:e>
          </m:d>
          <m:r>
            <m:rPr>
              <m:sty m:val="p"/>
            </m:rPr>
            <m:t>&gt;</m:t>
          </m:r>
          <m:r>
            <m:t>0</m:t>
          </m:r>
          <m:r>
            <m:rPr>
              <m:sty m:val="p"/>
            </m:rPr>
            <m:t>,</m:t>
          </m:r>
        </m:oMath>
      </m:oMathPara>
    </w:p>
    <w:p>
      <w:pPr>
        <w:pStyle w:val="FirstParagraph"/>
      </w:pPr>
      <w:r>
        <w:t xml:space="preserve">since both terms are positive. Hence</w:t>
      </w:r>
      <w:r>
        <w:t xml:space="preserve"> </w:t>
      </w:r>
      <m:oMath>
        <m:sSup>
          <m:e>
            <m:r>
              <m:t>t</m:t>
            </m:r>
          </m:e>
          <m:sup>
            <m:r>
              <m:rPr>
                <m:sty m:val="p"/>
              </m:rPr>
              <m:t>*</m:t>
            </m:r>
          </m:sup>
        </m:sSup>
        <m:d>
          <m:dPr>
            <m:begChr m:val="("/>
            <m:sepChr m:val=""/>
            <m:endChr m:val=")"/>
            <m:grow/>
          </m:dPr>
          <m:e>
            <m:r>
              <m:t>s</m:t>
            </m:r>
          </m:e>
        </m:d>
      </m:oMath>
      <w:r>
        <w:t xml:space="preserve"> </w:t>
      </w:r>
      <w:r>
        <w:t xml:space="preserve">is increasing and</w:t>
      </w:r>
      <w:r>
        <w:t xml:space="preserve"> </w:t>
      </w:r>
      <m:oMath>
        <m:sSub>
          <m:e>
            <m:r>
              <m:t>t</m:t>
            </m:r>
          </m:e>
          <m:sub>
            <m:r>
              <m:t>P</m:t>
            </m:r>
          </m:sub>
        </m:sSub>
        <m:r>
          <m:rPr>
            <m:sty m:val="p"/>
          </m:rPr>
          <m:t>=</m:t>
        </m:r>
        <m:sSup>
          <m:e>
            <m:r>
              <m:t>t</m:t>
            </m:r>
          </m:e>
          <m:sup>
            <m:r>
              <m:rPr>
                <m:sty m:val="p"/>
              </m:rPr>
              <m:t>*</m:t>
            </m:r>
          </m:sup>
        </m:sSup>
        <m:d>
          <m:dPr>
            <m:begChr m:val="("/>
            <m:sepChr m:val=""/>
            <m:endChr m:val=")"/>
            <m:grow/>
          </m:dPr>
          <m:e>
            <m:sSub>
              <m:e>
                <m:r>
                  <m:t>σ</m:t>
                </m:r>
              </m:e>
              <m:sub>
                <m:r>
                  <m:t>m</m:t>
                </m:r>
              </m:sub>
            </m:sSub>
          </m:e>
        </m:d>
        <m:r>
          <m:rPr>
            <m:sty m:val="p"/>
          </m:rPr>
          <m:t>&lt;</m:t>
        </m:r>
        <m:sSup>
          <m:e>
            <m:r>
              <m:t>t</m:t>
            </m:r>
          </m:e>
          <m:sup>
            <m:r>
              <m:rPr>
                <m:sty m:val="p"/>
              </m:rPr>
              <m:t>*</m:t>
            </m:r>
          </m:sup>
        </m:sSup>
        <m:d>
          <m:dPr>
            <m:begChr m:val="("/>
            <m:sepChr m:val=""/>
            <m:endChr m:val=")"/>
            <m:grow/>
          </m:dPr>
          <m:e>
            <m:acc>
              <m:accPr>
                <m:chr m:val="‾"/>
              </m:accPr>
              <m:e>
                <m:r>
                  <m:t>σ</m:t>
                </m:r>
              </m:e>
            </m:acc>
          </m:e>
        </m:d>
        <m:r>
          <m:rPr>
            <m:sty m:val="p"/>
          </m:rPr>
          <m:t>=</m:t>
        </m:r>
        <m:sSub>
          <m:e>
            <m:r>
              <m:t>t</m:t>
            </m:r>
          </m:e>
          <m:sub>
            <m:r>
              <m:t>W</m:t>
            </m:r>
          </m:sub>
        </m:sSub>
      </m:oMath>
      <w:r>
        <w:t xml:space="preserve">.</w:t>
      </w:r>
      <w:r>
        <w:t xml:space="preserve"> </w:t>
      </w:r>
      <m:oMath>
        <m:r>
          <m:rPr>
            <m:sty m:val="p"/>
          </m:rPr>
          <m:t>◼</m:t>
        </m:r>
      </m:oMath>
    </w:p>
    <w:p>
      <w:pPr>
        <w:pStyle w:val="BodyText"/>
      </w:pPr>
      <w:r>
        <w:rPr>
          <w:bCs/>
          <w:b/>
        </w:rPr>
        <w:t xml:space="preserve">Proof of Proposition 4.</w:t>
      </w:r>
      <w:r>
        <w:t xml:space="preserve"> </w:t>
      </w:r>
      <w:r>
        <w:t xml:space="preserve">Dividing the expressions in (7) and writing</w:t>
      </w:r>
      <w:r>
        <w:t xml:space="preserve"> </w:t>
      </w:r>
      <m:oMath>
        <m:r>
          <m:t>k</m:t>
        </m:r>
        <m:r>
          <m:rPr>
            <m:sty m:val="p"/>
          </m:rPr>
          <m:t>=</m:t>
        </m:r>
        <m:r>
          <m:t>K</m:t>
        </m:r>
        <m:d>
          <m:dPr>
            <m:begChr m:val="("/>
            <m:sepChr m:val=""/>
            <m:endChr m:val=")"/>
            <m:grow/>
          </m:dPr>
          <m:e>
            <m:r>
              <m:t>F</m:t>
            </m:r>
          </m:e>
        </m:d>
        <m:r>
          <m:rPr>
            <m:sty m:val="p"/>
          </m:rPr>
          <m:t>/</m:t>
        </m:r>
        <m:r>
          <m:t>Q</m:t>
        </m:r>
      </m:oMath>
      <w:r>
        <w:t xml:space="preserve"> </w:t>
      </w:r>
      <w:r>
        <w:t xml:space="preserve">gives (10). The function</w:t>
      </w:r>
      <w:r>
        <w:t xml:space="preserve"> </w:t>
      </w:r>
      <m:oMath>
        <m:d>
          <m:dPr>
            <m:begChr m:val="("/>
            <m:sepChr m:val=""/>
            <m:endChr m:val=")"/>
            <m:grow/>
          </m:dPr>
          <m:e>
            <m:r>
              <m:t>k</m:t>
            </m:r>
            <m:r>
              <m:rPr>
                <m:sty m:val="p"/>
              </m:rPr>
              <m:t>+</m:t>
            </m:r>
            <m:sSub>
              <m:e>
                <m:r>
                  <m:t>σ</m:t>
                </m:r>
              </m:e>
              <m:sub>
                <m:r>
                  <m:t>m</m:t>
                </m:r>
              </m:sub>
            </m:sSub>
            <m:r>
              <m:t>φ</m:t>
            </m:r>
          </m:e>
        </m:d>
        <m:r>
          <m:rPr>
            <m:sty m:val="p"/>
          </m:rPr>
          <m:t>/</m:t>
        </m:r>
        <m:d>
          <m:dPr>
            <m:begChr m:val="("/>
            <m:sepChr m:val=""/>
            <m:endChr m:val=")"/>
            <m:grow/>
          </m:dPr>
          <m:e>
            <m:r>
              <m:t>k</m:t>
            </m:r>
            <m:r>
              <m:rPr>
                <m:sty m:val="p"/>
              </m:rPr>
              <m:t>+</m:t>
            </m:r>
            <m:acc>
              <m:accPr>
                <m:chr m:val="‾"/>
              </m:accPr>
              <m:e>
                <m:r>
                  <m:t>σ</m:t>
                </m:r>
              </m:e>
            </m:acc>
            <m:r>
              <m:t>φ</m:t>
            </m:r>
          </m:e>
        </m:d>
      </m:oMath>
      <w:r>
        <w:t xml:space="preserve"> </w:t>
      </w:r>
      <w:r>
        <w:t xml:space="preserve">has derivative</w:t>
      </w:r>
      <w:r>
        <w:t xml:space="preserve"> </w:t>
      </w:r>
      <m:oMath>
        <m:d>
          <m:dPr>
            <m:begChr m:val="("/>
            <m:sepChr m:val=""/>
            <m:endChr m:val=")"/>
            <m:grow/>
          </m:dPr>
          <m:e>
            <m:acc>
              <m:accPr>
                <m:chr m:val="‾"/>
              </m:accPr>
              <m:e>
                <m:r>
                  <m:t>σ</m:t>
                </m:r>
              </m:e>
            </m:acc>
            <m:r>
              <m:rPr>
                <m:sty m:val="p"/>
              </m:rPr>
              <m:t>−</m:t>
            </m:r>
            <m:sSub>
              <m:e>
                <m:r>
                  <m:t>σ</m:t>
                </m:r>
              </m:e>
              <m:sub>
                <m:r>
                  <m:t>m</m:t>
                </m:r>
              </m:sub>
            </m:sSub>
          </m:e>
        </m:d>
        <m:r>
          <m:t>φ</m:t>
        </m:r>
        <m:r>
          <m:rPr>
            <m:sty m:val="p"/>
          </m:rPr>
          <m:t>/</m:t>
        </m:r>
        <m:sSup>
          <m:e>
            <m:d>
              <m:dPr>
                <m:begChr m:val="("/>
                <m:sepChr m:val=""/>
                <m:endChr m:val=")"/>
                <m:grow/>
              </m:dPr>
              <m:e>
                <m:r>
                  <m:t>k</m:t>
                </m:r>
                <m:r>
                  <m:rPr>
                    <m:sty m:val="p"/>
                  </m:rPr>
                  <m:t>+</m:t>
                </m:r>
                <m:acc>
                  <m:accPr>
                    <m:chr m:val="‾"/>
                  </m:accPr>
                  <m:e>
                    <m:r>
                      <m:t>σ</m:t>
                    </m:r>
                  </m:e>
                </m:acc>
                <m:r>
                  <m:t>φ</m:t>
                </m:r>
              </m:e>
            </m:d>
          </m:e>
          <m:sup>
            <m:r>
              <m:t>2</m:t>
            </m:r>
          </m:sup>
        </m:sSup>
        <m:r>
          <m:rPr>
            <m:sty m:val="p"/>
          </m:rPr>
          <m:t>&gt;</m:t>
        </m:r>
        <m:r>
          <m:t>0</m:t>
        </m:r>
      </m:oMath>
      <w:r>
        <w:t xml:space="preserve"> </w:t>
      </w:r>
      <w:r>
        <w:t xml:space="preserve">in</w:t>
      </w:r>
      <w:r>
        <w:t xml:space="preserve"> </w:t>
      </w:r>
      <m:oMath>
        <m:r>
          <m:t>k</m:t>
        </m:r>
      </m:oMath>
      <w:r>
        <w:t xml:space="preserve">, tends to</w:t>
      </w:r>
      <w:r>
        <w:t xml:space="preserve"> </w:t>
      </w:r>
      <m:oMath>
        <m:sSub>
          <m:e>
            <m:r>
              <m:t>σ</m:t>
            </m:r>
          </m:e>
          <m:sub>
            <m:r>
              <m:t>m</m:t>
            </m:r>
          </m:sub>
        </m:sSub>
        <m:r>
          <m:rPr>
            <m:sty m:val="p"/>
          </m:rPr>
          <m:t>/</m:t>
        </m:r>
        <m:acc>
          <m:accPr>
            <m:chr m:val="‾"/>
          </m:accPr>
          <m:e>
            <m:r>
              <m:t>σ</m:t>
            </m:r>
          </m:e>
        </m:acc>
      </m:oMath>
      <w:r>
        <w:t xml:space="preserve"> </w:t>
      </w:r>
      <w:r>
        <w:t xml:space="preserve">as</w:t>
      </w:r>
      <w:r>
        <w:t xml:space="preserve"> </w:t>
      </w:r>
      <m:oMath>
        <m:r>
          <m:t>k</m:t>
        </m:r>
        <m:r>
          <m:rPr>
            <m:sty m:val="p"/>
          </m:rPr>
          <m:t>→</m:t>
        </m:r>
        <m:r>
          <m:t>0</m:t>
        </m:r>
      </m:oMath>
      <w:r>
        <w:t xml:space="preserve"> </w:t>
      </w:r>
      <w:r>
        <w:t xml:space="preserve">and to 1 as</w:t>
      </w:r>
      <w:r>
        <w:t xml:space="preserve"> </w:t>
      </w:r>
      <m:oMath>
        <m:r>
          <m:t>k</m:t>
        </m:r>
        <m:r>
          <m:rPr>
            <m:sty m:val="p"/>
          </m:rPr>
          <m:t>→</m:t>
        </m:r>
        <m:r>
          <m:rPr>
            <m:sty m:val="p"/>
          </m:rPr>
          <m:t>∞</m:t>
        </m:r>
      </m:oMath>
      <w:r>
        <w:t xml:space="preserve">.</w:t>
      </w:r>
      <w:r>
        <w:t xml:space="preserve"> </w:t>
      </w:r>
      <m:oMath>
        <m:r>
          <m:rPr>
            <m:sty m:val="p"/>
          </m:rPr>
          <m:t>◼</m:t>
        </m:r>
      </m:oMath>
    </w:p>
    <w:p>
      <w:pPr>
        <w:pStyle w:val="BodyText"/>
      </w:pPr>
      <w:r>
        <w:rPr>
          <w:bCs/>
          <w:b/>
        </w:rPr>
        <w:t xml:space="preserve">Proof of Proposition 5.</w:t>
      </w:r>
      <w:r>
        <w:t xml:space="preserve"> </w:t>
      </w:r>
      <w:r>
        <w:t xml:space="preserve">Fix</w:t>
      </w:r>
      <w:r>
        <w:t xml:space="preserve"> </w:t>
      </w:r>
      <m:oMath>
        <m:sSup>
          <m:e>
            <m:r>
              <m:t>θ</m:t>
            </m:r>
          </m:e>
          <m:sup>
            <m:r>
              <m:rPr>
                <m:sty m:val="p"/>
              </m:rPr>
              <m:t>*</m:t>
            </m:r>
          </m:sup>
        </m:sSup>
      </m:oMath>
      <w:r>
        <w:t xml:space="preserve">,</w:t>
      </w:r>
      <w:r>
        <w:t xml:space="preserve"> </w:t>
      </w:r>
      <m:oMath>
        <m:r>
          <m:t>t</m:t>
        </m:r>
      </m:oMath>
      <w:r>
        <w:t xml:space="preserve"> </w:t>
      </w:r>
      <w:r>
        <w:t xml:space="preserve">and</w:t>
      </w:r>
      <w:r>
        <w:t xml:space="preserve"> </w:t>
      </w:r>
      <m:oMath>
        <m:r>
          <m:t>F</m:t>
        </m:r>
      </m:oMath>
      <w:r>
        <w:t xml:space="preserve">. For type</w:t>
      </w:r>
      <w:r>
        <w:t xml:space="preserve"> </w:t>
      </w:r>
      <m:oMath>
        <m:r>
          <m:t>θ</m:t>
        </m:r>
      </m:oMath>
      <w:r>
        <w:t xml:space="preserve"> </w:t>
      </w:r>
      <w:r>
        <w:t xml:space="preserve">define</w:t>
      </w:r>
      <w:r>
        <w:t xml:space="preserve"> </w:t>
      </w:r>
      <m:oMath>
        <m:sSub>
          <m:e>
            <m:r>
              <m:t>g</m:t>
            </m:r>
          </m:e>
          <m:sub>
            <m:r>
              <m:t>θ</m:t>
            </m:r>
          </m:sub>
        </m:sSub>
        <m:d>
          <m:dPr>
            <m:begChr m:val="("/>
            <m:sepChr m:val=""/>
            <m:endChr m:val=")"/>
            <m:grow/>
          </m:dPr>
          <m:e>
            <m:r>
              <m:t>τ</m:t>
            </m:r>
          </m:e>
        </m:d>
        <m:r>
          <m:rPr>
            <m:sty m:val="p"/>
          </m:rPr>
          <m:t>=</m:t>
        </m:r>
        <m:r>
          <m:t>a</m:t>
        </m:r>
        <m:r>
          <m:t>γ</m:t>
        </m:r>
        <m:r>
          <m:t>τ</m:t>
        </m:r>
        <m:r>
          <m:rPr>
            <m:sty m:val="p"/>
          </m:rPr>
          <m:t>/</m:t>
        </m:r>
        <m:r>
          <m:t>2</m:t>
        </m:r>
        <m:r>
          <m:rPr>
            <m:sty m:val="p"/>
          </m:rPr>
          <m:t>+</m:t>
        </m:r>
        <m:r>
          <m:t>σ</m:t>
        </m:r>
        <m:d>
          <m:dPr>
            <m:begChr m:val="("/>
            <m:sepChr m:val=""/>
            <m:endChr m:val=")"/>
            <m:grow/>
          </m:dPr>
          <m:e>
            <m:r>
              <m:t>θ</m:t>
            </m:r>
          </m:e>
        </m:d>
        <m:r>
          <m:t>φ</m:t>
        </m:r>
        <m:d>
          <m:dPr>
            <m:begChr m:val="("/>
            <m:sepChr m:val=""/>
            <m:endChr m:val=")"/>
            <m:grow/>
          </m:dPr>
          <m:e>
            <m:r>
              <m:t>F</m:t>
            </m:r>
          </m:e>
        </m:d>
        <m:r>
          <m:rPr>
            <m:sty m:val="p"/>
          </m:rPr>
          <m:t>/</m:t>
        </m:r>
        <m:r>
          <m:t>τ</m:t>
        </m:r>
      </m:oMath>
      <w:r>
        <w:t xml:space="preserve">, which is strictly convex with minimum at</w:t>
      </w:r>
      <w:r>
        <w:t xml:space="preserve"> </w:t>
      </w:r>
      <m:oMath>
        <m:sSup>
          <m:e>
            <m:r>
              <m:t>τ</m:t>
            </m:r>
          </m:e>
          <m:sup>
            <m:r>
              <m:rPr>
                <m:sty m:val="p"/>
              </m:rPr>
              <m:t>∘</m:t>
            </m:r>
          </m:sup>
        </m:sSup>
        <m:d>
          <m:dPr>
            <m:begChr m:val="("/>
            <m:sepChr m:val=""/>
            <m:endChr m:val=")"/>
            <m:grow/>
          </m:dPr>
          <m:e>
            <m:r>
              <m:t>θ</m:t>
            </m:r>
          </m:e>
        </m:d>
      </m:oMath>
      <w:r>
        <w:t xml:space="preserve">. The type’s payoff before price is</w:t>
      </w:r>
      <w:r>
        <w:t xml:space="preserve"> </w:t>
      </w:r>
      <m:oMath>
        <m:sSub>
          <m:e>
            <m:r>
              <m:t>f</m:t>
            </m:r>
          </m:e>
          <m:sub>
            <m:r>
              <m:t>θ</m:t>
            </m:r>
          </m:sub>
        </m:sSub>
        <m:d>
          <m:dPr>
            <m:begChr m:val="("/>
            <m:sepChr m:val=""/>
            <m:endChr m:val=")"/>
            <m:grow/>
          </m:dPr>
          <m:e>
            <m:r>
              <m:t>L</m:t>
            </m:r>
          </m:e>
        </m:d>
        <m:r>
          <m:rPr>
            <m:sty m:val="p"/>
          </m:rPr>
          <m:t>=</m:t>
        </m:r>
        <m:r>
          <m:t>v</m:t>
        </m:r>
        <m:d>
          <m:dPr>
            <m:begChr m:val="("/>
            <m:sepChr m:val=""/>
            <m:endChr m:val=")"/>
            <m:grow/>
          </m:dPr>
          <m:e>
            <m:r>
              <m:t>θ</m:t>
            </m:r>
          </m:e>
        </m:d>
        <m:r>
          <m:rPr>
            <m:sty m:val="p"/>
          </m:rPr>
          <m:t>−</m:t>
        </m:r>
        <m:r>
          <m:t>a</m:t>
        </m:r>
        <m:r>
          <m:t>F</m:t>
        </m:r>
        <m:r>
          <m:rPr>
            <m:sty m:val="p"/>
          </m:rPr>
          <m:t>−</m:t>
        </m:r>
        <m:sSub>
          <m:e>
            <m:r>
              <m:t>g</m:t>
            </m:r>
          </m:e>
          <m:sub>
            <m:r>
              <m:t>θ</m:t>
            </m:r>
          </m:sub>
        </m:sSub>
        <m:d>
          <m:dPr>
            <m:begChr m:val="("/>
            <m:sepChr m:val=""/>
            <m:endChr m:val=")"/>
            <m:grow/>
          </m:dPr>
          <m:e>
            <m:r>
              <m:t>τ</m:t>
            </m:r>
            <m:d>
              <m:dPr>
                <m:begChr m:val="("/>
                <m:sepChr m:val=""/>
                <m:endChr m:val=")"/>
                <m:grow/>
              </m:dPr>
              <m:e>
                <m:r>
                  <m:t>θ</m:t>
                </m:r>
                <m:r>
                  <m:rPr>
                    <m:sty m:val="p"/>
                  </m:rPr>
                  <m:t>;</m:t>
                </m:r>
                <m:r>
                  <m:t>L</m:t>
                </m:r>
              </m:e>
            </m:d>
          </m:e>
        </m:d>
      </m:oMath>
      <w:r>
        <w:t xml:space="preserve"> </w:t>
      </w:r>
      <w:r>
        <w:t xml:space="preserve">with</w:t>
      </w:r>
      <w:r>
        <w:t xml:space="preserve"> </w:t>
      </w:r>
      <m:oMath>
        <m:r>
          <m:t>τ</m:t>
        </m:r>
        <m:d>
          <m:dPr>
            <m:begChr m:val="("/>
            <m:sepChr m:val=""/>
            <m:endChr m:val=")"/>
            <m:grow/>
          </m:dPr>
          <m:e>
            <m:r>
              <m:t>θ</m:t>
            </m:r>
            <m:r>
              <m:rPr>
                <m:sty m:val="p"/>
              </m:rPr>
              <m:t>;</m:t>
            </m:r>
            <m:r>
              <m:t>L</m:t>
            </m:r>
          </m:e>
        </m:d>
      </m:oMath>
      <w:r>
        <w:t xml:space="preserve"> </w:t>
      </w:r>
      <w:r>
        <w:t xml:space="preserve">from (12). For</w:t>
      </w:r>
      <w:r>
        <w:t xml:space="preserve"> </w:t>
      </w:r>
      <m:oMath>
        <m:r>
          <m:t>L</m:t>
        </m:r>
        <m:r>
          <m:rPr>
            <m:sty m:val="p"/>
          </m:rPr>
          <m:t>&lt;</m:t>
        </m:r>
        <m:sSup>
          <m:e>
            <m:r>
              <m:t>τ</m:t>
            </m:r>
          </m:e>
          <m:sup>
            <m:r>
              <m:rPr>
                <m:sty m:val="p"/>
              </m:rPr>
              <m:t>∘</m:t>
            </m:r>
          </m:sup>
        </m:sSup>
        <m:d>
          <m:dPr>
            <m:begChr m:val="("/>
            <m:sepChr m:val=""/>
            <m:endChr m:val=")"/>
            <m:grow/>
          </m:dPr>
          <m:e>
            <m:r>
              <m:t>θ</m:t>
            </m:r>
          </m:e>
        </m:d>
        <m:r>
          <m:rPr>
            <m:sty m:val="p"/>
          </m:rPr>
          <m:t>−</m:t>
        </m:r>
        <m:r>
          <m:t>t</m:t>
        </m:r>
      </m:oMath>
      <w:r>
        <w:t xml:space="preserve">,</w:t>
      </w:r>
      <w:r>
        <w:t xml:space="preserve"> </w:t>
      </w:r>
      <m:oMath>
        <m:sSub>
          <m:e>
            <m:r>
              <m:t>f</m:t>
            </m:r>
          </m:e>
          <m:sub>
            <m:r>
              <m:t>θ</m:t>
            </m:r>
          </m:sub>
        </m:sSub>
        <m:d>
          <m:dPr>
            <m:begChr m:val="("/>
            <m:sepChr m:val=""/>
            <m:endChr m:val=")"/>
            <m:grow/>
          </m:dPr>
          <m:e>
            <m:r>
              <m:t>L</m:t>
            </m:r>
          </m:e>
        </m:d>
        <m:r>
          <m:rPr>
            <m:sty m:val="p"/>
          </m:rPr>
          <m:t>=</m:t>
        </m:r>
        <m:r>
          <m:t>v</m:t>
        </m:r>
        <m:d>
          <m:dPr>
            <m:begChr m:val="("/>
            <m:sepChr m:val=""/>
            <m:endChr m:val=")"/>
            <m:grow/>
          </m:dPr>
          <m:e>
            <m:r>
              <m:t>θ</m:t>
            </m:r>
          </m:e>
        </m:d>
        <m:r>
          <m:rPr>
            <m:sty m:val="p"/>
          </m:rPr>
          <m:t>−</m:t>
        </m:r>
        <m:r>
          <m:t>a</m:t>
        </m:r>
        <m:r>
          <m:t>F</m:t>
        </m:r>
        <m:r>
          <m:rPr>
            <m:sty m:val="p"/>
          </m:rPr>
          <m:t>−</m:t>
        </m:r>
        <m:sSub>
          <m:e>
            <m:r>
              <m:t>g</m:t>
            </m:r>
          </m:e>
          <m:sub>
            <m:r>
              <m:t>θ</m:t>
            </m:r>
          </m:sub>
        </m:sSub>
        <m:d>
          <m:dPr>
            <m:begChr m:val="("/>
            <m:sepChr m:val=""/>
            <m:endChr m:val=")"/>
            <m:grow/>
          </m:dPr>
          <m:e>
            <m:r>
              <m:t>t</m:t>
            </m:r>
            <m:r>
              <m:rPr>
                <m:sty m:val="p"/>
              </m:rPr>
              <m:t>+</m:t>
            </m:r>
            <m:r>
              <m:t>L</m:t>
            </m:r>
          </m:e>
        </m:d>
      </m:oMath>
      <w:r>
        <w:t xml:space="preserve">, which is increasing and concave because</w:t>
      </w:r>
      <w:r>
        <w:t xml:space="preserve"> </w:t>
      </w:r>
      <m:oMath>
        <m:sSub>
          <m:e>
            <m:r>
              <m:t>g</m:t>
            </m:r>
          </m:e>
          <m:sub>
            <m:r>
              <m:t>θ</m:t>
            </m:r>
          </m:sub>
        </m:sSub>
      </m:oMath>
      <w:r>
        <w:t xml:space="preserve"> </w:t>
      </w:r>
      <w:r>
        <w:t xml:space="preserve">is decreasing and convex below</w:t>
      </w:r>
      <w:r>
        <w:t xml:space="preserve"> </w:t>
      </w:r>
      <m:oMath>
        <m:sSup>
          <m:e>
            <m:r>
              <m:t>τ</m:t>
            </m:r>
          </m:e>
          <m:sup>
            <m:r>
              <m:rPr>
                <m:sty m:val="p"/>
              </m:rPr>
              <m:t>∘</m:t>
            </m:r>
          </m:sup>
        </m:sSup>
        <m:d>
          <m:dPr>
            <m:begChr m:val="("/>
            <m:sepChr m:val=""/>
            <m:endChr m:val=")"/>
            <m:grow/>
          </m:dPr>
          <m:e>
            <m:r>
              <m:t>θ</m:t>
            </m:r>
          </m:e>
        </m:d>
      </m:oMath>
      <w:r>
        <w:t xml:space="preserve">. For larger</w:t>
      </w:r>
      <w:r>
        <w:t xml:space="preserve"> </w:t>
      </w:r>
      <m:oMath>
        <m:r>
          <m:t>L</m:t>
        </m:r>
      </m:oMath>
      <w:r>
        <w:t xml:space="preserve">,</w:t>
      </w:r>
      <w:r>
        <w:t xml:space="preserve"> </w:t>
      </w:r>
      <m:oMath>
        <m:sSub>
          <m:e>
            <m:r>
              <m:t>f</m:t>
            </m:r>
          </m:e>
          <m:sub>
            <m:r>
              <m:t>θ</m:t>
            </m:r>
          </m:sub>
        </m:sSub>
      </m:oMath>
      <w:r>
        <w:t xml:space="preserve"> </w:t>
      </w:r>
      <w:r>
        <w:t xml:space="preserve">is constant. Since</w:t>
      </w:r>
      <w:r>
        <w:t xml:space="preserve"> </w:t>
      </w:r>
      <m:oMath>
        <m:sSub>
          <m:e>
            <m:r>
              <m:t>g</m:t>
            </m:r>
          </m:e>
          <m:sub>
            <m:r>
              <m:t>θ</m:t>
            </m:r>
          </m:sub>
        </m:sSub>
        <m:r>
          <m:rPr>
            <m:sty m:val="p"/>
          </m:rPr>
          <m:t>′</m:t>
        </m:r>
        <m:d>
          <m:dPr>
            <m:begChr m:val="("/>
            <m:sepChr m:val=""/>
            <m:endChr m:val=")"/>
            <m:grow/>
          </m:dPr>
          <m:e>
            <m:sSup>
              <m:e>
                <m:r>
                  <m:t>τ</m:t>
                </m:r>
              </m:e>
              <m:sup>
                <m:r>
                  <m:rPr>
                    <m:sty m:val="p"/>
                  </m:rPr>
                  <m:t>∘</m:t>
                </m:r>
              </m:sup>
            </m:sSup>
            <m:d>
              <m:dPr>
                <m:begChr m:val="("/>
                <m:sepChr m:val=""/>
                <m:endChr m:val=")"/>
                <m:grow/>
              </m:dPr>
              <m:e>
                <m:r>
                  <m:t>θ</m:t>
                </m:r>
              </m:e>
            </m:d>
          </m:e>
        </m:d>
        <m:r>
          <m:rPr>
            <m:sty m:val="p"/>
          </m:rPr>
          <m:t>=</m:t>
        </m:r>
        <m:r>
          <m:t>0</m:t>
        </m:r>
      </m:oMath>
      <w:r>
        <w:t xml:space="preserve">,</w:t>
      </w:r>
      <w:r>
        <w:t xml:space="preserve"> </w:t>
      </w:r>
      <m:oMath>
        <m:sSub>
          <m:e>
            <m:r>
              <m:t>f</m:t>
            </m:r>
          </m:e>
          <m:sub>
            <m:r>
              <m:t>θ</m:t>
            </m:r>
          </m:sub>
        </m:sSub>
      </m:oMath>
      <w:r>
        <w:t xml:space="preserve"> </w:t>
      </w:r>
      <w:r>
        <w:t xml:space="preserve">is differentiable at the kink, so</w:t>
      </w:r>
      <w:r>
        <w:t xml:space="preserve"> </w:t>
      </w:r>
      <m:oMath>
        <m:sSub>
          <m:e>
            <m:r>
              <m:t>f</m:t>
            </m:r>
          </m:e>
          <m:sub>
            <m:r>
              <m:t>θ</m:t>
            </m:r>
          </m:sub>
        </m:sSub>
      </m:oMath>
      <w:r>
        <w:t xml:space="preserve"> </w:t>
      </w:r>
      <w:r>
        <w:t xml:space="preserve">is nondecreasing and concave in</w:t>
      </w:r>
      <w:r>
        <w:t xml:space="preserve"> </w:t>
      </w:r>
      <m:oMath>
        <m:r>
          <m:t>L</m:t>
        </m:r>
      </m:oMath>
      <w:r>
        <w:t xml:space="preserve">.</w:t>
      </w:r>
    </w:p>
    <w:p>
      <w:pPr>
        <w:pStyle w:val="BodyText"/>
      </w:pPr>
      <w:r>
        <w:rPr>
          <w:iCs/>
          <w:i/>
        </w:rPr>
        <w:t xml:space="preserve">Part 1.</w:t>
      </w:r>
      <w:r>
        <w:t xml:space="preserve"> </w:t>
      </w:r>
      <w:r>
        <w:t xml:space="preserve">The platform charges</w:t>
      </w:r>
      <w:r>
        <w:t xml:space="preserve"> </w:t>
      </w:r>
      <m:oMath>
        <m:r>
          <m:t>p</m:t>
        </m:r>
        <m:r>
          <m:rPr>
            <m:sty m:val="p"/>
          </m:rPr>
          <m:t>=</m:t>
        </m:r>
        <m:sSub>
          <m:e>
            <m:r>
              <m:t>f</m:t>
            </m:r>
          </m:e>
          <m:sub>
            <m:sSup>
              <m:e>
                <m:r>
                  <m:t>θ</m:t>
                </m:r>
              </m:e>
              <m:sup>
                <m:r>
                  <m:rPr>
                    <m:sty m:val="p"/>
                  </m:rPr>
                  <m:t>*</m:t>
                </m:r>
              </m:sup>
            </m:sSup>
          </m:sub>
        </m:sSub>
        <m:d>
          <m:dPr>
            <m:begChr m:val="("/>
            <m:sepChr m:val=""/>
            <m:endChr m:val=")"/>
            <m:grow/>
          </m:dPr>
          <m:e>
            <m:r>
              <m:t>L</m:t>
            </m:r>
          </m:e>
        </m:d>
      </m:oMath>
      <w:r>
        <w:t xml:space="preserve">, so</w:t>
      </w:r>
      <w:r>
        <w:t xml:space="preserve"> </w:t>
      </w:r>
      <m:oMath>
        <m:r>
          <m:t>Π</m:t>
        </m:r>
        <m:d>
          <m:dPr>
            <m:begChr m:val="("/>
            <m:sepChr m:val=""/>
            <m:endChr m:val=")"/>
            <m:grow/>
          </m:dPr>
          <m:e>
            <m:r>
              <m:t>L</m:t>
            </m:r>
          </m:e>
        </m:d>
        <m:r>
          <m:rPr>
            <m:sty m:val="p"/>
          </m:rPr>
          <m:t>=</m:t>
        </m:r>
        <m:r>
          <m:t>Q</m:t>
        </m:r>
        <m:sSub>
          <m:e>
            <m:r>
              <m:t>f</m:t>
            </m:r>
          </m:e>
          <m:sub>
            <m:sSup>
              <m:e>
                <m:r>
                  <m:t>θ</m:t>
                </m:r>
              </m:e>
              <m:sup>
                <m:r>
                  <m:rPr>
                    <m:sty m:val="p"/>
                  </m:rPr>
                  <m:t>*</m:t>
                </m:r>
              </m:sup>
            </m:sSup>
          </m:sub>
        </m:sSub>
        <m:d>
          <m:dPr>
            <m:begChr m:val="("/>
            <m:sepChr m:val=""/>
            <m:endChr m:val=")"/>
            <m:grow/>
          </m:dPr>
          <m:e>
            <m:r>
              <m:t>L</m:t>
            </m:r>
          </m:e>
        </m:d>
        <m:r>
          <m:rPr>
            <m:sty m:val="p"/>
          </m:rPr>
          <m:t>−</m:t>
        </m:r>
        <m:r>
          <m:t>K</m:t>
        </m:r>
        <m:d>
          <m:dPr>
            <m:begChr m:val="("/>
            <m:sepChr m:val=""/>
            <m:endChr m:val=")"/>
            <m:grow/>
          </m:dPr>
          <m:e>
            <m:r>
              <m:t>F</m:t>
            </m:r>
          </m:e>
        </m:d>
        <m:r>
          <m:rPr>
            <m:sty m:val="p"/>
          </m:rPr>
          <m:t>/</m:t>
        </m:r>
        <m:r>
          <m:t>t</m:t>
        </m:r>
        <m:r>
          <m:rPr>
            <m:sty m:val="p"/>
          </m:rPr>
          <m:t>−</m:t>
        </m:r>
        <m:sSub>
          <m:e>
            <m:r>
              <m:t>c</m:t>
            </m:r>
          </m:e>
          <m:sub>
            <m:r>
              <m:t>v</m:t>
            </m:r>
          </m:sub>
        </m:sSub>
        <m:r>
          <m:t>L</m:t>
        </m:r>
        <m:r>
          <m:rPr>
            <m:sty m:val="p"/>
          </m:rPr>
          <m:t>/</m:t>
        </m:r>
        <m:r>
          <m:t>t</m:t>
        </m:r>
      </m:oMath>
      <w:r>
        <w:t xml:space="preserve">. For</w:t>
      </w:r>
      <w:r>
        <w:t xml:space="preserve"> </w:t>
      </w:r>
      <m:oMath>
        <m:r>
          <m:t>L</m:t>
        </m:r>
        <m:r>
          <m:rPr>
            <m:sty m:val="p"/>
          </m:rPr>
          <m:t>≥</m:t>
        </m:r>
        <m:sSub>
          <m:e>
            <m:r>
              <m:t>L</m:t>
            </m:r>
          </m:e>
          <m:sub>
            <m:r>
              <m:t>0</m:t>
            </m:r>
          </m:sub>
        </m:sSub>
      </m:oMath>
      <w:r>
        <w:t xml:space="preserve">,</w:t>
      </w:r>
      <w:r>
        <w:t xml:space="preserve"> </w:t>
      </w:r>
      <m:oMath>
        <m:r>
          <m:t>τ</m:t>
        </m:r>
        <m:d>
          <m:dPr>
            <m:begChr m:val="("/>
            <m:sepChr m:val=""/>
            <m:endChr m:val=")"/>
            <m:grow/>
          </m:dPr>
          <m:e>
            <m:sSup>
              <m:e>
                <m:r>
                  <m:t>θ</m:t>
                </m:r>
              </m:e>
              <m:sup>
                <m:r>
                  <m:rPr>
                    <m:sty m:val="p"/>
                  </m:rPr>
                  <m:t>*</m:t>
                </m:r>
              </m:sup>
            </m:sSup>
            <m:r>
              <m:rPr>
                <m:sty m:val="p"/>
              </m:rPr>
              <m:t>;</m:t>
            </m:r>
            <m:r>
              <m:t>L</m:t>
            </m:r>
          </m:e>
        </m:d>
        <m:r>
          <m:rPr>
            <m:sty m:val="p"/>
          </m:rPr>
          <m:t>=</m:t>
        </m:r>
        <m:r>
          <m:rPr>
            <m:sty m:val="p"/>
          </m:rPr>
          <m:t>max</m:t>
        </m:r>
        <m:r>
          <m:rPr>
            <m:sty m:val="p"/>
          </m:rPr>
          <m:t>{</m:t>
        </m:r>
        <m:r>
          <m:t>t</m:t>
        </m:r>
        <m:r>
          <m:rPr>
            <m:sty m:val="p"/>
          </m:rPr>
          <m:t>,</m:t>
        </m:r>
        <m:sSup>
          <m:e>
            <m:r>
              <m:t>τ</m:t>
            </m:r>
          </m:e>
          <m:sup>
            <m:r>
              <m:rPr>
                <m:sty m:val="p"/>
              </m:rPr>
              <m:t>∘</m:t>
            </m:r>
          </m:sup>
        </m:sSup>
        <m:d>
          <m:dPr>
            <m:begChr m:val="("/>
            <m:sepChr m:val=""/>
            <m:endChr m:val=")"/>
            <m:grow/>
          </m:dPr>
          <m:e>
            <m:sSup>
              <m:e>
                <m:r>
                  <m:t>θ</m:t>
                </m:r>
              </m:e>
              <m:sup>
                <m:r>
                  <m:rPr>
                    <m:sty m:val="p"/>
                  </m:rPr>
                  <m:t>*</m:t>
                </m:r>
              </m:sup>
            </m:sSup>
          </m:e>
        </m:d>
        <m:r>
          <m:rPr>
            <m:sty m:val="p"/>
          </m:rPr>
          <m:t>}</m:t>
        </m:r>
      </m:oMath>
      <w:r>
        <w:t xml:space="preserve"> </w:t>
      </w:r>
      <w:r>
        <w:t xml:space="preserve">does not depend on</w:t>
      </w:r>
      <w:r>
        <w:t xml:space="preserve"> </w:t>
      </w:r>
      <m:oMath>
        <m:r>
          <m:t>L</m:t>
        </m:r>
      </m:oMath>
      <w:r>
        <w:t xml:space="preserve">, so</w:t>
      </w:r>
      <w:r>
        <w:t xml:space="preserve"> </w:t>
      </w:r>
      <m:oMath>
        <m:sSub>
          <m:e>
            <m:r>
              <m:t>f</m:t>
            </m:r>
          </m:e>
          <m:sub>
            <m:sSup>
              <m:e>
                <m:r>
                  <m:t>θ</m:t>
                </m:r>
              </m:e>
              <m:sup>
                <m:r>
                  <m:rPr>
                    <m:sty m:val="p"/>
                  </m:rPr>
                  <m:t>*</m:t>
                </m:r>
              </m:sup>
            </m:sSup>
          </m:sub>
        </m:sSub>
      </m:oMath>
      <w:r>
        <w:t xml:space="preserve"> </w:t>
      </w:r>
      <w:r>
        <w:t xml:space="preserve">is constant and</w:t>
      </w:r>
      <w:r>
        <w:t xml:space="preserve"> </w:t>
      </w:r>
      <m:oMath>
        <m:r>
          <m:t>Π</m:t>
        </m:r>
      </m:oMath>
      <w:r>
        <w:t xml:space="preserve"> </w:t>
      </w:r>
      <w:r>
        <w:t xml:space="preserve">is nonincreasing in</w:t>
      </w:r>
      <w:r>
        <w:t xml:space="preserve"> </w:t>
      </w:r>
      <m:oMath>
        <m:r>
          <m:t>L</m:t>
        </m:r>
      </m:oMath>
      <w:r>
        <w:t xml:space="preserve"> </w:t>
      </w:r>
      <w:r>
        <w:t xml:space="preserve">(strictly if</w:t>
      </w:r>
      <w:r>
        <w:t xml:space="preserve"> </w:t>
      </w:r>
      <m:oMath>
        <m:sSub>
          <m:e>
            <m:r>
              <m:t>c</m:t>
            </m:r>
          </m:e>
          <m:sub>
            <m:r>
              <m:t>v</m:t>
            </m:r>
          </m:sub>
        </m:sSub>
        <m:r>
          <m:rPr>
            <m:sty m:val="p"/>
          </m:rPr>
          <m:t>&gt;</m:t>
        </m:r>
        <m:r>
          <m:t>0</m:t>
        </m:r>
      </m:oMath>
      <w:r>
        <w:t xml:space="preserve">). Hence any maximizer satisfies</w:t>
      </w:r>
      <w:r>
        <w:t xml:space="preserve"> </w:t>
      </w:r>
      <m:oMath>
        <m:sSub>
          <m:e>
            <m:r>
              <m:t>L</m:t>
            </m:r>
          </m:e>
          <m:sub>
            <m:r>
              <m:t>P</m:t>
            </m:r>
          </m:sub>
        </m:sSub>
        <m:r>
          <m:rPr>
            <m:sty m:val="p"/>
          </m:rPr>
          <m:t>≤</m:t>
        </m:r>
        <m:sSub>
          <m:e>
            <m:r>
              <m:t>L</m:t>
            </m:r>
          </m:e>
          <m:sub>
            <m:r>
              <m:t>0</m:t>
            </m:r>
          </m:sub>
        </m:sSub>
      </m:oMath>
      <w:r>
        <w:t xml:space="preserve">, taking the smallest maximizer when</w:t>
      </w:r>
      <w:r>
        <w:t xml:space="preserve"> </w:t>
      </w:r>
      <m:oMath>
        <m:sSub>
          <m:e>
            <m:r>
              <m:t>c</m:t>
            </m:r>
          </m:e>
          <m:sub>
            <m:r>
              <m:t>v</m:t>
            </m:r>
          </m:sub>
        </m:sSub>
        <m:r>
          <m:rPr>
            <m:sty m:val="p"/>
          </m:rPr>
          <m:t>=</m:t>
        </m:r>
        <m:r>
          <m:t>0</m:t>
        </m:r>
      </m:oMath>
      <w:r>
        <w:t xml:space="preserve">. If</w:t>
      </w:r>
      <w:r>
        <w:t xml:space="preserve"> </w:t>
      </w:r>
      <m:oMath>
        <m:sSup>
          <m:e>
            <m:r>
              <m:t>τ</m:t>
            </m:r>
          </m:e>
          <m:sup>
            <m:r>
              <m:rPr>
                <m:sty m:val="p"/>
              </m:rPr>
              <m:t>∘</m:t>
            </m:r>
          </m:sup>
        </m:sSup>
        <m:d>
          <m:dPr>
            <m:begChr m:val="("/>
            <m:sepChr m:val=""/>
            <m:endChr m:val=")"/>
            <m:grow/>
          </m:dPr>
          <m:e>
            <m:sSup>
              <m:e>
                <m:r>
                  <m:t>θ</m:t>
                </m:r>
              </m:e>
              <m:sup>
                <m:r>
                  <m:rPr>
                    <m:sty m:val="p"/>
                  </m:rPr>
                  <m:t>*</m:t>
                </m:r>
              </m:sup>
            </m:sSup>
          </m:e>
        </m:d>
        <m:r>
          <m:rPr>
            <m:sty m:val="p"/>
          </m:rPr>
          <m:t>≤</m:t>
        </m:r>
        <m:r>
          <m:t>t</m:t>
        </m:r>
      </m:oMath>
      <w:r>
        <w:t xml:space="preserve">, then</w:t>
      </w:r>
      <w:r>
        <w:t xml:space="preserve"> </w:t>
      </w:r>
      <m:oMath>
        <m:sSub>
          <m:e>
            <m:r>
              <m:t>L</m:t>
            </m:r>
          </m:e>
          <m:sub>
            <m:r>
              <m:t>0</m:t>
            </m:r>
          </m:sub>
        </m:sSub>
        <m:r>
          <m:rPr>
            <m:sty m:val="p"/>
          </m:rPr>
          <m:t>=</m:t>
        </m:r>
        <m:r>
          <m:t>0</m:t>
        </m:r>
      </m:oMath>
      <w:r>
        <w:t xml:space="preserve"> </w:t>
      </w:r>
      <w:r>
        <w:t xml:space="preserve">and</w:t>
      </w:r>
      <w:r>
        <w:t xml:space="preserve"> </w:t>
      </w:r>
      <m:oMath>
        <m:sSub>
          <m:e>
            <m:r>
              <m:t>L</m:t>
            </m:r>
          </m:e>
          <m:sub>
            <m:r>
              <m:t>P</m:t>
            </m:r>
          </m:sub>
        </m:sSub>
        <m:r>
          <m:rPr>
            <m:sty m:val="p"/>
          </m:rPr>
          <m:t>=</m:t>
        </m:r>
        <m:r>
          <m:t>0</m:t>
        </m:r>
      </m:oMath>
      <w:r>
        <w:t xml:space="preserve">.</w:t>
      </w:r>
    </w:p>
    <w:p>
      <w:pPr>
        <w:pStyle w:val="BodyText"/>
      </w:pPr>
      <w:r>
        <w:rPr>
          <w:iCs/>
          <w:i/>
        </w:rPr>
        <w:t xml:space="preserve">Part 2.</w:t>
      </w:r>
      <w:r>
        <w:t xml:space="preserve"> </w:t>
      </w:r>
      <m:oMath>
        <m:r>
          <m:t>W</m:t>
        </m:r>
        <m:d>
          <m:dPr>
            <m:begChr m:val="("/>
            <m:sepChr m:val=""/>
            <m:endChr m:val=")"/>
            <m:grow/>
          </m:dPr>
          <m:e>
            <m:r>
              <m:t>L</m:t>
            </m:r>
          </m:e>
        </m:d>
        <m:r>
          <m:rPr>
            <m:sty m:val="p"/>
          </m:rPr>
          <m:t>=</m:t>
        </m:r>
        <m:nary>
          <m:naryPr>
            <m:chr m:val="∫"/>
            <m:limLoc m:val="subSup"/>
            <m:subHide m:val="off"/>
            <m:supHide m:val="off"/>
          </m:naryPr>
          <m:sub>
            <m:sSup>
              <m:e>
                <m:r>
                  <m:t>θ</m:t>
                </m:r>
              </m:e>
              <m:sup>
                <m:r>
                  <m:rPr>
                    <m:sty m:val="p"/>
                  </m:rPr>
                  <m:t>*</m:t>
                </m:r>
              </m:sup>
            </m:sSup>
          </m:sub>
          <m:sup>
            <m:r>
              <m:t>1</m:t>
            </m:r>
          </m:sup>
          <m:e>
            <m:sSub>
              <m:e>
                <m:r>
                  <m:t>f</m:t>
                </m:r>
              </m:e>
              <m:sub>
                <m:r>
                  <m:t>θ</m:t>
                </m:r>
              </m:sub>
            </m:sSub>
          </m:e>
        </m:nary>
        <m:d>
          <m:dPr>
            <m:begChr m:val="("/>
            <m:sepChr m:val=""/>
            <m:endChr m:val=")"/>
            <m:grow/>
          </m:dPr>
          <m:e>
            <m:r>
              <m:t>L</m:t>
            </m:r>
          </m:e>
        </m:d>
        <m:r>
          <m:t> </m:t>
        </m:r>
        <m:r>
          <m:t>d</m:t>
        </m:r>
        <m:r>
          <m:t>G</m:t>
        </m:r>
        <m:d>
          <m:dPr>
            <m:begChr m:val="("/>
            <m:sepChr m:val=""/>
            <m:endChr m:val=")"/>
            <m:grow/>
          </m:dPr>
          <m:e>
            <m:r>
              <m:t>θ</m:t>
            </m:r>
          </m:e>
        </m:d>
        <m:r>
          <m:rPr>
            <m:sty m:val="p"/>
          </m:rPr>
          <m:t>−</m:t>
        </m:r>
        <m:r>
          <m:t>K</m:t>
        </m:r>
        <m:d>
          <m:dPr>
            <m:begChr m:val="("/>
            <m:sepChr m:val=""/>
            <m:endChr m:val=")"/>
            <m:grow/>
          </m:dPr>
          <m:e>
            <m:r>
              <m:t>F</m:t>
            </m:r>
          </m:e>
        </m:d>
        <m:r>
          <m:rPr>
            <m:sty m:val="p"/>
          </m:rPr>
          <m:t>/</m:t>
        </m:r>
        <m:r>
          <m:t>t</m:t>
        </m:r>
        <m:r>
          <m:rPr>
            <m:sty m:val="p"/>
          </m:rPr>
          <m:t>−</m:t>
        </m:r>
        <m:sSub>
          <m:e>
            <m:r>
              <m:t>c</m:t>
            </m:r>
          </m:e>
          <m:sub>
            <m:r>
              <m:t>v</m:t>
            </m:r>
          </m:sub>
        </m:sSub>
        <m:r>
          <m:t>L</m:t>
        </m:r>
        <m:r>
          <m:rPr>
            <m:sty m:val="p"/>
          </m:rPr>
          <m:t>/</m:t>
        </m:r>
        <m:r>
          <m:t>t</m:t>
        </m:r>
      </m:oMath>
      <w:r>
        <w:t xml:space="preserve"> </w:t>
      </w:r>
      <w:r>
        <w:t xml:space="preserve">is concave as a sum of concave functions minus a linear term. Its right derivative at</w:t>
      </w:r>
      <w:r>
        <w:t xml:space="preserve"> </w:t>
      </w:r>
      <m:oMath>
        <m:sSub>
          <m:e>
            <m:r>
              <m:t>L</m:t>
            </m:r>
          </m:e>
          <m:sub>
            <m:r>
              <m:t>0</m:t>
            </m:r>
          </m:sub>
        </m:sSub>
      </m:oMath>
      <w:r>
        <w:t xml:space="preserve"> </w:t>
      </w:r>
      <w:r>
        <w:t xml:space="preserve">is</w:t>
      </w:r>
    </w:p>
    <w:p>
      <w:pPr>
        <w:pStyle w:val="BodyText"/>
      </w:pPr>
      <m:oMathPara>
        <m:oMathParaPr>
          <m:jc m:val="center"/>
        </m:oMathParaPr>
        <m:oMath>
          <m:r>
            <m:t>W</m:t>
          </m:r>
          <m:r>
            <m:rPr>
              <m:sty m:val="p"/>
            </m:rPr>
            <m:t>′</m:t>
          </m:r>
          <m:d>
            <m:dPr>
              <m:begChr m:val="("/>
              <m:sepChr m:val=""/>
              <m:endChr m:val=")"/>
              <m:grow/>
            </m:dPr>
            <m:e>
              <m:sSubSup>
                <m:e>
                  <m:r>
                    <m:t>L</m:t>
                  </m:r>
                </m:e>
                <m:sub>
                  <m:r>
                    <m:t>0</m:t>
                  </m:r>
                </m:sub>
                <m:sup>
                  <m:r>
                    <m:rPr>
                      <m:sty m:val="p"/>
                    </m:rPr>
                    <m:t>+</m:t>
                  </m:r>
                </m:sup>
              </m:sSubSup>
            </m:e>
          </m:d>
          <m:r>
            <m:rPr>
              <m:sty m:val="p"/>
            </m:rPr>
            <m:t>=</m:t>
          </m:r>
          <m:nary>
            <m:naryPr>
              <m:chr m:val="∫"/>
              <m:limLoc m:val="subSup"/>
              <m:subHide m:val="off"/>
              <m:supHide m:val="on"/>
            </m:naryPr>
            <m:sub>
              <m:r>
                <m:rPr>
                  <m:sty m:val="p"/>
                </m:rPr>
                <m:t>{</m:t>
              </m:r>
              <m:r>
                <m:t>θ</m:t>
              </m:r>
              <m:r>
                <m:rPr>
                  <m:sty m:val="p"/>
                </m:rPr>
                <m:t>≥</m:t>
              </m:r>
              <m:sSup>
                <m:e>
                  <m:r>
                    <m:t>θ</m:t>
                  </m:r>
                </m:e>
                <m:sup>
                  <m:r>
                    <m:rPr>
                      <m:sty m:val="p"/>
                    </m:rPr>
                    <m:t>*</m:t>
                  </m:r>
                </m:sup>
              </m:sSup>
              <m:r>
                <m:rPr>
                  <m:sty m:val="p"/>
                </m:rPr>
                <m:t>:</m:t>
              </m:r>
              <m:r>
                <m:t> </m:t>
              </m:r>
              <m:sSup>
                <m:e>
                  <m:r>
                    <m:t>τ</m:t>
                  </m:r>
                </m:e>
                <m:sup>
                  <m:r>
                    <m:rPr>
                      <m:sty m:val="p"/>
                    </m:rPr>
                    <m:t>∘</m:t>
                  </m:r>
                </m:sup>
              </m:sSup>
              <m:d>
                <m:dPr>
                  <m:begChr m:val="("/>
                  <m:sepChr m:val=""/>
                  <m:endChr m:val=")"/>
                  <m:grow/>
                </m:dPr>
                <m:e>
                  <m:r>
                    <m:t>θ</m:t>
                  </m:r>
                </m:e>
              </m:d>
              <m:r>
                <m:rPr>
                  <m:sty m:val="p"/>
                </m:rPr>
                <m:t>&gt;</m:t>
              </m:r>
              <m:r>
                <m:t>t</m:t>
              </m:r>
              <m:r>
                <m:rPr>
                  <m:sty m:val="p"/>
                </m:rPr>
                <m:t>+</m:t>
              </m:r>
              <m:sSub>
                <m:e>
                  <m:r>
                    <m:t>L</m:t>
                  </m:r>
                </m:e>
                <m:sub>
                  <m:r>
                    <m:t>0</m:t>
                  </m:r>
                </m:sub>
              </m:sSub>
              <m:r>
                <m:rPr>
                  <m:sty m:val="p"/>
                </m:rPr>
                <m:t>}</m:t>
              </m:r>
            </m:sub>
            <m:sup>
              <m:r>
                <m:t>​</m:t>
              </m:r>
            </m:sup>
            <m:e>
              <m:d>
                <m:dPr>
                  <m:begChr m:val="["/>
                  <m:sepChr m:val=""/>
                  <m:endChr m:val="]"/>
                  <m:grow/>
                </m:dPr>
                <m:e>
                  <m:f>
                    <m:fPr>
                      <m:type m:val="bar"/>
                    </m:fPr>
                    <m:num>
                      <m:r>
                        <m:t>σ</m:t>
                      </m:r>
                      <m:d>
                        <m:dPr>
                          <m:begChr m:val="("/>
                          <m:sepChr m:val=""/>
                          <m:endChr m:val=")"/>
                          <m:grow/>
                        </m:dPr>
                        <m:e>
                          <m:r>
                            <m:t>θ</m:t>
                          </m:r>
                        </m:e>
                      </m:d>
                      <m:r>
                        <m:t>φ</m:t>
                      </m:r>
                      <m:d>
                        <m:dPr>
                          <m:begChr m:val="("/>
                          <m:sepChr m:val=""/>
                          <m:endChr m:val=")"/>
                          <m:grow/>
                        </m:dPr>
                        <m:e>
                          <m:r>
                            <m:t>F</m:t>
                          </m:r>
                        </m:e>
                      </m:d>
                    </m:num>
                    <m:den>
                      <m:sSup>
                        <m:e>
                          <m:d>
                            <m:dPr>
                              <m:begChr m:val="("/>
                              <m:sepChr m:val=""/>
                              <m:endChr m:val=")"/>
                              <m:grow/>
                            </m:dPr>
                            <m:e>
                              <m:r>
                                <m:t>t</m:t>
                              </m:r>
                              <m:r>
                                <m:rPr>
                                  <m:sty m:val="p"/>
                                </m:rPr>
                                <m:t>+</m:t>
                              </m:r>
                              <m:sSub>
                                <m:e>
                                  <m:r>
                                    <m:t>L</m:t>
                                  </m:r>
                                </m:e>
                                <m:sub>
                                  <m:r>
                                    <m:t>0</m:t>
                                  </m:r>
                                </m:sub>
                              </m:sSub>
                            </m:e>
                          </m:d>
                        </m:e>
                        <m:sup>
                          <m:r>
                            <m:t>2</m:t>
                          </m:r>
                        </m:sup>
                      </m:sSup>
                    </m:den>
                  </m:f>
                  <m:r>
                    <m:rPr>
                      <m:sty m:val="p"/>
                    </m:rPr>
                    <m:t>−</m:t>
                  </m:r>
                  <m:f>
                    <m:fPr>
                      <m:type m:val="bar"/>
                    </m:fPr>
                    <m:num>
                      <m:r>
                        <m:t>a</m:t>
                      </m:r>
                      <m:r>
                        <m:t>γ</m:t>
                      </m:r>
                    </m:num>
                    <m:den>
                      <m:r>
                        <m:t>2</m:t>
                      </m:r>
                    </m:den>
                  </m:f>
                </m:e>
              </m:d>
            </m:e>
          </m:nary>
          <m:r>
            <m:t>d</m:t>
          </m:r>
          <m:r>
            <m:t>G</m:t>
          </m:r>
          <m:d>
            <m:dPr>
              <m:begChr m:val="("/>
              <m:sepChr m:val=""/>
              <m:endChr m:val=")"/>
              <m:grow/>
            </m:dPr>
            <m:e>
              <m:r>
                <m:t>θ</m:t>
              </m:r>
            </m:e>
          </m:d>
          <m:r>
            <m:rPr>
              <m:sty m:val="p"/>
            </m:rPr>
            <m:t>−</m:t>
          </m:r>
          <m:f>
            <m:fPr>
              <m:type m:val="bar"/>
            </m:fPr>
            <m:num>
              <m:sSub>
                <m:e>
                  <m:r>
                    <m:t>c</m:t>
                  </m:r>
                </m:e>
                <m:sub>
                  <m:r>
                    <m:t>v</m:t>
                  </m:r>
                </m:sub>
              </m:sSub>
            </m:num>
            <m:den>
              <m:r>
                <m:t>t</m:t>
              </m:r>
            </m:den>
          </m:f>
          <m:r>
            <m:rPr>
              <m:sty m:val="p"/>
            </m:rPr>
            <m:t>.</m:t>
          </m:r>
        </m:oMath>
      </m:oMathPara>
    </w:p>
    <w:p>
      <w:pPr>
        <w:pStyle w:val="FirstParagraph"/>
      </w:pPr>
      <w:r>
        <w:t xml:space="preserve">The integrand is positive on the set of integration because</w:t>
      </w:r>
      <w:r>
        <w:t xml:space="preserve"> </w:t>
      </w:r>
      <m:oMath>
        <m:sSup>
          <m:e>
            <m:r>
              <m:t>τ</m:t>
            </m:r>
          </m:e>
          <m:sup>
            <m:r>
              <m:rPr>
                <m:sty m:val="p"/>
              </m:rPr>
              <m:t>∘</m:t>
            </m:r>
          </m:sup>
        </m:sSup>
        <m:d>
          <m:dPr>
            <m:begChr m:val="("/>
            <m:sepChr m:val=""/>
            <m:endChr m:val=")"/>
            <m:grow/>
          </m:dPr>
          <m:e>
            <m:r>
              <m:t>θ</m:t>
            </m:r>
          </m:e>
        </m:d>
        <m:r>
          <m:rPr>
            <m:sty m:val="p"/>
          </m:rPr>
          <m:t>&gt;</m:t>
        </m:r>
        <m:r>
          <m:t>t</m:t>
        </m:r>
        <m:r>
          <m:rPr>
            <m:sty m:val="p"/>
          </m:rPr>
          <m:t>+</m:t>
        </m:r>
        <m:sSub>
          <m:e>
            <m:r>
              <m:t>L</m:t>
            </m:r>
          </m:e>
          <m:sub>
            <m:r>
              <m:t>0</m:t>
            </m:r>
          </m:sub>
        </m:sSub>
      </m:oMath>
      <w:r>
        <w:t xml:space="preserve"> </w:t>
      </w:r>
      <w:r>
        <w:t xml:space="preserve">there. Under Assumption 2,</w:t>
      </w:r>
      <w:r>
        <w:t xml:space="preserve"> </w:t>
      </w:r>
      <m:oMath>
        <m:sSup>
          <m:e>
            <m:r>
              <m:t>τ</m:t>
            </m:r>
          </m:e>
          <m:sup>
            <m:r>
              <m:rPr>
                <m:sty m:val="p"/>
              </m:rPr>
              <m:t>∘</m:t>
            </m:r>
          </m:sup>
        </m:sSup>
      </m:oMath>
      <w:r>
        <w:t xml:space="preserve"> </w:t>
      </w:r>
      <w:r>
        <w:t xml:space="preserve">is increasing, so the set is an interval</w:t>
      </w:r>
      <w:r>
        <w:t xml:space="preserve"> </w:t>
      </w:r>
      <m:oMath>
        <m:r>
          <m:rPr>
            <m:sty m:val="p"/>
          </m:rPr>
          <m:t>(</m:t>
        </m:r>
        <m:acc>
          <m:accPr>
            <m:chr m:val="̃"/>
          </m:accPr>
          <m:e>
            <m:r>
              <m:t>θ</m:t>
            </m:r>
          </m:e>
        </m:acc>
        <m:r>
          <m:rPr>
            <m:sty m:val="p"/>
          </m:rPr>
          <m:t>,</m:t>
        </m:r>
        <m:r>
          <m:t>1</m:t>
        </m:r>
        <m:r>
          <m:rPr>
            <m:sty m:val="p"/>
          </m:rPr>
          <m:t>]</m:t>
        </m:r>
      </m:oMath>
      <w:r>
        <w:t xml:space="preserve"> </w:t>
      </w:r>
      <w:r>
        <w:t xml:space="preserve">with positive measure whenever</w:t>
      </w:r>
      <w:r>
        <w:t xml:space="preserve"> </w:t>
      </w:r>
      <m:oMath>
        <m:sSup>
          <m:e>
            <m:r>
              <m:t>τ</m:t>
            </m:r>
          </m:e>
          <m:sup>
            <m:r>
              <m:rPr>
                <m:sty m:val="p"/>
              </m:rPr>
              <m:t>∘</m:t>
            </m:r>
          </m:sup>
        </m:sSup>
        <m:d>
          <m:dPr>
            <m:begChr m:val="("/>
            <m:sepChr m:val=""/>
            <m:endChr m:val=")"/>
            <m:grow/>
          </m:dPr>
          <m:e>
            <m:r>
              <m:t>1</m:t>
            </m:r>
          </m:e>
        </m:d>
        <m:r>
          <m:rPr>
            <m:sty m:val="p"/>
          </m:rPr>
          <m:t>&gt;</m:t>
        </m:r>
        <m:r>
          <m:t>t</m:t>
        </m:r>
        <m:r>
          <m:rPr>
            <m:sty m:val="p"/>
          </m:rPr>
          <m:t>+</m:t>
        </m:r>
        <m:sSub>
          <m:e>
            <m:r>
              <m:t>L</m:t>
            </m:r>
          </m:e>
          <m:sub>
            <m:r>
              <m:t>0</m:t>
            </m:r>
          </m:sub>
        </m:sSub>
      </m:oMath>
      <w:r>
        <w:t xml:space="preserve">. Define</w:t>
      </w:r>
      <w:r>
        <w:t xml:space="preserve"> </w:t>
      </w:r>
      <m:oMath>
        <m:acc>
          <m:accPr>
            <m:chr m:val="‾"/>
          </m:accPr>
          <m:e>
            <m:r>
              <m:t>c</m:t>
            </m:r>
          </m:e>
        </m:acc>
      </m:oMath>
      <w:r>
        <w:t xml:space="preserve"> </w:t>
      </w:r>
      <w:r>
        <w:t xml:space="preserve">as</w:t>
      </w:r>
      <w:r>
        <w:t xml:space="preserve"> </w:t>
      </w:r>
      <m:oMath>
        <m:r>
          <m:t>t</m:t>
        </m:r>
      </m:oMath>
      <w:r>
        <w:t xml:space="preserve"> </w:t>
      </w:r>
      <w:r>
        <w:t xml:space="preserve">times the integral; then</w:t>
      </w:r>
      <w:r>
        <w:t xml:space="preserve"> </w:t>
      </w:r>
      <m:oMath>
        <m:acc>
          <m:accPr>
            <m:chr m:val="‾"/>
          </m:accPr>
          <m:e>
            <m:r>
              <m:t>c</m:t>
            </m:r>
          </m:e>
        </m:acc>
        <m:r>
          <m:rPr>
            <m:sty m:val="p"/>
          </m:rPr>
          <m:t>&gt;</m:t>
        </m:r>
        <m:r>
          <m:t>0</m:t>
        </m:r>
      </m:oMath>
      <w:r>
        <w:t xml:space="preserve">, and</w:t>
      </w:r>
      <w:r>
        <w:t xml:space="preserve"> </w:t>
      </w:r>
      <m:oMath>
        <m:sSub>
          <m:e>
            <m:r>
              <m:t>c</m:t>
            </m:r>
          </m:e>
          <m:sub>
            <m:r>
              <m:t>v</m:t>
            </m:r>
          </m:sub>
        </m:sSub>
        <m:r>
          <m:rPr>
            <m:sty m:val="p"/>
          </m:rPr>
          <m:t>&lt;</m:t>
        </m:r>
        <m:acc>
          <m:accPr>
            <m:chr m:val="‾"/>
          </m:accPr>
          <m:e>
            <m:r>
              <m:t>c</m:t>
            </m:r>
          </m:e>
        </m:acc>
      </m:oMath>
      <w:r>
        <w:t xml:space="preserve"> </w:t>
      </w:r>
      <w:r>
        <w:t xml:space="preserve">implies</w:t>
      </w:r>
      <w:r>
        <w:t xml:space="preserve"> </w:t>
      </w:r>
      <m:oMath>
        <m:r>
          <m:t>W</m:t>
        </m:r>
        <m:r>
          <m:rPr>
            <m:sty m:val="p"/>
          </m:rPr>
          <m:t>′</m:t>
        </m:r>
        <m:d>
          <m:dPr>
            <m:begChr m:val="("/>
            <m:sepChr m:val=""/>
            <m:endChr m:val=")"/>
            <m:grow/>
          </m:dPr>
          <m:e>
            <m:sSubSup>
              <m:e>
                <m:r>
                  <m:t>L</m:t>
                </m:r>
              </m:e>
              <m:sub>
                <m:r>
                  <m:t>0</m:t>
                </m:r>
              </m:sub>
              <m:sup>
                <m:r>
                  <m:rPr>
                    <m:sty m:val="p"/>
                  </m:rPr>
                  <m:t>+</m:t>
                </m:r>
              </m:sup>
            </m:sSubSup>
          </m:e>
        </m:d>
        <m:r>
          <m:rPr>
            <m:sty m:val="p"/>
          </m:rPr>
          <m:t>&gt;</m:t>
        </m:r>
        <m:r>
          <m:t>0</m:t>
        </m:r>
      </m:oMath>
      <w:r>
        <w:t xml:space="preserve">. By concavity,</w:t>
      </w:r>
      <w:r>
        <w:t xml:space="preserve"> </w:t>
      </w:r>
      <m:oMath>
        <m:sSub>
          <m:e>
            <m:r>
              <m:t>L</m:t>
            </m:r>
          </m:e>
          <m:sub>
            <m:r>
              <m:t>W</m:t>
            </m:r>
          </m:sub>
        </m:sSub>
        <m:r>
          <m:rPr>
            <m:sty m:val="p"/>
          </m:rPr>
          <m:t>&gt;</m:t>
        </m:r>
        <m:sSub>
          <m:e>
            <m:r>
              <m:t>L</m:t>
            </m:r>
          </m:e>
          <m:sub>
            <m:r>
              <m:t>0</m:t>
            </m:r>
          </m:sub>
        </m:sSub>
        <m:r>
          <m:rPr>
            <m:sty m:val="p"/>
          </m:rPr>
          <m:t>≥</m:t>
        </m:r>
        <m:sSub>
          <m:e>
            <m:r>
              <m:t>L</m:t>
            </m:r>
          </m:e>
          <m:sub>
            <m:r>
              <m:t>P</m:t>
            </m:r>
          </m:sub>
        </m:sSub>
      </m:oMath>
      <w:r>
        <w:t xml:space="preserve">.</w:t>
      </w:r>
      <w:r>
        <w:t xml:space="preserve"> </w:t>
      </w:r>
      <m:oMath>
        <m:r>
          <m:rPr>
            <m:sty m:val="p"/>
          </m:rPr>
          <m:t>◼</m:t>
        </m:r>
      </m:oMath>
    </w:p>
    <w:p>
      <w:pPr>
        <w:pStyle w:val="BodyText"/>
      </w:pPr>
      <w:r>
        <w:rPr>
          <w:bCs/>
          <w:b/>
        </w:rPr>
        <w:t xml:space="preserve">Proof of Corollary 1.</w:t>
      </w:r>
      <w:r>
        <w:t xml:space="preserve"> </w:t>
      </w:r>
      <w:r>
        <w:t xml:space="preserve">With</w:t>
      </w:r>
      <w:r>
        <w:t xml:space="preserve"> </w:t>
      </w:r>
      <m:oMath>
        <m:r>
          <m:t>L</m:t>
        </m:r>
        <m:r>
          <m:rPr>
            <m:sty m:val="p"/>
          </m:rPr>
          <m:t>=</m:t>
        </m:r>
        <m:r>
          <m:rPr>
            <m:sty m:val="p"/>
          </m:rPr>
          <m:t>∞</m:t>
        </m:r>
      </m:oMath>
      <w:r>
        <w:t xml:space="preserve"> </w:t>
      </w:r>
      <w:r>
        <w:t xml:space="preserve">and</w:t>
      </w:r>
      <w:r>
        <w:t xml:space="preserve"> </w:t>
      </w:r>
      <m:oMath>
        <m:sSub>
          <m:e>
            <m:r>
              <m:t>c</m:t>
            </m:r>
          </m:e>
          <m:sub>
            <m:r>
              <m:t>v</m:t>
            </m:r>
          </m:sub>
        </m:sSub>
        <m:r>
          <m:rPr>
            <m:sty m:val="p"/>
          </m:rPr>
          <m:t>=</m:t>
        </m:r>
        <m:r>
          <m:t>0</m:t>
        </m:r>
      </m:oMath>
      <w:r>
        <w:t xml:space="preserve">, a type’s payoff before price is</w:t>
      </w:r>
      <w:r>
        <w:t xml:space="preserve"> </w:t>
      </w:r>
      <m:oMath>
        <m:sSub>
          <m:e>
            <m:r>
              <m:t>f</m:t>
            </m:r>
          </m:e>
          <m:sub>
            <m:r>
              <m:t>θ</m:t>
            </m:r>
          </m:sub>
        </m:sSub>
        <m:d>
          <m:dPr>
            <m:begChr m:val="("/>
            <m:sepChr m:val=""/>
            <m:endChr m:val=")"/>
            <m:grow/>
          </m:dPr>
          <m:e>
            <m:r>
              <m:t>t</m:t>
            </m:r>
          </m:e>
        </m:d>
        <m:r>
          <m:rPr>
            <m:sty m:val="p"/>
          </m:rPr>
          <m:t>=</m:t>
        </m:r>
        <m:r>
          <m:t>v</m:t>
        </m:r>
        <m:d>
          <m:dPr>
            <m:begChr m:val="("/>
            <m:sepChr m:val=""/>
            <m:endChr m:val=")"/>
            <m:grow/>
          </m:dPr>
          <m:e>
            <m:r>
              <m:t>θ</m:t>
            </m:r>
          </m:e>
        </m:d>
        <m:r>
          <m:rPr>
            <m:sty m:val="p"/>
          </m:rPr>
          <m:t>−</m:t>
        </m:r>
        <m:r>
          <m:t>a</m:t>
        </m:r>
        <m:r>
          <m:t>F</m:t>
        </m:r>
        <m:r>
          <m:rPr>
            <m:sty m:val="p"/>
          </m:rPr>
          <m:t>−</m:t>
        </m:r>
        <m:sSub>
          <m:e>
            <m:r>
              <m:t>g</m:t>
            </m:r>
          </m:e>
          <m:sub>
            <m:r>
              <m:t>θ</m:t>
            </m:r>
          </m:sub>
        </m:sSub>
        <m:d>
          <m:dPr>
            <m:begChr m:val="("/>
            <m:sepChr m:val=""/>
            <m:endChr m:val=")"/>
            <m:grow/>
          </m:dPr>
          <m:e>
            <m:r>
              <m:rPr>
                <m:sty m:val="p"/>
              </m:rPr>
              <m:t>max</m:t>
            </m:r>
            <m:r>
              <m:rPr>
                <m:sty m:val="p"/>
              </m:rPr>
              <m:t>{</m:t>
            </m:r>
            <m:r>
              <m:t>t</m:t>
            </m:r>
            <m:r>
              <m:rPr>
                <m:sty m:val="p"/>
              </m:rPr>
              <m:t>,</m:t>
            </m:r>
            <m:sSup>
              <m:e>
                <m:r>
                  <m:t>τ</m:t>
                </m:r>
              </m:e>
              <m:sup>
                <m:r>
                  <m:rPr>
                    <m:sty m:val="p"/>
                  </m:rPr>
                  <m:t>∘</m:t>
                </m:r>
              </m:sup>
            </m:sSup>
            <m:d>
              <m:dPr>
                <m:begChr m:val="("/>
                <m:sepChr m:val=""/>
                <m:endChr m:val=")"/>
                <m:grow/>
              </m:dPr>
              <m:e>
                <m:r>
                  <m:t>θ</m:t>
                </m:r>
              </m:e>
            </m:d>
            <m:r>
              <m:rPr>
                <m:sty m:val="p"/>
              </m:rPr>
              <m:t>}</m:t>
            </m:r>
          </m:e>
        </m:d>
      </m:oMath>
      <w:r>
        <w:t xml:space="preserve">, which is nonincreasing in</w:t>
      </w:r>
      <w:r>
        <w:t xml:space="preserve"> </w:t>
      </w:r>
      <m:oMath>
        <m:r>
          <m:t>t</m:t>
        </m:r>
      </m:oMath>
      <w:r>
        <w:t xml:space="preserve">, with derivative 0 for</w:t>
      </w:r>
      <w:r>
        <w:t xml:space="preserve"> </w:t>
      </w:r>
      <m:oMath>
        <m:r>
          <m:t>t</m:t>
        </m:r>
        <m:r>
          <m:rPr>
            <m:sty m:val="p"/>
          </m:rPr>
          <m:t>&lt;</m:t>
        </m:r>
        <m:sSup>
          <m:e>
            <m:r>
              <m:t>τ</m:t>
            </m:r>
          </m:e>
          <m:sup>
            <m:r>
              <m:rPr>
                <m:sty m:val="p"/>
              </m:rPr>
              <m:t>∘</m:t>
            </m:r>
          </m:sup>
        </m:sSup>
        <m:d>
          <m:dPr>
            <m:begChr m:val="("/>
            <m:sepChr m:val=""/>
            <m:endChr m:val=")"/>
            <m:grow/>
          </m:dPr>
          <m:e>
            <m:r>
              <m:t>θ</m:t>
            </m:r>
          </m:e>
        </m:d>
      </m:oMath>
      <w:r>
        <w:t xml:space="preserve"> </w:t>
      </w:r>
      <w:r>
        <w:t xml:space="preserve">and</w:t>
      </w:r>
      <w:r>
        <w:t xml:space="preserve"> </w:t>
      </w:r>
      <m:oMath>
        <m:r>
          <m:rPr>
            <m:sty m:val="p"/>
          </m:rPr>
          <m:t>−</m:t>
        </m:r>
        <m:r>
          <m:t>a</m:t>
        </m:r>
        <m:r>
          <m:t>γ</m:t>
        </m:r>
        <m:r>
          <m:rPr>
            <m:sty m:val="p"/>
          </m:rPr>
          <m:t>/</m:t>
        </m:r>
        <m:r>
          <m:t>2</m:t>
        </m:r>
        <m:r>
          <m:rPr>
            <m:sty m:val="p"/>
          </m:rPr>
          <m:t>+</m:t>
        </m:r>
        <m:r>
          <m:t>σ</m:t>
        </m:r>
        <m:d>
          <m:dPr>
            <m:begChr m:val="("/>
            <m:sepChr m:val=""/>
            <m:endChr m:val=")"/>
            <m:grow/>
          </m:dPr>
          <m:e>
            <m:r>
              <m:t>θ</m:t>
            </m:r>
          </m:e>
        </m:d>
        <m:r>
          <m:t>φ</m:t>
        </m:r>
        <m:r>
          <m:rPr>
            <m:sty m:val="p"/>
          </m:rPr>
          <m:t>/</m:t>
        </m:r>
        <m:sSup>
          <m:e>
            <m:r>
              <m:t>t</m:t>
            </m:r>
          </m:e>
          <m:sup>
            <m:r>
              <m:t>2</m:t>
            </m:r>
          </m:sup>
        </m:sSup>
        <m:r>
          <m:rPr>
            <m:sty m:val="p"/>
          </m:rPr>
          <m:t>&lt;</m:t>
        </m:r>
        <m:r>
          <m:t>0</m:t>
        </m:r>
      </m:oMath>
      <w:r>
        <w:t xml:space="preserve"> </w:t>
      </w:r>
      <w:r>
        <w:t xml:space="preserve">for</w:t>
      </w:r>
      <w:r>
        <w:t xml:space="preserve"> </w:t>
      </w:r>
      <m:oMath>
        <m:r>
          <m:t>t</m:t>
        </m:r>
        <m:r>
          <m:rPr>
            <m:sty m:val="p"/>
          </m:rPr>
          <m:t>&gt;</m:t>
        </m:r>
        <m:sSup>
          <m:e>
            <m:r>
              <m:t>τ</m:t>
            </m:r>
          </m:e>
          <m:sup>
            <m:r>
              <m:rPr>
                <m:sty m:val="p"/>
              </m:rPr>
              <m:t>∘</m:t>
            </m:r>
          </m:sup>
        </m:sSup>
        <m:d>
          <m:dPr>
            <m:begChr m:val="("/>
            <m:sepChr m:val=""/>
            <m:endChr m:val=")"/>
            <m:grow/>
          </m:dPr>
          <m:e>
            <m:r>
              <m:t>θ</m:t>
            </m:r>
          </m:e>
        </m:d>
      </m:oMath>
      <w:r>
        <w:t xml:space="preserve">. Writing</w:t>
      </w:r>
      <w:r>
        <w:t xml:space="preserve"> </w:t>
      </w:r>
      <m:oMath>
        <m:r>
          <m:t>d</m:t>
        </m:r>
        <m:d>
          <m:dPr>
            <m:begChr m:val="("/>
            <m:sepChr m:val=""/>
            <m:endChr m:val=")"/>
            <m:grow/>
          </m:dPr>
          <m:e>
            <m:r>
              <m:t>θ</m:t>
            </m:r>
            <m:r>
              <m:rPr>
                <m:sty m:val="p"/>
              </m:rPr>
              <m:t>,</m:t>
            </m:r>
            <m:r>
              <m:t>t</m:t>
            </m:r>
          </m:e>
        </m:d>
      </m:oMath>
      <w:r>
        <w:t xml:space="preserve"> </w:t>
      </w:r>
      <w:r>
        <w:t xml:space="preserve">for this derivative,</w:t>
      </w:r>
      <w:r>
        <w:t xml:space="preserve"> </w:t>
      </w:r>
      <m:oMath>
        <m:r>
          <m:t>Π</m:t>
        </m:r>
        <m:r>
          <m:rPr>
            <m:sty m:val="p"/>
          </m:rPr>
          <m:t>′</m:t>
        </m:r>
        <m:d>
          <m:dPr>
            <m:begChr m:val="("/>
            <m:sepChr m:val=""/>
            <m:endChr m:val=")"/>
            <m:grow/>
          </m:dPr>
          <m:e>
            <m:r>
              <m:t>t</m:t>
            </m:r>
          </m:e>
        </m:d>
        <m:r>
          <m:rPr>
            <m:sty m:val="p"/>
          </m:rPr>
          <m:t>=</m:t>
        </m:r>
        <m:r>
          <m:t>Q</m:t>
        </m:r>
        <m:r>
          <m:t> </m:t>
        </m:r>
        <m:r>
          <m:t>d</m:t>
        </m:r>
        <m:d>
          <m:dPr>
            <m:begChr m:val="("/>
            <m:sepChr m:val=""/>
            <m:endChr m:val=")"/>
            <m:grow/>
          </m:dPr>
          <m:e>
            <m:sSup>
              <m:e>
                <m:r>
                  <m:t>θ</m:t>
                </m:r>
              </m:e>
              <m:sup>
                <m:r>
                  <m:rPr>
                    <m:sty m:val="p"/>
                  </m:rPr>
                  <m:t>*</m:t>
                </m:r>
              </m:sup>
            </m:sSup>
            <m:r>
              <m:rPr>
                <m:sty m:val="p"/>
              </m:rPr>
              <m:t>,</m:t>
            </m:r>
            <m:r>
              <m:t>t</m:t>
            </m:r>
          </m:e>
        </m:d>
        <m:r>
          <m:rPr>
            <m:sty m:val="p"/>
          </m:rPr>
          <m:t>+</m:t>
        </m:r>
        <m:r>
          <m:t>K</m:t>
        </m:r>
        <m:r>
          <m:rPr>
            <m:sty m:val="p"/>
          </m:rPr>
          <m:t>/</m:t>
        </m:r>
        <m:sSup>
          <m:e>
            <m:r>
              <m:t>t</m:t>
            </m:r>
          </m:e>
          <m:sup>
            <m:r>
              <m:t>2</m:t>
            </m:r>
          </m:sup>
        </m:sSup>
      </m:oMath>
      <w:r>
        <w:t xml:space="preserve"> </w:t>
      </w:r>
      <w:r>
        <w:t xml:space="preserve">and</w:t>
      </w:r>
      <w:r>
        <w:t xml:space="preserve"> </w:t>
      </w:r>
      <m:oMath>
        <m:r>
          <m:t>W</m:t>
        </m:r>
        <m:r>
          <m:rPr>
            <m:sty m:val="p"/>
          </m:rPr>
          <m:t>′</m:t>
        </m:r>
        <m:d>
          <m:dPr>
            <m:begChr m:val="("/>
            <m:sepChr m:val=""/>
            <m:endChr m:val=")"/>
            <m:grow/>
          </m:dPr>
          <m:e>
            <m:r>
              <m:t>t</m:t>
            </m:r>
          </m:e>
        </m:d>
        <m:r>
          <m:rPr>
            <m:sty m:val="p"/>
          </m:rPr>
          <m:t>=</m:t>
        </m:r>
        <m:nary>
          <m:naryPr>
            <m:chr m:val="∫"/>
            <m:limLoc m:val="subSup"/>
            <m:subHide m:val="off"/>
            <m:supHide m:val="off"/>
          </m:naryPr>
          <m:sub>
            <m:sSup>
              <m:e>
                <m:r>
                  <m:t>θ</m:t>
                </m:r>
              </m:e>
              <m:sup>
                <m:r>
                  <m:rPr>
                    <m:sty m:val="p"/>
                  </m:rPr>
                  <m:t>*</m:t>
                </m:r>
              </m:sup>
            </m:sSup>
          </m:sub>
          <m:sup>
            <m:r>
              <m:t>1</m:t>
            </m:r>
          </m:sup>
          <m:e>
            <m:r>
              <m:t>d</m:t>
            </m:r>
          </m:e>
        </m:nary>
        <m:d>
          <m:dPr>
            <m:begChr m:val="("/>
            <m:sepChr m:val=""/>
            <m:endChr m:val=")"/>
            <m:grow/>
          </m:dPr>
          <m:e>
            <m:r>
              <m:t>θ</m:t>
            </m:r>
            <m:r>
              <m:rPr>
                <m:sty m:val="p"/>
              </m:rPr>
              <m:t>,</m:t>
            </m:r>
            <m:r>
              <m:t>t</m:t>
            </m:r>
          </m:e>
        </m:d>
        <m:r>
          <m:t> </m:t>
        </m:r>
        <m:r>
          <m:t>d</m:t>
        </m:r>
        <m:r>
          <m:t>G</m:t>
        </m:r>
        <m:d>
          <m:dPr>
            <m:begChr m:val="("/>
            <m:sepChr m:val=""/>
            <m:endChr m:val=")"/>
            <m:grow/>
          </m:dPr>
          <m:e>
            <m:r>
              <m:t>θ</m:t>
            </m:r>
          </m:e>
        </m:d>
        <m:r>
          <m:rPr>
            <m:sty m:val="p"/>
          </m:rPr>
          <m:t>+</m:t>
        </m:r>
        <m:r>
          <m:t>K</m:t>
        </m:r>
        <m:r>
          <m:rPr>
            <m:sty m:val="p"/>
          </m:rPr>
          <m:t>/</m:t>
        </m:r>
        <m:sSup>
          <m:e>
            <m:r>
              <m:t>t</m:t>
            </m:r>
          </m:e>
          <m:sup>
            <m:r>
              <m:t>2</m:t>
            </m:r>
          </m:sup>
        </m:sSup>
      </m:oMath>
      <w:r>
        <w:t xml:space="preserve">.</w:t>
      </w:r>
    </w:p>
    <w:p>
      <w:pPr>
        <w:pStyle w:val="BodyText"/>
      </w:pPr>
      <w:r>
        <w:t xml:space="preserve">We show</w:t>
      </w:r>
      <w:r>
        <w:t xml:space="preserve"> </w:t>
      </w:r>
      <m:oMath>
        <m:r>
          <m:t>d</m:t>
        </m:r>
        <m:d>
          <m:dPr>
            <m:begChr m:val="("/>
            <m:sepChr m:val=""/>
            <m:endChr m:val=")"/>
            <m:grow/>
          </m:dPr>
          <m:e>
            <m:r>
              <m:t>θ</m:t>
            </m:r>
            <m:r>
              <m:rPr>
                <m:sty m:val="p"/>
              </m:rPr>
              <m:t>,</m:t>
            </m:r>
            <m:r>
              <m:t>t</m:t>
            </m:r>
          </m:e>
        </m:d>
        <m:r>
          <m:rPr>
            <m:sty m:val="p"/>
          </m:rPr>
          <m:t>≥</m:t>
        </m:r>
        <m:r>
          <m:t>d</m:t>
        </m:r>
        <m:d>
          <m:dPr>
            <m:begChr m:val="("/>
            <m:sepChr m:val=""/>
            <m:endChr m:val=")"/>
            <m:grow/>
          </m:dPr>
          <m:e>
            <m:sSup>
              <m:e>
                <m:r>
                  <m:t>θ</m:t>
                </m:r>
              </m:e>
              <m:sup>
                <m:r>
                  <m:rPr>
                    <m:sty m:val="p"/>
                  </m:rPr>
                  <m:t>*</m:t>
                </m:r>
              </m:sup>
            </m:sSup>
            <m:r>
              <m:rPr>
                <m:sty m:val="p"/>
              </m:rPr>
              <m:t>,</m:t>
            </m:r>
            <m:r>
              <m:t>t</m:t>
            </m:r>
          </m:e>
        </m:d>
      </m:oMath>
      <w:r>
        <w:t xml:space="preserve"> </w:t>
      </w:r>
      <w:r>
        <w:t xml:space="preserve">for every</w:t>
      </w:r>
      <w:r>
        <w:t xml:space="preserve"> </w:t>
      </w:r>
      <m:oMath>
        <m:r>
          <m:t>θ</m:t>
        </m:r>
        <m:r>
          <m:rPr>
            <m:sty m:val="p"/>
          </m:rPr>
          <m:t>≥</m:t>
        </m:r>
        <m:sSup>
          <m:e>
            <m:r>
              <m:t>θ</m:t>
            </m:r>
          </m:e>
          <m:sup>
            <m:r>
              <m:rPr>
                <m:sty m:val="p"/>
              </m:rPr>
              <m:t>*</m:t>
            </m:r>
          </m:sup>
        </m:sSup>
      </m:oMath>
      <w:r>
        <w:t xml:space="preserve">. If</w:t>
      </w:r>
      <w:r>
        <w:t xml:space="preserve"> </w:t>
      </w:r>
      <m:oMath>
        <m:r>
          <m:t>t</m:t>
        </m:r>
        <m:r>
          <m:rPr>
            <m:sty m:val="p"/>
          </m:rPr>
          <m:t>≤</m:t>
        </m:r>
        <m:sSup>
          <m:e>
            <m:r>
              <m:t>τ</m:t>
            </m:r>
          </m:e>
          <m:sup>
            <m:r>
              <m:rPr>
                <m:sty m:val="p"/>
              </m:rPr>
              <m:t>∘</m:t>
            </m:r>
          </m:sup>
        </m:sSup>
        <m:d>
          <m:dPr>
            <m:begChr m:val="("/>
            <m:sepChr m:val=""/>
            <m:endChr m:val=")"/>
            <m:grow/>
          </m:dPr>
          <m:e>
            <m:sSup>
              <m:e>
                <m:r>
                  <m:t>θ</m:t>
                </m:r>
              </m:e>
              <m:sup>
                <m:r>
                  <m:rPr>
                    <m:sty m:val="p"/>
                  </m:rPr>
                  <m:t>*</m:t>
                </m:r>
              </m:sup>
            </m:sSup>
          </m:e>
        </m:d>
      </m:oMath>
      <w:r>
        <w:t xml:space="preserve">, all participants are unconstrained because</w:t>
      </w:r>
      <w:r>
        <w:t xml:space="preserve"> </w:t>
      </w:r>
      <m:oMath>
        <m:sSup>
          <m:e>
            <m:r>
              <m:t>τ</m:t>
            </m:r>
          </m:e>
          <m:sup>
            <m:r>
              <m:rPr>
                <m:sty m:val="p"/>
              </m:rPr>
              <m:t>∘</m:t>
            </m:r>
          </m:sup>
        </m:sSup>
      </m:oMath>
      <w:r>
        <w:t xml:space="preserve"> </w:t>
      </w:r>
      <w:r>
        <w:t xml:space="preserve">is increasing, and both sides are zero. If</w:t>
      </w:r>
      <w:r>
        <w:t xml:space="preserve"> </w:t>
      </w:r>
      <m:oMath>
        <m:r>
          <m:t>t</m:t>
        </m:r>
        <m:r>
          <m:rPr>
            <m:sty m:val="p"/>
          </m:rPr>
          <m:t>&gt;</m:t>
        </m:r>
        <m:sSup>
          <m:e>
            <m:r>
              <m:t>τ</m:t>
            </m:r>
          </m:e>
          <m:sup>
            <m:r>
              <m:rPr>
                <m:sty m:val="p"/>
              </m:rPr>
              <m:t>∘</m:t>
            </m:r>
          </m:sup>
        </m:sSup>
        <m:d>
          <m:dPr>
            <m:begChr m:val="("/>
            <m:sepChr m:val=""/>
            <m:endChr m:val=")"/>
            <m:grow/>
          </m:dPr>
          <m:e>
            <m:sSup>
              <m:e>
                <m:r>
                  <m:t>θ</m:t>
                </m:r>
              </m:e>
              <m:sup>
                <m:r>
                  <m:rPr>
                    <m:sty m:val="p"/>
                  </m:rPr>
                  <m:t>*</m:t>
                </m:r>
              </m:sup>
            </m:sSup>
          </m:e>
        </m:d>
      </m:oMath>
      <w:r>
        <w:t xml:space="preserve">, then</w:t>
      </w:r>
      <w:r>
        <w:t xml:space="preserve"> </w:t>
      </w:r>
      <m:oMath>
        <m:r>
          <m:t>d</m:t>
        </m:r>
        <m:d>
          <m:dPr>
            <m:begChr m:val="("/>
            <m:sepChr m:val=""/>
            <m:endChr m:val=")"/>
            <m:grow/>
          </m:dPr>
          <m:e>
            <m:sSup>
              <m:e>
                <m:r>
                  <m:t>θ</m:t>
                </m:r>
              </m:e>
              <m:sup>
                <m:r>
                  <m:rPr>
                    <m:sty m:val="p"/>
                  </m:rPr>
                  <m:t>*</m:t>
                </m:r>
              </m:sup>
            </m:sSup>
            <m:r>
              <m:rPr>
                <m:sty m:val="p"/>
              </m:rPr>
              <m:t>,</m:t>
            </m:r>
            <m:r>
              <m:t>t</m:t>
            </m:r>
          </m:e>
        </m:d>
        <m:r>
          <m:rPr>
            <m:sty m:val="p"/>
          </m:rPr>
          <m:t>=</m:t>
        </m:r>
        <m:r>
          <m:rPr>
            <m:sty m:val="p"/>
          </m:rPr>
          <m:t>−</m:t>
        </m:r>
        <m:r>
          <m:t>a</m:t>
        </m:r>
        <m:r>
          <m:t>γ</m:t>
        </m:r>
        <m:r>
          <m:rPr>
            <m:sty m:val="p"/>
          </m:rPr>
          <m:t>/</m:t>
        </m:r>
        <m:r>
          <m:t>2</m:t>
        </m:r>
        <m:r>
          <m:rPr>
            <m:sty m:val="p"/>
          </m:rPr>
          <m:t>+</m:t>
        </m:r>
        <m:sSub>
          <m:e>
            <m:r>
              <m:t>σ</m:t>
            </m:r>
          </m:e>
          <m:sub>
            <m:r>
              <m:t>m</m:t>
            </m:r>
          </m:sub>
        </m:sSub>
        <m:r>
          <m:t>φ</m:t>
        </m:r>
        <m:r>
          <m:rPr>
            <m:sty m:val="p"/>
          </m:rPr>
          <m:t>/</m:t>
        </m:r>
        <m:sSup>
          <m:e>
            <m:r>
              <m:t>t</m:t>
            </m:r>
          </m:e>
          <m:sup>
            <m:r>
              <m:t>2</m:t>
            </m:r>
          </m:sup>
        </m:sSup>
        <m:r>
          <m:rPr>
            <m:sty m:val="p"/>
          </m:rPr>
          <m:t>&lt;</m:t>
        </m:r>
        <m:r>
          <m:t>0</m:t>
        </m:r>
      </m:oMath>
      <w:r>
        <w:t xml:space="preserve">. A type with</w:t>
      </w:r>
      <w:r>
        <w:t xml:space="preserve"> </w:t>
      </w:r>
      <m:oMath>
        <m:sSup>
          <m:e>
            <m:r>
              <m:t>τ</m:t>
            </m:r>
          </m:e>
          <m:sup>
            <m:r>
              <m:rPr>
                <m:sty m:val="p"/>
              </m:rPr>
              <m:t>∘</m:t>
            </m:r>
          </m:sup>
        </m:sSup>
        <m:d>
          <m:dPr>
            <m:begChr m:val="("/>
            <m:sepChr m:val=""/>
            <m:endChr m:val=")"/>
            <m:grow/>
          </m:dPr>
          <m:e>
            <m:r>
              <m:t>θ</m:t>
            </m:r>
          </m:e>
        </m:d>
        <m:r>
          <m:rPr>
            <m:sty m:val="p"/>
          </m:rPr>
          <m:t>&lt;</m:t>
        </m:r>
        <m:r>
          <m:t>t</m:t>
        </m:r>
      </m:oMath>
      <w:r>
        <w:t xml:space="preserve"> </w:t>
      </w:r>
      <w:r>
        <w:t xml:space="preserve">has</w:t>
      </w:r>
      <w:r>
        <w:t xml:space="preserve"> </w:t>
      </w:r>
      <m:oMath>
        <m:r>
          <m:t>d</m:t>
        </m:r>
        <m:d>
          <m:dPr>
            <m:begChr m:val="("/>
            <m:sepChr m:val=""/>
            <m:endChr m:val=")"/>
            <m:grow/>
          </m:dPr>
          <m:e>
            <m:r>
              <m:t>θ</m:t>
            </m:r>
            <m:r>
              <m:rPr>
                <m:sty m:val="p"/>
              </m:rPr>
              <m:t>,</m:t>
            </m:r>
            <m:r>
              <m:t>t</m:t>
            </m:r>
          </m:e>
        </m:d>
        <m:r>
          <m:rPr>
            <m:sty m:val="p"/>
          </m:rPr>
          <m:t>=</m:t>
        </m:r>
        <m:r>
          <m:rPr>
            <m:sty m:val="p"/>
          </m:rPr>
          <m:t>−</m:t>
        </m:r>
        <m:r>
          <m:t>a</m:t>
        </m:r>
        <m:r>
          <m:t>γ</m:t>
        </m:r>
        <m:r>
          <m:rPr>
            <m:sty m:val="p"/>
          </m:rPr>
          <m:t>/</m:t>
        </m:r>
        <m:r>
          <m:t>2</m:t>
        </m:r>
        <m:r>
          <m:rPr>
            <m:sty m:val="p"/>
          </m:rPr>
          <m:t>+</m:t>
        </m:r>
        <m:r>
          <m:t>σ</m:t>
        </m:r>
        <m:d>
          <m:dPr>
            <m:begChr m:val="("/>
            <m:sepChr m:val=""/>
            <m:endChr m:val=")"/>
            <m:grow/>
          </m:dPr>
          <m:e>
            <m:r>
              <m:t>θ</m:t>
            </m:r>
          </m:e>
        </m:d>
        <m:r>
          <m:t>φ</m:t>
        </m:r>
        <m:r>
          <m:rPr>
            <m:sty m:val="p"/>
          </m:rPr>
          <m:t>/</m:t>
        </m:r>
        <m:sSup>
          <m:e>
            <m:r>
              <m:t>t</m:t>
            </m:r>
          </m:e>
          <m:sup>
            <m:r>
              <m:t>2</m:t>
            </m:r>
          </m:sup>
        </m:sSup>
        <m:r>
          <m:rPr>
            <m:sty m:val="p"/>
          </m:rPr>
          <m:t>≥</m:t>
        </m:r>
        <m:r>
          <m:t>d</m:t>
        </m:r>
        <m:d>
          <m:dPr>
            <m:begChr m:val="("/>
            <m:sepChr m:val=""/>
            <m:endChr m:val=")"/>
            <m:grow/>
          </m:dPr>
          <m:e>
            <m:sSup>
              <m:e>
                <m:r>
                  <m:t>θ</m:t>
                </m:r>
              </m:e>
              <m:sup>
                <m:r>
                  <m:rPr>
                    <m:sty m:val="p"/>
                  </m:rPr>
                  <m:t>*</m:t>
                </m:r>
              </m:sup>
            </m:sSup>
            <m:r>
              <m:rPr>
                <m:sty m:val="p"/>
              </m:rPr>
              <m:t>,</m:t>
            </m:r>
            <m:r>
              <m:t>t</m:t>
            </m:r>
          </m:e>
        </m:d>
      </m:oMath>
      <w:r>
        <w:t xml:space="preserve"> </w:t>
      </w:r>
      <w:r>
        <w:t xml:space="preserve">since</w:t>
      </w:r>
      <w:r>
        <w:t xml:space="preserve"> </w:t>
      </w:r>
      <m:oMath>
        <m:r>
          <m:t>σ</m:t>
        </m:r>
        <m:d>
          <m:dPr>
            <m:begChr m:val="("/>
            <m:sepChr m:val=""/>
            <m:endChr m:val=")"/>
            <m:grow/>
          </m:dPr>
          <m:e>
            <m:r>
              <m:t>θ</m:t>
            </m:r>
          </m:e>
        </m:d>
        <m:r>
          <m:rPr>
            <m:sty m:val="p"/>
          </m:rPr>
          <m:t>≥</m:t>
        </m:r>
        <m:sSub>
          <m:e>
            <m:r>
              <m:t>σ</m:t>
            </m:r>
          </m:e>
          <m:sub>
            <m:r>
              <m:t>m</m:t>
            </m:r>
          </m:sub>
        </m:sSub>
      </m:oMath>
      <w:r>
        <w:t xml:space="preserve">; a type with</w:t>
      </w:r>
      <w:r>
        <w:t xml:space="preserve"> </w:t>
      </w:r>
      <m:oMath>
        <m:sSup>
          <m:e>
            <m:r>
              <m:t>τ</m:t>
            </m:r>
          </m:e>
          <m:sup>
            <m:r>
              <m:rPr>
                <m:sty m:val="p"/>
              </m:rPr>
              <m:t>∘</m:t>
            </m:r>
          </m:sup>
        </m:sSup>
        <m:d>
          <m:dPr>
            <m:begChr m:val="("/>
            <m:sepChr m:val=""/>
            <m:endChr m:val=")"/>
            <m:grow/>
          </m:dPr>
          <m:e>
            <m:r>
              <m:t>θ</m:t>
            </m:r>
          </m:e>
        </m:d>
        <m:r>
          <m:rPr>
            <m:sty m:val="p"/>
          </m:rPr>
          <m:t>≥</m:t>
        </m:r>
        <m:r>
          <m:t>t</m:t>
        </m:r>
      </m:oMath>
      <w:r>
        <w:t xml:space="preserve"> </w:t>
      </w:r>
      <w:r>
        <w:t xml:space="preserve">has</w:t>
      </w:r>
      <w:r>
        <w:t xml:space="preserve"> </w:t>
      </w:r>
      <m:oMath>
        <m:r>
          <m:t>d</m:t>
        </m:r>
        <m:d>
          <m:dPr>
            <m:begChr m:val="("/>
            <m:sepChr m:val=""/>
            <m:endChr m:val=")"/>
            <m:grow/>
          </m:dPr>
          <m:e>
            <m:r>
              <m:t>θ</m:t>
            </m:r>
            <m:r>
              <m:rPr>
                <m:sty m:val="p"/>
              </m:rPr>
              <m:t>,</m:t>
            </m:r>
            <m:r>
              <m:t>t</m:t>
            </m:r>
          </m:e>
        </m:d>
        <m:r>
          <m:rPr>
            <m:sty m:val="p"/>
          </m:rPr>
          <m:t>=</m:t>
        </m:r>
        <m:r>
          <m:t>0</m:t>
        </m:r>
        <m:r>
          <m:rPr>
            <m:sty m:val="p"/>
          </m:rPr>
          <m:t>&gt;</m:t>
        </m:r>
        <m:r>
          <m:t>d</m:t>
        </m:r>
        <m:d>
          <m:dPr>
            <m:begChr m:val="("/>
            <m:sepChr m:val=""/>
            <m:endChr m:val=")"/>
            <m:grow/>
          </m:dPr>
          <m:e>
            <m:sSup>
              <m:e>
                <m:r>
                  <m:t>θ</m:t>
                </m:r>
              </m:e>
              <m:sup>
                <m:r>
                  <m:rPr>
                    <m:sty m:val="p"/>
                  </m:rPr>
                  <m:t>*</m:t>
                </m:r>
              </m:sup>
            </m:sSup>
            <m:r>
              <m:rPr>
                <m:sty m:val="p"/>
              </m:rPr>
              <m:t>,</m:t>
            </m:r>
            <m:r>
              <m:t>t</m:t>
            </m:r>
          </m:e>
        </m:d>
      </m:oMath>
      <w:r>
        <w:t xml:space="preserve">. Integrating over participants,</w:t>
      </w:r>
      <w:r>
        <w:t xml:space="preserve"> </w:t>
      </w:r>
      <m:oMath>
        <m:r>
          <m:t>W</m:t>
        </m:r>
        <m:r>
          <m:rPr>
            <m:sty m:val="p"/>
          </m:rPr>
          <m:t>′</m:t>
        </m:r>
        <m:d>
          <m:dPr>
            <m:begChr m:val="("/>
            <m:sepChr m:val=""/>
            <m:endChr m:val=")"/>
            <m:grow/>
          </m:dPr>
          <m:e>
            <m:r>
              <m:t>t</m:t>
            </m:r>
          </m:e>
        </m:d>
        <m:r>
          <m:rPr>
            <m:sty m:val="p"/>
          </m:rPr>
          <m:t>≥</m:t>
        </m:r>
        <m:r>
          <m:t>Π</m:t>
        </m:r>
        <m:r>
          <m:rPr>
            <m:sty m:val="p"/>
          </m:rPr>
          <m:t>′</m:t>
        </m:r>
        <m:d>
          <m:dPr>
            <m:begChr m:val="("/>
            <m:sepChr m:val=""/>
            <m:endChr m:val=")"/>
            <m:grow/>
          </m:dPr>
          <m:e>
            <m:r>
              <m:t>t</m:t>
            </m:r>
          </m:e>
        </m:d>
      </m:oMath>
      <w:r>
        <w:t xml:space="preserve"> </w:t>
      </w:r>
      <w:r>
        <w:t xml:space="preserve">for all</w:t>
      </w:r>
      <w:r>
        <w:t xml:space="preserve"> </w:t>
      </w:r>
      <m:oMath>
        <m:r>
          <m:t>t</m:t>
        </m:r>
      </m:oMath>
      <w:r>
        <w:t xml:space="preserve">. At</w:t>
      </w:r>
      <w:r>
        <w:t xml:space="preserve"> </w:t>
      </w:r>
      <m:oMath>
        <m:sSub>
          <m:e>
            <m:r>
              <m:t>t</m:t>
            </m:r>
          </m:e>
          <m:sub>
            <m:r>
              <m:t>P</m:t>
            </m:r>
          </m:sub>
        </m:sSub>
      </m:oMath>
      <w:r>
        <w:t xml:space="preserve">,</w:t>
      </w:r>
      <w:r>
        <w:t xml:space="preserve"> </w:t>
      </w:r>
      <m:oMath>
        <m:r>
          <m:t>Π</m:t>
        </m:r>
        <m:r>
          <m:rPr>
            <m:sty m:val="p"/>
          </m:rPr>
          <m:t>′</m:t>
        </m:r>
        <m:d>
          <m:dPr>
            <m:begChr m:val="("/>
            <m:sepChr m:val=""/>
            <m:endChr m:val=")"/>
            <m:grow/>
          </m:dPr>
          <m:e>
            <m:sSub>
              <m:e>
                <m:r>
                  <m:t>t</m:t>
                </m:r>
              </m:e>
              <m:sub>
                <m:r>
                  <m:t>P</m:t>
                </m:r>
              </m:sub>
            </m:sSub>
          </m:e>
        </m:d>
        <m:r>
          <m:rPr>
            <m:sty m:val="p"/>
          </m:rPr>
          <m:t>=</m:t>
        </m:r>
        <m:r>
          <m:t>0</m:t>
        </m:r>
      </m:oMath>
      <w:r>
        <w:t xml:space="preserve">, so</w:t>
      </w:r>
      <w:r>
        <w:t xml:space="preserve"> </w:t>
      </w:r>
      <m:oMath>
        <m:r>
          <m:t>W</m:t>
        </m:r>
        <m:r>
          <m:rPr>
            <m:sty m:val="p"/>
          </m:rPr>
          <m:t>′</m:t>
        </m:r>
        <m:d>
          <m:dPr>
            <m:begChr m:val="("/>
            <m:sepChr m:val=""/>
            <m:endChr m:val=")"/>
            <m:grow/>
          </m:dPr>
          <m:e>
            <m:sSub>
              <m:e>
                <m:r>
                  <m:t>t</m:t>
                </m:r>
              </m:e>
              <m:sub>
                <m:r>
                  <m:t>P</m:t>
                </m:r>
              </m:sub>
            </m:sSub>
          </m:e>
        </m:d>
        <m:r>
          <m:rPr>
            <m:sty m:val="p"/>
          </m:rPr>
          <m:t>≥</m:t>
        </m:r>
        <m:r>
          <m:t>0</m:t>
        </m:r>
      </m:oMath>
      <w:r>
        <w:t xml:space="preserve">, and strict quasi-concavity of</w:t>
      </w:r>
      <w:r>
        <w:t xml:space="preserve"> </w:t>
      </w:r>
      <m:oMath>
        <m:r>
          <m:t>W</m:t>
        </m:r>
      </m:oMath>
      <w:r>
        <w:t xml:space="preserve"> </w:t>
      </w:r>
      <w:r>
        <w:t xml:space="preserve">gives</w:t>
      </w:r>
      <w:r>
        <w:t xml:space="preserve"> </w:t>
      </w:r>
      <m:oMath>
        <m:sSub>
          <m:e>
            <m:r>
              <m:t>t</m:t>
            </m:r>
          </m:e>
          <m:sub>
            <m:r>
              <m:t>W</m:t>
            </m:r>
          </m:sub>
        </m:sSub>
        <m:r>
          <m:rPr>
            <m:sty m:val="p"/>
          </m:rPr>
          <m:t>≥</m:t>
        </m:r>
        <m:sSub>
          <m:e>
            <m:r>
              <m:t>t</m:t>
            </m:r>
          </m:e>
          <m:sub>
            <m:r>
              <m:t>P</m:t>
            </m:r>
          </m:sub>
        </m:sSub>
      </m:oMath>
      <w:r>
        <w:t xml:space="preserve">, proving (i).</w:t>
      </w:r>
    </w:p>
    <w:p>
      <w:pPr>
        <w:pStyle w:val="BodyText"/>
      </w:pPr>
      <w:r>
        <w:t xml:space="preserve">For (ii),</w:t>
      </w:r>
      <w:r>
        <w:t xml:space="preserve"> </w:t>
      </w:r>
      <m:oMath>
        <m:r>
          <m:t>W</m:t>
        </m:r>
        <m:d>
          <m:dPr>
            <m:begChr m:val="("/>
            <m:sepChr m:val=""/>
            <m:endChr m:val=")"/>
            <m:grow/>
          </m:dPr>
          <m:e>
            <m:sSub>
              <m:e>
                <m:r>
                  <m:t>t</m:t>
                </m:r>
              </m:e>
              <m:sub>
                <m:r>
                  <m:t>W</m:t>
                </m:r>
              </m:sub>
            </m:sSub>
          </m:e>
        </m:d>
        <m:r>
          <m:rPr>
            <m:sty m:val="p"/>
          </m:rPr>
          <m:t>−</m:t>
        </m:r>
        <m:r>
          <m:t>W</m:t>
        </m:r>
        <m:d>
          <m:dPr>
            <m:begChr m:val="("/>
            <m:sepChr m:val=""/>
            <m:endChr m:val=")"/>
            <m:grow/>
          </m:dPr>
          <m:e>
            <m:sSub>
              <m:e>
                <m:r>
                  <m:t>t</m:t>
                </m:r>
              </m:e>
              <m:sub>
                <m:r>
                  <m:t>P</m:t>
                </m:r>
              </m:sub>
            </m:sSub>
          </m:e>
        </m:d>
        <m:r>
          <m:rPr>
            <m:sty m:val="p"/>
          </m:rPr>
          <m:t>=</m:t>
        </m:r>
        <m:r>
          <m:rPr>
            <m:sty m:val="p"/>
          </m:rPr>
          <m:t>∫</m:t>
        </m:r>
        <m:d>
          <m:dPr>
            <m:begChr m:val="["/>
            <m:sepChr m:val=""/>
            <m:endChr m:val="]"/>
            <m:grow/>
          </m:dPr>
          <m:e>
            <m:sSub>
              <m:e>
                <m:r>
                  <m:t>f</m:t>
                </m:r>
              </m:e>
              <m:sub>
                <m:r>
                  <m:t>θ</m:t>
                </m:r>
              </m:sub>
            </m:sSub>
            <m:d>
              <m:dPr>
                <m:begChr m:val="("/>
                <m:sepChr m:val=""/>
                <m:endChr m:val=")"/>
                <m:grow/>
              </m:dPr>
              <m:e>
                <m:sSub>
                  <m:e>
                    <m:r>
                      <m:t>t</m:t>
                    </m:r>
                  </m:e>
                  <m:sub>
                    <m:r>
                      <m:t>W</m:t>
                    </m:r>
                  </m:sub>
                </m:sSub>
              </m:e>
            </m:d>
            <m:r>
              <m:rPr>
                <m:sty m:val="p"/>
              </m:rPr>
              <m:t>−</m:t>
            </m:r>
            <m:sSub>
              <m:e>
                <m:r>
                  <m:t>f</m:t>
                </m:r>
              </m:e>
              <m:sub>
                <m:r>
                  <m:t>θ</m:t>
                </m:r>
              </m:sub>
            </m:sSub>
            <m:d>
              <m:dPr>
                <m:begChr m:val="("/>
                <m:sepChr m:val=""/>
                <m:endChr m:val=")"/>
                <m:grow/>
              </m:dPr>
              <m:e>
                <m:sSub>
                  <m:e>
                    <m:r>
                      <m:t>t</m:t>
                    </m:r>
                  </m:e>
                  <m:sub>
                    <m:r>
                      <m:t>P</m:t>
                    </m:r>
                  </m:sub>
                </m:sSub>
              </m:e>
            </m:d>
          </m:e>
        </m:d>
        <m:r>
          <m:t> </m:t>
        </m:r>
        <m:r>
          <m:t>d</m:t>
        </m:r>
        <m:r>
          <m:t>G</m:t>
        </m:r>
        <m:r>
          <m:rPr>
            <m:sty m:val="p"/>
          </m:rPr>
          <m:t>+</m:t>
        </m:r>
        <m:r>
          <m:t>K</m:t>
        </m:r>
        <m:d>
          <m:dPr>
            <m:begChr m:val="("/>
            <m:sepChr m:val=""/>
            <m:endChr m:val=")"/>
            <m:grow/>
          </m:dPr>
          <m:e>
            <m:r>
              <m:t>F</m:t>
            </m:r>
          </m:e>
        </m:d>
        <m:d>
          <m:dPr>
            <m:begChr m:val="("/>
            <m:sepChr m:val=""/>
            <m:endChr m:val=")"/>
            <m:grow/>
          </m:dPr>
          <m:e>
            <m:r>
              <m:t>1</m:t>
            </m:r>
            <m:r>
              <m:rPr>
                <m:sty m:val="p"/>
              </m:rPr>
              <m:t>/</m:t>
            </m:r>
            <m:sSub>
              <m:e>
                <m:r>
                  <m:t>t</m:t>
                </m:r>
              </m:e>
              <m:sub>
                <m:r>
                  <m:t>P</m:t>
                </m:r>
              </m:sub>
            </m:sSub>
            <m:r>
              <m:rPr>
                <m:sty m:val="p"/>
              </m:rPr>
              <m:t>−</m:t>
            </m:r>
            <m:r>
              <m:t>1</m:t>
            </m:r>
            <m:r>
              <m:rPr>
                <m:sty m:val="p"/>
              </m:rPr>
              <m:t>/</m:t>
            </m:r>
            <m:sSub>
              <m:e>
                <m:r>
                  <m:t>t</m:t>
                </m:r>
              </m:e>
              <m:sub>
                <m:r>
                  <m:t>W</m:t>
                </m:r>
              </m:sub>
            </m:sSub>
          </m:e>
        </m:d>
      </m:oMath>
      <w:r>
        <w:t xml:space="preserve">. The integral is nonpositive because each</w:t>
      </w:r>
      <w:r>
        <w:t xml:space="preserve"> </w:t>
      </w:r>
      <m:oMath>
        <m:sSub>
          <m:e>
            <m:r>
              <m:t>f</m:t>
            </m:r>
          </m:e>
          <m:sub>
            <m:r>
              <m:t>θ</m:t>
            </m:r>
          </m:sub>
        </m:sSub>
      </m:oMath>
      <w:r>
        <w:t xml:space="preserve"> </w:t>
      </w:r>
      <w:r>
        <w:t xml:space="preserve">is nonincreasing and</w:t>
      </w:r>
      <w:r>
        <w:t xml:space="preserve"> </w:t>
      </w:r>
      <m:oMath>
        <m:sSub>
          <m:e>
            <m:r>
              <m:t>t</m:t>
            </m:r>
          </m:e>
          <m:sub>
            <m:r>
              <m:t>W</m:t>
            </m:r>
          </m:sub>
        </m:sSub>
        <m:r>
          <m:rPr>
            <m:sty m:val="p"/>
          </m:rPr>
          <m:t>≥</m:t>
        </m:r>
        <m:sSub>
          <m:e>
            <m:r>
              <m:t>t</m:t>
            </m:r>
          </m:e>
          <m:sub>
            <m:r>
              <m:t>P</m:t>
            </m:r>
          </m:sub>
        </m:sSub>
      </m:oMath>
      <w:r>
        <w:t xml:space="preserve">, which gives (13).</w:t>
      </w:r>
      <w:r>
        <w:t xml:space="preserve"> </w:t>
      </w:r>
      <m:oMath>
        <m:r>
          <m:rPr>
            <m:sty m:val="p"/>
          </m:rPr>
          <m:t>◼</m:t>
        </m:r>
      </m:oMath>
    </w:p>
    <w:p>
      <w:pPr>
        <w:pStyle w:val="BodyText"/>
      </w:pPr>
      <w:r>
        <w:rPr>
          <w:bCs/>
          <w:b/>
        </w:rPr>
        <w:t xml:space="preserve">Proof of Proposition 6.</w:t>
      </w:r>
      <w:r>
        <w:t xml:space="preserve"> </w:t>
      </w:r>
      <w:r>
        <w:rPr>
          <w:iCs/>
          <w:i/>
        </w:rPr>
        <w:t xml:space="preserve">Part 1.</w:t>
      </w:r>
      <w:r>
        <w:t xml:space="preserve"> </w:t>
      </w:r>
      <w:r>
        <w:t xml:space="preserve">The developer maximizes</w:t>
      </w:r>
      <w:r>
        <w:t xml:space="preserve"> </w:t>
      </w:r>
      <m:oMath>
        <m:r>
          <m:t>θ</m:t>
        </m:r>
        <m:r>
          <m:t>b</m:t>
        </m:r>
        <m:d>
          <m:dPr>
            <m:begChr m:val="("/>
            <m:sepChr m:val=""/>
            <m:endChr m:val=")"/>
            <m:grow/>
          </m:dPr>
          <m:e>
            <m:r>
              <m:t>x</m:t>
            </m:r>
          </m:e>
        </m:d>
        <m:r>
          <m:rPr>
            <m:sty m:val="p"/>
          </m:rPr>
          <m:t>−</m:t>
        </m:r>
        <m:r>
          <m:t>s</m:t>
        </m:r>
        <m:r>
          <m:t>x</m:t>
        </m:r>
        <m:r>
          <m:t>φ</m:t>
        </m:r>
        <m:d>
          <m:dPr>
            <m:begChr m:val="("/>
            <m:sepChr m:val=""/>
            <m:endChr m:val=")"/>
            <m:grow/>
          </m:dPr>
          <m:e>
            <m:r>
              <m:t>F</m:t>
            </m:r>
          </m:e>
        </m:d>
        <m:r>
          <m:rPr>
            <m:sty m:val="p"/>
          </m:rPr>
          <m:t>/</m:t>
        </m:r>
        <m:r>
          <m:t>t</m:t>
        </m:r>
      </m:oMath>
      <w:r>
        <w:t xml:space="preserve">. Strict concavity of</w:t>
      </w:r>
      <w:r>
        <w:t xml:space="preserve"> </w:t>
      </w:r>
      <m:oMath>
        <m:r>
          <m:t>b</m:t>
        </m:r>
      </m:oMath>
      <w:r>
        <w:t xml:space="preserve"> </w:t>
      </w:r>
      <w:r>
        <w:t xml:space="preserve">and the Inada conditions give a unique solution to (15) for</w:t>
      </w:r>
      <w:r>
        <w:t xml:space="preserve"> </w:t>
      </w:r>
      <m:oMath>
        <m:r>
          <m:t>θ</m:t>
        </m:r>
        <m:r>
          <m:rPr>
            <m:sty m:val="p"/>
          </m:rPr>
          <m:t>&gt;</m:t>
        </m:r>
        <m:r>
          <m:t>0</m:t>
        </m:r>
      </m:oMath>
      <w:r>
        <w:t xml:space="preserve">, namely</w:t>
      </w:r>
      <w:r>
        <w:t xml:space="preserve"> </w:t>
      </w:r>
      <m:oMath>
        <m:sSup>
          <m:e>
            <m:r>
              <m:t>x</m:t>
            </m:r>
          </m:e>
          <m:sup>
            <m:r>
              <m:rPr>
                <m:sty m:val="p"/>
              </m:rPr>
              <m:t>*</m:t>
            </m:r>
          </m:sup>
        </m:sSup>
        <m:r>
          <m:rPr>
            <m:sty m:val="p"/>
          </m:rPr>
          <m:t>=</m:t>
        </m:r>
        <m:sSup>
          <m:e>
            <m:d>
              <m:dPr>
                <m:begChr m:val="("/>
                <m:sepChr m:val=""/>
                <m:endChr m:val=")"/>
                <m:grow/>
              </m:dPr>
              <m:e>
                <m:r>
                  <m:t>b</m:t>
                </m:r>
                <m:r>
                  <m:rPr>
                    <m:sty m:val="p"/>
                  </m:rPr>
                  <m:t>′</m:t>
                </m:r>
              </m:e>
            </m:d>
          </m:e>
          <m:sup>
            <m:r>
              <m:rPr>
                <m:sty m:val="p"/>
              </m:rPr>
              <m:t>−</m:t>
            </m:r>
            <m:r>
              <m:t>1</m:t>
            </m:r>
          </m:sup>
        </m:sSup>
        <m:d>
          <m:dPr>
            <m:begChr m:val="("/>
            <m:sepChr m:val=""/>
            <m:endChr m:val=")"/>
            <m:grow/>
          </m:dPr>
          <m:e>
            <m:r>
              <m:t>s</m:t>
            </m:r>
            <m:r>
              <m:t>φ</m:t>
            </m:r>
            <m:d>
              <m:dPr>
                <m:begChr m:val="("/>
                <m:sepChr m:val=""/>
                <m:endChr m:val=")"/>
                <m:grow/>
              </m:dPr>
              <m:e>
                <m:r>
                  <m:t>F</m:t>
                </m:r>
              </m:e>
            </m:d>
            <m:r>
              <m:rPr>
                <m:sty m:val="p"/>
              </m:rPr>
              <m:t>/</m:t>
            </m:r>
            <m:d>
              <m:dPr>
                <m:begChr m:val="("/>
                <m:sepChr m:val=""/>
                <m:endChr m:val=")"/>
                <m:grow/>
              </m:dPr>
              <m:e>
                <m:r>
                  <m:t>t</m:t>
                </m:r>
                <m:r>
                  <m:t>θ</m:t>
                </m:r>
              </m:e>
            </m:d>
          </m:e>
        </m:d>
      </m:oMath>
      <w:r>
        <w:t xml:space="preserve">. Since</w:t>
      </w:r>
      <w:r>
        <w:t xml:space="preserve"> </w:t>
      </w:r>
      <m:oMath>
        <m:r>
          <m:t>b</m:t>
        </m:r>
        <m:r>
          <m:rPr>
            <m:sty m:val="p"/>
          </m:rPr>
          <m:t>′</m:t>
        </m:r>
      </m:oMath>
      <w:r>
        <w:t xml:space="preserve"> </w:t>
      </w:r>
      <w:r>
        <w:t xml:space="preserve">is decreasing,</w:t>
      </w:r>
      <w:r>
        <w:t xml:space="preserve"> </w:t>
      </w:r>
      <m:oMath>
        <m:sSup>
          <m:e>
            <m:r>
              <m:t>x</m:t>
            </m:r>
          </m:e>
          <m:sup>
            <m:r>
              <m:rPr>
                <m:sty m:val="p"/>
              </m:rPr>
              <m:t>*</m:t>
            </m:r>
          </m:sup>
        </m:sSup>
      </m:oMath>
      <w:r>
        <w:t xml:space="preserve"> </w:t>
      </w:r>
      <w:r>
        <w:t xml:space="preserve">increases in</w:t>
      </w:r>
      <w:r>
        <w:t xml:space="preserve"> </w:t>
      </w:r>
      <m:oMath>
        <m:r>
          <m:t>θ</m:t>
        </m:r>
      </m:oMath>
      <w:r>
        <w:t xml:space="preserve"> </w:t>
      </w:r>
      <w:r>
        <w:t xml:space="preserve">and</w:t>
      </w:r>
      <w:r>
        <w:t xml:space="preserve"> </w:t>
      </w:r>
      <m:oMath>
        <m:r>
          <m:t>t</m:t>
        </m:r>
      </m:oMath>
      <w:r>
        <w:t xml:space="preserve"> </w:t>
      </w:r>
      <w:r>
        <w:t xml:space="preserve">and decreases in</w:t>
      </w:r>
      <w:r>
        <w:t xml:space="preserve"> </w:t>
      </w:r>
      <m:oMath>
        <m:r>
          <m:t>φ</m:t>
        </m:r>
        <m:d>
          <m:dPr>
            <m:begChr m:val="("/>
            <m:sepChr m:val=""/>
            <m:endChr m:val=")"/>
            <m:grow/>
          </m:dPr>
          <m:e>
            <m:r>
              <m:t>F</m:t>
            </m:r>
          </m:e>
        </m:d>
      </m:oMath>
      <w:r>
        <w:t xml:space="preserve">, hence in</w:t>
      </w:r>
      <w:r>
        <w:t xml:space="preserve"> </w:t>
      </w:r>
      <m:oMath>
        <m:r>
          <m:t>F</m:t>
        </m:r>
      </m:oMath>
      <w:r>
        <w:t xml:space="preserve">. Therefore</w:t>
      </w:r>
      <w:r>
        <w:t xml:space="preserve"> </w:t>
      </w:r>
      <m:oMath>
        <m:r>
          <m:t>σ</m:t>
        </m:r>
        <m:d>
          <m:dPr>
            <m:begChr m:val="("/>
            <m:sepChr m:val=""/>
            <m:endChr m:val=")"/>
            <m:grow/>
          </m:dPr>
          <m:e>
            <m:r>
              <m:t>θ</m:t>
            </m:r>
          </m:e>
        </m:d>
        <m:r>
          <m:rPr>
            <m:sty m:val="p"/>
          </m:rPr>
          <m:t>=</m:t>
        </m:r>
        <m:sSub>
          <m:e>
            <m:r>
              <m:t>s</m:t>
            </m:r>
          </m:e>
          <m:sub>
            <m:r>
              <m:t>0</m:t>
            </m:r>
          </m:sub>
        </m:sSub>
        <m:r>
          <m:rPr>
            <m:sty m:val="p"/>
          </m:rPr>
          <m:t>+</m:t>
        </m:r>
        <m:r>
          <m:t>s</m:t>
        </m:r>
        <m:r>
          <m:t> </m:t>
        </m:r>
        <m:sSup>
          <m:e>
            <m:r>
              <m:t>x</m:t>
            </m:r>
          </m:e>
          <m:sup>
            <m:r>
              <m:rPr>
                <m:sty m:val="p"/>
              </m:rPr>
              <m:t>*</m:t>
            </m:r>
          </m:sup>
        </m:sSup>
        <m:d>
          <m:dPr>
            <m:begChr m:val="("/>
            <m:sepChr m:val=""/>
            <m:endChr m:val=")"/>
            <m:grow/>
          </m:dPr>
          <m:e>
            <m:r>
              <m:t>θ</m:t>
            </m:r>
          </m:e>
        </m:d>
      </m:oMath>
      <w:r>
        <w:t xml:space="preserve"> </w:t>
      </w:r>
      <w:r>
        <w:t xml:space="preserve">is increasing in</w:t>
      </w:r>
      <w:r>
        <w:t xml:space="preserve"> </w:t>
      </w:r>
      <m:oMath>
        <m:r>
          <m:t>θ</m:t>
        </m:r>
      </m:oMath>
      <w:r>
        <w:t xml:space="preserve">.</w:t>
      </w:r>
    </w:p>
    <w:p>
      <w:pPr>
        <w:pStyle w:val="BodyText"/>
      </w:pPr>
      <w:r>
        <w:rPr>
          <w:iCs/>
          <w:i/>
        </w:rPr>
        <w:t xml:space="preserve">Part 2.</w:t>
      </w:r>
      <w:r>
        <w:t xml:space="preserve"> </w:t>
      </w:r>
      <w:r>
        <w:t xml:space="preserve">A type’s maximized payoff is</w:t>
      </w:r>
      <w:r>
        <w:t xml:space="preserve"> </w:t>
      </w:r>
      <m:oMath>
        <m:r>
          <m:t>U</m:t>
        </m:r>
        <m:d>
          <m:dPr>
            <m:begChr m:val="("/>
            <m:sepChr m:val=""/>
            <m:endChr m:val=")"/>
            <m:grow/>
          </m:dPr>
          <m:e>
            <m:r>
              <m:t>θ</m:t>
            </m:r>
          </m:e>
        </m:d>
        <m:r>
          <m:rPr>
            <m:sty m:val="p"/>
          </m:rPr>
          <m:t>=</m:t>
        </m:r>
        <m:sSub>
          <m:e>
            <m:r>
              <m:t>v</m:t>
            </m:r>
          </m:e>
          <m:sub>
            <m:r>
              <m:t>0</m:t>
            </m:r>
          </m:sub>
        </m:sSub>
        <m:d>
          <m:dPr>
            <m:begChr m:val="("/>
            <m:sepChr m:val=""/>
            <m:endChr m:val=")"/>
            <m:grow/>
          </m:dPr>
          <m:e>
            <m:r>
              <m:t>θ</m:t>
            </m:r>
          </m:e>
        </m:d>
        <m:r>
          <m:rPr>
            <m:sty m:val="p"/>
          </m:rPr>
          <m:t>+</m:t>
        </m:r>
        <m:sSub>
          <m:e>
            <m:r>
              <m:rPr>
                <m:sty m:val="p"/>
              </m:rPr>
              <m:t>max</m:t>
            </m:r>
          </m:e>
          <m:sub>
            <m:r>
              <m:t>x</m:t>
            </m:r>
          </m:sub>
        </m:sSub>
        <m:d>
          <m:dPr>
            <m:begChr m:val="["/>
            <m:sepChr m:val=""/>
            <m:endChr m:val="]"/>
            <m:grow/>
          </m:dPr>
          <m:e>
            <m:r>
              <m:t>θ</m:t>
            </m:r>
            <m:r>
              <m:t>b</m:t>
            </m:r>
            <m:d>
              <m:dPr>
                <m:begChr m:val="("/>
                <m:sepChr m:val=""/>
                <m:endChr m:val=")"/>
                <m:grow/>
              </m:dPr>
              <m:e>
                <m:r>
                  <m:t>x</m:t>
                </m:r>
              </m:e>
            </m:d>
            <m:r>
              <m:rPr>
                <m:sty m:val="p"/>
              </m:rPr>
              <m:t>−</m:t>
            </m:r>
            <m:r>
              <m:t>s</m:t>
            </m:r>
            <m:r>
              <m:t>x</m:t>
            </m:r>
            <m:r>
              <m:t>φ</m:t>
            </m:r>
            <m:r>
              <m:rPr>
                <m:sty m:val="p"/>
              </m:rPr>
              <m:t>/</m:t>
            </m:r>
            <m:r>
              <m:t>t</m:t>
            </m:r>
          </m:e>
        </m:d>
        <m:r>
          <m:rPr>
            <m:sty m:val="p"/>
          </m:rPr>
          <m:t>−</m:t>
        </m:r>
        <m:r>
          <m:t>a</m:t>
        </m:r>
        <m:acc>
          <m:accPr>
            <m:chr m:val="‾"/>
          </m:accPr>
          <m:e>
            <m:r>
              <m:t>D</m:t>
            </m:r>
          </m:e>
        </m:acc>
        <m:r>
          <m:rPr>
            <m:sty m:val="p"/>
          </m:rPr>
          <m:t>−</m:t>
        </m:r>
        <m:sSub>
          <m:e>
            <m:r>
              <m:t>s</m:t>
            </m:r>
          </m:e>
          <m:sub>
            <m:r>
              <m:t>0</m:t>
            </m:r>
          </m:sub>
        </m:sSub>
        <m:r>
          <m:t>φ</m:t>
        </m:r>
        <m:r>
          <m:rPr>
            <m:sty m:val="p"/>
          </m:rPr>
          <m:t>/</m:t>
        </m:r>
        <m:r>
          <m:t>t</m:t>
        </m:r>
        <m:r>
          <m:rPr>
            <m:sty m:val="p"/>
          </m:rPr>
          <m:t>−</m:t>
        </m:r>
        <m:r>
          <m:t>p</m:t>
        </m:r>
      </m:oMath>
      <w:r>
        <w:t xml:space="preserve">. By the envelope theorem,</w:t>
      </w:r>
      <w:r>
        <w:t xml:space="preserve"> </w:t>
      </w:r>
      <m:oMath>
        <m:r>
          <m:t>U</m:t>
        </m:r>
        <m:r>
          <m:rPr>
            <m:sty m:val="p"/>
          </m:rPr>
          <m:t>′</m:t>
        </m:r>
        <m:d>
          <m:dPr>
            <m:begChr m:val="("/>
            <m:sepChr m:val=""/>
            <m:endChr m:val=")"/>
            <m:grow/>
          </m:dPr>
          <m:e>
            <m:r>
              <m:t>θ</m:t>
            </m:r>
          </m:e>
        </m:d>
        <m:r>
          <m:rPr>
            <m:sty m:val="p"/>
          </m:rPr>
          <m:t>=</m:t>
        </m:r>
        <m:sSub>
          <m:e>
            <m:r>
              <m:t>v</m:t>
            </m:r>
          </m:e>
          <m:sub>
            <m:r>
              <m:t>0</m:t>
            </m:r>
          </m:sub>
        </m:sSub>
        <m:r>
          <m:rPr>
            <m:sty m:val="p"/>
          </m:rPr>
          <m:t>′</m:t>
        </m:r>
        <m:d>
          <m:dPr>
            <m:begChr m:val="("/>
            <m:sepChr m:val=""/>
            <m:endChr m:val=")"/>
            <m:grow/>
          </m:dPr>
          <m:e>
            <m:r>
              <m:t>θ</m:t>
            </m:r>
          </m:e>
        </m:d>
        <m:r>
          <m:rPr>
            <m:sty m:val="p"/>
          </m:rPr>
          <m:t>+</m:t>
        </m:r>
        <m:r>
          <m:t>b</m:t>
        </m:r>
        <m:d>
          <m:dPr>
            <m:begChr m:val="("/>
            <m:sepChr m:val=""/>
            <m:endChr m:val=")"/>
            <m:grow/>
          </m:dPr>
          <m:e>
            <m:sSup>
              <m:e>
                <m:r>
                  <m:t>x</m:t>
                </m:r>
              </m:e>
              <m:sup>
                <m:r>
                  <m:rPr>
                    <m:sty m:val="p"/>
                  </m:rPr>
                  <m:t>*</m:t>
                </m:r>
              </m:sup>
            </m:sSup>
            <m:d>
              <m:dPr>
                <m:begChr m:val="("/>
                <m:sepChr m:val=""/>
                <m:endChr m:val=")"/>
                <m:grow/>
              </m:dPr>
              <m:e>
                <m:r>
                  <m:t>θ</m:t>
                </m:r>
              </m:e>
            </m:d>
          </m:e>
        </m:d>
        <m:r>
          <m:rPr>
            <m:sty m:val="p"/>
          </m:rPr>
          <m:t>&gt;</m:t>
        </m:r>
        <m:r>
          <m:t>0</m:t>
        </m:r>
      </m:oMath>
      <w:r>
        <w:t xml:space="preserve"> </w:t>
      </w:r>
      <w:r>
        <w:t xml:space="preserve">for</w:t>
      </w:r>
      <w:r>
        <w:t xml:space="preserve"> </w:t>
      </w:r>
      <m:oMath>
        <m:r>
          <m:t>θ</m:t>
        </m:r>
        <m:r>
          <m:rPr>
            <m:sty m:val="p"/>
          </m:rPr>
          <m:t>&gt;</m:t>
        </m:r>
        <m:r>
          <m:t>0</m:t>
        </m:r>
      </m:oMath>
      <w:r>
        <w:t xml:space="preserve">, so participation has a cutoff form.</w:t>
      </w:r>
    </w:p>
    <w:p>
      <w:pPr>
        <w:pStyle w:val="BodyText"/>
      </w:pPr>
      <w:r>
        <w:rPr>
          <w:iCs/>
          <w:i/>
        </w:rPr>
        <w:t xml:space="preserve">Part 3.</w:t>
      </w:r>
      <w:r>
        <w:t xml:space="preserve"> </w:t>
      </w:r>
      <w:r>
        <w:t xml:space="preserve">Let</w:t>
      </w:r>
      <w:r>
        <w:t xml:space="preserve"> </w:t>
      </w:r>
      <m:oMath>
        <m:r>
          <m:t>σ</m:t>
        </m:r>
        <m:d>
          <m:dPr>
            <m:begChr m:val="("/>
            <m:sepChr m:val=""/>
            <m:endChr m:val=")"/>
            <m:grow/>
          </m:dPr>
          <m:e>
            <m:r>
              <m:t>θ</m:t>
            </m:r>
            <m:r>
              <m:rPr>
                <m:sty m:val="p"/>
              </m:rPr>
              <m:t>;</m:t>
            </m:r>
            <m:r>
              <m:t>t</m:t>
            </m:r>
          </m:e>
        </m:d>
        <m:r>
          <m:rPr>
            <m:sty m:val="p"/>
          </m:rPr>
          <m:t>=</m:t>
        </m:r>
        <m:sSub>
          <m:e>
            <m:r>
              <m:t>s</m:t>
            </m:r>
          </m:e>
          <m:sub>
            <m:r>
              <m:t>0</m:t>
            </m:r>
          </m:sub>
        </m:sSub>
        <m:r>
          <m:rPr>
            <m:sty m:val="p"/>
          </m:rPr>
          <m:t>+</m:t>
        </m:r>
        <m:r>
          <m:t>s</m:t>
        </m:r>
        <m:r>
          <m:t> </m:t>
        </m:r>
        <m:sSup>
          <m:e>
            <m:r>
              <m:t>x</m:t>
            </m:r>
          </m:e>
          <m:sup>
            <m:r>
              <m:rPr>
                <m:sty m:val="p"/>
              </m:rPr>
              <m:t>*</m:t>
            </m:r>
          </m:sup>
        </m:sSup>
        <m:d>
          <m:dPr>
            <m:begChr m:val="("/>
            <m:sepChr m:val=""/>
            <m:endChr m:val=")"/>
            <m:grow/>
          </m:dPr>
          <m:e>
            <m:r>
              <m:t>θ</m:t>
            </m:r>
            <m:r>
              <m:rPr>
                <m:sty m:val="p"/>
              </m:rPr>
              <m:t>;</m:t>
            </m:r>
            <m:r>
              <m:t>t</m:t>
            </m:r>
            <m:r>
              <m:rPr>
                <m:sty m:val="p"/>
              </m:rPr>
              <m:t>,</m:t>
            </m:r>
            <m:r>
              <m:t>F</m:t>
            </m:r>
          </m:e>
        </m:d>
      </m:oMath>
      <w:r>
        <w:t xml:space="preserve">. By the envelope theorem, the derivative of each type’s payoff with respect to</w:t>
      </w:r>
      <w:r>
        <w:t xml:space="preserve"> </w:t>
      </w:r>
      <m:oMath>
        <m:r>
          <m:t>t</m:t>
        </m:r>
      </m:oMath>
      <w:r>
        <w:t xml:space="preserve"> </w:t>
      </w:r>
      <w:r>
        <w:t xml:space="preserve">is</w:t>
      </w:r>
      <w:r>
        <w:t xml:space="preserve"> </w:t>
      </w:r>
      <m:oMath>
        <m:r>
          <m:rPr>
            <m:sty m:val="p"/>
          </m:rPr>
          <m:t>−</m:t>
        </m:r>
        <m:r>
          <m:t>a</m:t>
        </m:r>
        <m:r>
          <m:t>γ</m:t>
        </m:r>
        <m:r>
          <m:rPr>
            <m:sty m:val="p"/>
          </m:rPr>
          <m:t>/</m:t>
        </m:r>
        <m:r>
          <m:t>2</m:t>
        </m:r>
        <m:r>
          <m:rPr>
            <m:sty m:val="p"/>
          </m:rPr>
          <m:t>+</m:t>
        </m:r>
        <m:r>
          <m:t>σ</m:t>
        </m:r>
        <m:d>
          <m:dPr>
            <m:begChr m:val="("/>
            <m:sepChr m:val=""/>
            <m:endChr m:val=")"/>
            <m:grow/>
          </m:dPr>
          <m:e>
            <m:r>
              <m:t>θ</m:t>
            </m:r>
            <m:r>
              <m:rPr>
                <m:sty m:val="p"/>
              </m:rPr>
              <m:t>;</m:t>
            </m:r>
            <m:r>
              <m:t>t</m:t>
            </m:r>
          </m:e>
        </m:d>
        <m:r>
          <m:t>φ</m:t>
        </m:r>
        <m:r>
          <m:rPr>
            <m:sty m:val="p"/>
          </m:rPr>
          <m:t>/</m:t>
        </m:r>
        <m:sSup>
          <m:e>
            <m:r>
              <m:t>t</m:t>
            </m:r>
          </m:e>
          <m:sup>
            <m:r>
              <m:t>2</m:t>
            </m:r>
          </m:sup>
        </m:sSup>
      </m:oMath>
      <w:r>
        <w:t xml:space="preserve">, as if depth were fixed. Hence</w:t>
      </w:r>
      <w:r>
        <w:t xml:space="preserve"> </w:t>
      </w:r>
      <m:oMath>
        <m:r>
          <m:t>Π</m:t>
        </m:r>
        <m:r>
          <m:rPr>
            <m:sty m:val="p"/>
          </m:rPr>
          <m:t>′</m:t>
        </m:r>
        <m:d>
          <m:dPr>
            <m:begChr m:val="("/>
            <m:sepChr m:val=""/>
            <m:endChr m:val=")"/>
            <m:grow/>
          </m:dPr>
          <m:e>
            <m:r>
              <m:t>t</m:t>
            </m:r>
          </m:e>
        </m:d>
        <m:r>
          <m:rPr>
            <m:sty m:val="p"/>
          </m:rPr>
          <m:t>=</m:t>
        </m:r>
        <m:r>
          <m:t>Q</m:t>
        </m:r>
        <m:d>
          <m:dPr>
            <m:begChr m:val="["/>
            <m:sepChr m:val=""/>
            <m:endChr m:val="]"/>
            <m:grow/>
          </m:dPr>
          <m:e>
            <m:r>
              <m:rPr>
                <m:sty m:val="p"/>
              </m:rPr>
              <m:t>−</m:t>
            </m:r>
            <m:r>
              <m:t>a</m:t>
            </m:r>
            <m:r>
              <m:t>γ</m:t>
            </m:r>
            <m:r>
              <m:rPr>
                <m:sty m:val="p"/>
              </m:rPr>
              <m:t>/</m:t>
            </m:r>
            <m:r>
              <m:t>2</m:t>
            </m:r>
            <m:r>
              <m:rPr>
                <m:sty m:val="p"/>
              </m:rPr>
              <m:t>+</m:t>
            </m:r>
            <m:sSub>
              <m:e>
                <m:r>
                  <m:t>σ</m:t>
                </m:r>
              </m:e>
              <m:sub>
                <m:r>
                  <m:t>m</m:t>
                </m:r>
              </m:sub>
            </m:sSub>
            <m:d>
              <m:dPr>
                <m:begChr m:val="("/>
                <m:sepChr m:val=""/>
                <m:endChr m:val=")"/>
                <m:grow/>
              </m:dPr>
              <m:e>
                <m:r>
                  <m:t>t</m:t>
                </m:r>
              </m:e>
            </m:d>
            <m:r>
              <m:t>φ</m:t>
            </m:r>
            <m:r>
              <m:rPr>
                <m:sty m:val="p"/>
              </m:rPr>
              <m:t>/</m:t>
            </m:r>
            <m:sSup>
              <m:e>
                <m:r>
                  <m:t>t</m:t>
                </m:r>
              </m:e>
              <m:sup>
                <m:r>
                  <m:t>2</m:t>
                </m:r>
              </m:sup>
            </m:sSup>
          </m:e>
        </m:d>
        <m:r>
          <m:rPr>
            <m:sty m:val="p"/>
          </m:rPr>
          <m:t>+</m:t>
        </m:r>
        <m:r>
          <m:t>K</m:t>
        </m:r>
        <m:r>
          <m:rPr>
            <m:sty m:val="p"/>
          </m:rPr>
          <m:t>/</m:t>
        </m:r>
        <m:sSup>
          <m:e>
            <m:r>
              <m:t>t</m:t>
            </m:r>
          </m:e>
          <m:sup>
            <m:r>
              <m:t>2</m:t>
            </m:r>
          </m:sup>
        </m:sSup>
      </m:oMath>
      <w:r>
        <w:t xml:space="preserve"> </w:t>
      </w:r>
      <w:r>
        <w:t xml:space="preserve">and</w:t>
      </w:r>
      <w:r>
        <w:t xml:space="preserve"> </w:t>
      </w:r>
      <m:oMath>
        <m:r>
          <m:t>W</m:t>
        </m:r>
        <m:r>
          <m:rPr>
            <m:sty m:val="p"/>
          </m:rPr>
          <m:t>′</m:t>
        </m:r>
        <m:d>
          <m:dPr>
            <m:begChr m:val="("/>
            <m:sepChr m:val=""/>
            <m:endChr m:val=")"/>
            <m:grow/>
          </m:dPr>
          <m:e>
            <m:r>
              <m:t>t</m:t>
            </m:r>
          </m:e>
        </m:d>
        <m:r>
          <m:rPr>
            <m:sty m:val="p"/>
          </m:rPr>
          <m:t>=</m:t>
        </m:r>
        <m:r>
          <m:t>Q</m:t>
        </m:r>
        <m:d>
          <m:dPr>
            <m:begChr m:val="["/>
            <m:sepChr m:val=""/>
            <m:endChr m:val="]"/>
            <m:grow/>
          </m:dPr>
          <m:e>
            <m:r>
              <m:rPr>
                <m:sty m:val="p"/>
              </m:rPr>
              <m:t>−</m:t>
            </m:r>
            <m:r>
              <m:t>a</m:t>
            </m:r>
            <m:r>
              <m:t>γ</m:t>
            </m:r>
            <m:r>
              <m:rPr>
                <m:sty m:val="p"/>
              </m:rPr>
              <m:t>/</m:t>
            </m:r>
            <m:r>
              <m:t>2</m:t>
            </m:r>
            <m:r>
              <m:rPr>
                <m:sty m:val="p"/>
              </m:rPr>
              <m:t>+</m:t>
            </m:r>
            <m:acc>
              <m:accPr>
                <m:chr m:val="‾"/>
              </m:accPr>
              <m:e>
                <m:r>
                  <m:t>σ</m:t>
                </m:r>
              </m:e>
            </m:acc>
            <m:d>
              <m:dPr>
                <m:begChr m:val="("/>
                <m:sepChr m:val=""/>
                <m:endChr m:val=")"/>
                <m:grow/>
              </m:dPr>
              <m:e>
                <m:r>
                  <m:t>t</m:t>
                </m:r>
              </m:e>
            </m:d>
            <m:r>
              <m:t>φ</m:t>
            </m:r>
            <m:r>
              <m:rPr>
                <m:sty m:val="p"/>
              </m:rPr>
              <m:t>/</m:t>
            </m:r>
            <m:sSup>
              <m:e>
                <m:r>
                  <m:t>t</m:t>
                </m:r>
              </m:e>
              <m:sup>
                <m:r>
                  <m:t>2</m:t>
                </m:r>
              </m:sup>
            </m:sSup>
          </m:e>
        </m:d>
        <m:r>
          <m:rPr>
            <m:sty m:val="p"/>
          </m:rPr>
          <m:t>+</m:t>
        </m:r>
        <m:r>
          <m:t>K</m:t>
        </m:r>
        <m:r>
          <m:rPr>
            <m:sty m:val="p"/>
          </m:rPr>
          <m:t>/</m:t>
        </m:r>
        <m:sSup>
          <m:e>
            <m:r>
              <m:t>t</m:t>
            </m:r>
          </m:e>
          <m:sup>
            <m:r>
              <m:t>2</m:t>
            </m:r>
          </m:sup>
        </m:sSup>
      </m:oMath>
      <w:r>
        <w:t xml:space="preserve">, where</w:t>
      </w:r>
      <w:r>
        <w:t xml:space="preserve"> </w:t>
      </w:r>
      <m:oMath>
        <m:sSub>
          <m:e>
            <m:r>
              <m:t>σ</m:t>
            </m:r>
          </m:e>
          <m:sub>
            <m:r>
              <m:t>m</m:t>
            </m:r>
          </m:sub>
        </m:sSub>
        <m:d>
          <m:dPr>
            <m:begChr m:val="("/>
            <m:sepChr m:val=""/>
            <m:endChr m:val=")"/>
            <m:grow/>
          </m:dPr>
          <m:e>
            <m:r>
              <m:t>t</m:t>
            </m:r>
          </m:e>
        </m:d>
        <m:r>
          <m:rPr>
            <m:sty m:val="p"/>
          </m:rPr>
          <m:t>&lt;</m:t>
        </m:r>
        <m:acc>
          <m:accPr>
            <m:chr m:val="‾"/>
          </m:accPr>
          <m:e>
            <m:r>
              <m:t>σ</m:t>
            </m:r>
          </m:e>
        </m:acc>
        <m:d>
          <m:dPr>
            <m:begChr m:val="("/>
            <m:sepChr m:val=""/>
            <m:endChr m:val=")"/>
            <m:grow/>
          </m:dPr>
          <m:e>
            <m:r>
              <m:t>t</m:t>
            </m:r>
          </m:e>
        </m:d>
      </m:oMath>
      <w:r>
        <w:t xml:space="preserve"> </w:t>
      </w:r>
      <w:r>
        <w:t xml:space="preserve">by part 1. Thus</w:t>
      </w:r>
      <w:r>
        <w:t xml:space="preserve"> </w:t>
      </w:r>
      <m:oMath>
        <m:r>
          <m:t>W</m:t>
        </m:r>
        <m:r>
          <m:rPr>
            <m:sty m:val="p"/>
          </m:rPr>
          <m:t>′</m:t>
        </m:r>
        <m:d>
          <m:dPr>
            <m:begChr m:val="("/>
            <m:sepChr m:val=""/>
            <m:endChr m:val=")"/>
            <m:grow/>
          </m:dPr>
          <m:e>
            <m:r>
              <m:t>t</m:t>
            </m:r>
          </m:e>
        </m:d>
        <m:r>
          <m:rPr>
            <m:sty m:val="p"/>
          </m:rPr>
          <m:t>&gt;</m:t>
        </m:r>
        <m:r>
          <m:t>Π</m:t>
        </m:r>
        <m:r>
          <m:rPr>
            <m:sty m:val="p"/>
          </m:rPr>
          <m:t>′</m:t>
        </m:r>
        <m:d>
          <m:dPr>
            <m:begChr m:val="("/>
            <m:sepChr m:val=""/>
            <m:endChr m:val=")"/>
            <m:grow/>
          </m:dPr>
          <m:e>
            <m:r>
              <m:t>t</m:t>
            </m:r>
          </m:e>
        </m:d>
      </m:oMath>
      <w:r>
        <w:t xml:space="preserve"> </w:t>
      </w:r>
      <w:r>
        <w:t xml:space="preserve">for all</w:t>
      </w:r>
      <w:r>
        <w:t xml:space="preserve"> </w:t>
      </w:r>
      <m:oMath>
        <m:r>
          <m:t>t</m:t>
        </m:r>
      </m:oMath>
      <w:r>
        <w:t xml:space="preserve">, and</w:t>
      </w:r>
      <w:r>
        <w:t xml:space="preserve"> </w:t>
      </w:r>
      <m:oMath>
        <m:sSub>
          <m:e>
            <m:r>
              <m:t>t</m:t>
            </m:r>
          </m:e>
          <m:sub>
            <m:r>
              <m:t>W</m:t>
            </m:r>
          </m:sub>
        </m:sSub>
        <m:r>
          <m:rPr>
            <m:sty m:val="p"/>
          </m:rPr>
          <m:t>&gt;</m:t>
        </m:r>
        <m:sSub>
          <m:e>
            <m:r>
              <m:t>t</m:t>
            </m:r>
          </m:e>
          <m:sub>
            <m:r>
              <m:t>P</m:t>
            </m:r>
          </m:sub>
        </m:sSub>
      </m:oMath>
      <w:r>
        <w:t xml:space="preserve"> </w:t>
      </w:r>
      <w:r>
        <w:t xml:space="preserve">under strict quasi-concavity. The same envelope argument applied to</w:t>
      </w:r>
      <w:r>
        <w:t xml:space="preserve"> </w:t>
      </w:r>
      <m:oMath>
        <m:r>
          <m:t>F</m:t>
        </m:r>
      </m:oMath>
      <w:r>
        <w:t xml:space="preserve"> </w:t>
      </w:r>
      <w:r>
        <w:t xml:space="preserve">gives the analogue of (8), so Proposition 2 holds; Proposition 3 holds under the analogue of Assumption 3 for the induced migration costs.</w:t>
      </w:r>
    </w:p>
    <w:p>
      <w:pPr>
        <w:pStyle w:val="BodyText"/>
      </w:pPr>
      <w:r>
        <w:rPr>
          <w:iCs/>
          <w:i/>
        </w:rPr>
        <w:t xml:space="preserve">Part 4.</w:t>
      </w:r>
      <w:r>
        <w:t xml:space="preserve"> </w:t>
      </w:r>
      <w:r>
        <w:t xml:space="preserve">Since</w:t>
      </w:r>
      <w:r>
        <w:t xml:space="preserve"> </w:t>
      </w:r>
      <m:oMath>
        <m:sSup>
          <m:e>
            <m:r>
              <m:t>x</m:t>
            </m:r>
          </m:e>
          <m:sup>
            <m:r>
              <m:rPr>
                <m:sty m:val="p"/>
              </m:rPr>
              <m:t>*</m:t>
            </m:r>
          </m:sup>
        </m:sSup>
      </m:oMath>
      <w:r>
        <w:t xml:space="preserve"> </w:t>
      </w:r>
      <w:r>
        <w:t xml:space="preserve">increases in</w:t>
      </w:r>
      <w:r>
        <w:t xml:space="preserve"> </w:t>
      </w:r>
      <m:oMath>
        <m:r>
          <m:t>t</m:t>
        </m:r>
      </m:oMath>
      <w:r>
        <w:t xml:space="preserve"> </w:t>
      </w:r>
      <w:r>
        <w:t xml:space="preserve">and</w:t>
      </w:r>
      <w:r>
        <w:t xml:space="preserve"> </w:t>
      </w:r>
      <m:oMath>
        <m:sSub>
          <m:e>
            <m:r>
              <m:t>t</m:t>
            </m:r>
          </m:e>
          <m:sub>
            <m:r>
              <m:t>P</m:t>
            </m:r>
          </m:sub>
        </m:sSub>
        <m:r>
          <m:rPr>
            <m:sty m:val="p"/>
          </m:rPr>
          <m:t>&lt;</m:t>
        </m:r>
        <m:sSub>
          <m:e>
            <m:r>
              <m:t>t</m:t>
            </m:r>
          </m:e>
          <m:sub>
            <m:r>
              <m:t>W</m:t>
            </m:r>
          </m:sub>
        </m:sSub>
      </m:oMath>
      <w:r>
        <w:t xml:space="preserve">,</w:t>
      </w:r>
      <w:r>
        <w:t xml:space="preserve"> </w:t>
      </w:r>
      <m:oMath>
        <m:sSup>
          <m:e>
            <m:r>
              <m:t>x</m:t>
            </m:r>
          </m:e>
          <m:sup>
            <m:r>
              <m:rPr>
                <m:sty m:val="p"/>
              </m:rPr>
              <m:t>*</m:t>
            </m:r>
          </m:sup>
        </m:sSup>
        <m:d>
          <m:dPr>
            <m:begChr m:val="("/>
            <m:sepChr m:val=""/>
            <m:endChr m:val=")"/>
            <m:grow/>
          </m:dPr>
          <m:e>
            <m:r>
              <m:t>θ</m:t>
            </m:r>
            <m:r>
              <m:rPr>
                <m:sty m:val="p"/>
              </m:rPr>
              <m:t>;</m:t>
            </m:r>
            <m:sSub>
              <m:e>
                <m:r>
                  <m:t>t</m:t>
                </m:r>
              </m:e>
              <m:sub>
                <m:r>
                  <m:t>P</m:t>
                </m:r>
              </m:sub>
            </m:sSub>
            <m:r>
              <m:rPr>
                <m:sty m:val="p"/>
              </m:rPr>
              <m:t>,</m:t>
            </m:r>
            <m:r>
              <m:t>F</m:t>
            </m:r>
          </m:e>
        </m:d>
        <m:r>
          <m:rPr>
            <m:sty m:val="p"/>
          </m:rPr>
          <m:t>&lt;</m:t>
        </m:r>
        <m:sSup>
          <m:e>
            <m:r>
              <m:t>x</m:t>
            </m:r>
          </m:e>
          <m:sup>
            <m:r>
              <m:rPr>
                <m:sty m:val="p"/>
              </m:rPr>
              <m:t>*</m:t>
            </m:r>
          </m:sup>
        </m:sSup>
        <m:d>
          <m:dPr>
            <m:begChr m:val="("/>
            <m:sepChr m:val=""/>
            <m:endChr m:val=")"/>
            <m:grow/>
          </m:dPr>
          <m:e>
            <m:r>
              <m:t>θ</m:t>
            </m:r>
            <m:r>
              <m:rPr>
                <m:sty m:val="p"/>
              </m:rPr>
              <m:t>;</m:t>
            </m:r>
            <m:sSub>
              <m:e>
                <m:r>
                  <m:t>t</m:t>
                </m:r>
              </m:e>
              <m:sub>
                <m:r>
                  <m:t>W</m:t>
                </m:r>
              </m:sub>
            </m:sSub>
            <m:r>
              <m:rPr>
                <m:sty m:val="p"/>
              </m:rPr>
              <m:t>,</m:t>
            </m:r>
            <m:r>
              <m:t>F</m:t>
            </m:r>
          </m:e>
        </m:d>
      </m:oMath>
      <w:r>
        <w:t xml:space="preserve"> </w:t>
      </w:r>
      <w:r>
        <w:t xml:space="preserve">for every</w:t>
      </w:r>
      <w:r>
        <w:t xml:space="preserve"> </w:t>
      </w:r>
      <m:oMath>
        <m:r>
          <m:t>θ</m:t>
        </m:r>
        <m:r>
          <m:rPr>
            <m:sty m:val="p"/>
          </m:rPr>
          <m:t>&gt;</m:t>
        </m:r>
        <m:r>
          <m:t>0</m:t>
        </m:r>
      </m:oMath>
      <w:r>
        <w:t xml:space="preserve">.</w:t>
      </w:r>
      <w:r>
        <w:t xml:space="preserve"> </w:t>
      </w:r>
      <m:oMath>
        <m:r>
          <m:rPr>
            <m:sty m:val="p"/>
          </m:rPr>
          <m:t>◼</m:t>
        </m:r>
      </m:oMath>
    </w:p>
    <w:p>
      <w:pPr>
        <w:pStyle w:val="FirstParagraph"/>
      </w:pPr>
      <w:r>
        <w:rPr>
          <w:b w:val="0"/>
        </w:rPr>
        <w:t xml:space="preserve">Proof of Proposition 7. </w:t>
      </w:r>
    </w:p>
    <w:p>
      <w:pPr>
        <w:pStyle w:val="BodyText"/>
      </w:pPr>
      <w:r>
        <w:rPr>
          <w:b w:val="0"/>
        </w:rPr>
        <w:t>Part 1. Write t_m for the monopoly interval in (7), which maximizes profit in t when participation is the monopoly participation. Under the freshness-race constraint the feasible set is t ≤ t_r. If t_m ≤ t_r the constraint does not bind and the best response equals t_m. If t_m &gt; t_r the unconstrained maximizer is infeasible. Profit is strictly concave in t, so on t ≤ t_r the maximum is at t_r, which is strictly shorter than t_m. The second-best interval is longer than t_m under Assumption 2, hence longer than the constrained best response. The distortion widens. If the race also lowers participation, the direction is unchanged as long as the induced marginal migration cost does not rise above the average, which Assumption 2 preserves because the developers who exit first are the least integrated.</w:t>
      </w:r>
    </w:p>
    <w:p>
      <w:pPr>
        <w:pStyle w:val="BodyText"/>
      </w:pPr>
      <w:r>
        <w:rPr>
          <w:b w:val="0"/>
        </w:rPr>
        <w:t>Part 2. Let the rival require L ≥ L_E and let the binding participation constraint be that of a type θ_E with σ(θ_E) φ(F) &gt; σ-bar, the average migration cost among retained participants. The platform’s price is then pinned down by θ_E rather than by the former marginal type, so the migration cost that enters the platform’s first-order condition for t is σ(θ_E) φ(F) rather than σ_m. The second-best interval for the retained ecosystem still uses σ-bar. The comparison in Proposition 1 therefore reverses, and t_platform ≥ t_second-best. For the window, the binding customer values L up to the point at which its preferred delay is covered, and the platform can charge for that value because the customer is now marginal. The platform therefore offers L at least as long as in the monopoly, in which Proposition 5(1) capped the window at the low-migration marginal developer’s need. The argument is a change in the identity of the marginal type. It is not an equilibrium of a simultaneous-move duopoly.</w:t>
      </w:r>
    </w:p>
    <w:p>
      <w:pPr>
        <w:pStyle w:val="Heading1"/>
      </w:pPr>
      <w:r>
        <w:rPr>
          <w:b w:val="0"/>
        </w:rPr>
        <w:t>Appendix B. Illustration of the Primitives</w:t>
      </w:r>
    </w:p>
    <w:p>
      <w:pPr>
        <w:pStyle w:val="FirstParagraph"/>
      </w:pPr>
      <w:r>
        <w:rPr>
          <w:b w:val="0"/>
        </w:rPr>
        <w:t>This appendix records the protocol behind the illustration in Section 8.1. Nothing here is a test of Propositions 1 to 7. The exercise uses one random seed, EleutherAI’s Pythia-70M, and a synthetic world whose facts cannot have appeared in pre-training.</w:t>
      </w:r>
    </w:p>
    <w:p>
      <w:pPr>
        <w:pStyle w:val="BodyText"/>
      </w:pPr>
      <w:r>
        <w:rPr>
          <w:bCs/>
          <w:b/>
        </w:rPr>
        <w:t xml:space="preserve">Linear obsolescence.</w:t>
      </w:r>
      <w:r>
        <w:t xml:space="preserve"> </w:t>
      </w:r>
      <w:r>
        <w:t xml:space="preserve">Over 60 days without updating, the model’s error on the dynamic facts rises by 0.519 percentage points per day, and a linear fit explains 98% of the variation (</w:t>
      </w:r>
      <m:oMath>
        <m:sSup>
          <m:e>
            <m:r>
              <m:t>R</m:t>
            </m:r>
          </m:e>
          <m:sup>
            <m:r>
              <m:t>2</m:t>
            </m:r>
          </m:sup>
        </m:sSup>
        <m:r>
          <m:rPr>
            <m:sty m:val="p"/>
          </m:rPr>
          <m:t>=</m:t>
        </m:r>
        <m:r>
          <m:t>0.98</m:t>
        </m:r>
      </m:oMath>
      <w:r>
        <w:t xml:space="preserve">). This supports the linear shortfall process in Section 3.1,</w:t>
      </w:r>
      <w:r>
        <w:t xml:space="preserve"> </w:t>
      </w:r>
      <m:oMath>
        <m:acc>
          <m:accPr>
            <m:chr m:val="‾"/>
          </m:accPr>
          <m:e>
            <m:r>
              <m:t>D</m:t>
            </m:r>
          </m:e>
        </m:acc>
        <m:r>
          <m:rPr>
            <m:sty m:val="p"/>
          </m:rPr>
          <m:t>=</m:t>
        </m:r>
        <m:r>
          <m:t>F</m:t>
        </m:r>
        <m:r>
          <m:rPr>
            <m:sty m:val="p"/>
          </m:rPr>
          <m:t>+</m:t>
        </m:r>
        <m:r>
          <m:t>γ</m:t>
        </m:r>
        <m:r>
          <m:t>t</m:t>
        </m:r>
        <m:r>
          <m:rPr>
            <m:sty m:val="p"/>
          </m:rPr>
          <m:t>/</m:t>
        </m:r>
        <m:r>
          <m:t>2</m:t>
        </m:r>
      </m:oMath>
      <w:r>
        <w:t xml:space="preserve">. Linearity is a local property: by day 60 about one third of the dynamic facts have changed at least once, and the process would eventually saturate as changes revisit facts that are already out of date.</w:t>
      </w:r>
    </w:p>
    <w:p>
      <w:pPr>
        <w:pStyle w:val="BodyText"/>
      </w:pPr>
      <w:r>
        <w:rPr>
          <w:bCs/>
          <w:b/>
        </w:rPr>
        <w:t xml:space="preserve">Destruction differs across update technologies.</w:t>
      </w:r>
      <w:r>
        <w:t xml:space="preserve"> </w:t>
      </w:r>
      <w:r>
        <w:t xml:space="preserve">After 10 and 30 days of drift, we update the model with three technologies and measure both the reduction in error and the change in error on the static retention suite.</w:t>
      </w:r>
    </w:p>
    <w:p>
      <w:pPr>
        <w:pStyle w:val="TableCaption"/>
      </w:pPr>
      <w:r>
        <w:t xml:space="preserve">Table B1. Illustration of cost, restoration and destruction for three update technologies. Values are averages of updates after 10 and 30 days. Cost counts trainable parameters and is normalized so that a full fine-tune equals 1,000. A change of −2.0 points equals three of 150 static facts and lies within single-seed noise.</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Caption w:val="Table 1. Measured cost, restoration and destruction of three update technologies. Values are averages of updates after 10 and 30 days. Cost counts trainable parameters and is normalized so that a full fine-tune equals 1,000. A change of −2.0 points equals three of 150 static facts and lies within single-seed noise."/>
      </w:tblPr>
      <w:tblGrid>
        <w:gridCol w:w="2448"/>
        <w:gridCol w:w="2015"/>
        <w:gridCol w:w="1296"/>
        <w:gridCol w:w="1800"/>
        <w:gridCol w:w="1800"/>
      </w:tblGrid>
      <w:tr>
        <w:trPr>
          <w:tblHeader w:val="true"/>
        </w:trPr>
        <w:tc>
          <w:tcPr>
            <w:tcW w:type="dxa" w:w="2448"/>
            <w:tcBorders>
              <w:bottom w:val="single" w:sz="4" w:color="000000"/>
            </w:tcBorders>
          </w:tcPr>
          <w:p>
            <w:pPr>
              <w:pStyle w:val="Compact"/>
              <w:spacing w:line="240" w:lineRule="auto" w:before="20" w:after="20"/>
              <w:ind w:firstLine="0" w:left="0"/>
              <w:jc w:val="left"/>
            </w:pPr>
            <w:r>
              <w:rPr>
                <w:b/>
                <w:sz w:val="20"/>
              </w:rPr>
              <w:t xml:space="preserve">Update technology</w:t>
            </w:r>
          </w:p>
        </w:tc>
        <w:tc>
          <w:tcPr>
            <w:tcW w:type="dxa" w:w="2016"/>
            <w:tcBorders>
              <w:bottom w:val="single" w:sz="4" w:color="000000"/>
            </w:tcBorders>
          </w:tcPr>
          <w:p>
            <w:pPr>
              <w:pStyle w:val="Compact"/>
              <w:spacing w:line="240" w:lineRule="auto" w:before="20" w:after="20"/>
              <w:ind w:firstLine="0" w:left="0"/>
              <w:jc w:val="left"/>
            </w:pPr>
            <w:r>
              <w:rPr>
                <w:b/>
                <w:sz w:val="20"/>
              </w:rPr>
              <w:t xml:space="preserve">Parameters trained</w:t>
            </w:r>
          </w:p>
        </w:tc>
        <w:tc>
          <w:tcPr>
            <w:tcW w:type="dxa" w:w="1296"/>
            <w:tcBorders>
              <w:bottom w:val="single" w:sz="4" w:color="000000"/>
            </w:tcBorders>
          </w:tcPr>
          <w:p>
            <w:pPr>
              <w:pStyle w:val="Compact"/>
              <w:spacing w:line="240" w:lineRule="auto" w:before="20" w:after="20"/>
              <w:ind w:firstLine="0" w:left="0"/>
              <w:jc w:val="left"/>
            </w:pPr>
            <w:r>
              <w:rPr>
                <w:b/>
                <w:sz w:val="20"/>
              </w:rPr>
              <w:t xml:space="preserve">Relative cost</w:t>
            </w:r>
          </w:p>
        </w:tc>
        <w:tc>
          <w:tcPr>
            <w:tcW w:type="dxa" w:w="1800"/>
            <w:tcBorders>
              <w:bottom w:val="single" w:sz="4" w:color="000000"/>
            </w:tcBorders>
          </w:tcPr>
          <w:p>
            <w:pPr>
              <w:pStyle w:val="Compact"/>
              <w:spacing w:line="240" w:lineRule="auto" w:before="20" w:after="20"/>
              <w:ind w:firstLine="0" w:left="0"/>
              <w:jc w:val="left"/>
            </w:pPr>
            <w:r>
              <w:rPr>
                <w:b/>
                <w:sz w:val="20"/>
              </w:rPr>
              <w:t xml:space="preserve">Total error before → after (pp)</w:t>
            </w:r>
          </w:p>
        </w:tc>
        <w:tc>
          <w:tcPr>
            <w:tcW w:type="dxa" w:w="1800"/>
            <w:tcBorders>
              <w:bottom w:val="single" w:sz="4" w:color="000000"/>
            </w:tcBorders>
          </w:tcPr>
          <w:p>
            <w:pPr>
              <w:pStyle w:val="Compact"/>
              <w:spacing w:line="240" w:lineRule="auto" w:before="20" w:after="20"/>
              <w:ind w:firstLine="0" w:left="0"/>
              <w:jc w:val="left"/>
            </w:pPr>
            <w:r>
              <w:rPr>
                <w:b/>
                <w:sz w:val="20"/>
              </w:rPr>
              <w:t xml:space="preserve">Change in static-fact error (pp)</w:t>
            </w:r>
          </w:p>
        </w:tc>
      </w:tr>
      <w:tr>
        <w:tc>
          <w:tcPr>
            <w:tcW w:type="dxa" w:w="2448"/>
          </w:tcPr>
          <w:p>
            <w:pPr>
              <w:pStyle w:val="Compact"/>
              <w:spacing w:line="240" w:lineRule="auto" w:before="20" w:after="20"/>
              <w:ind w:firstLine="0" w:left="0"/>
              <w:jc w:val="left"/>
            </w:pPr>
            <w:r>
              <w:rPr>
                <w:sz w:val="20"/>
              </w:rPr>
              <w:t xml:space="preserve">Targeted edit</w:t>
            </w:r>
          </w:p>
        </w:tc>
        <w:tc>
          <w:tcPr>
            <w:tcW w:type="dxa" w:w="2016"/>
          </w:tcPr>
          <w:p>
            <w:pPr>
              <w:pStyle w:val="Compact"/>
              <w:spacing w:line="240" w:lineRule="auto" w:before="20" w:after="20"/>
              <w:ind w:firstLine="0" w:left="0"/>
              <w:jc w:val="left"/>
            </w:pPr>
            <w:r>
              <w:rPr>
                <w:sz w:val="20"/>
              </w:rPr>
              <w:t xml:space="preserve">One MLP block, logged facts</w:t>
            </w:r>
          </w:p>
        </w:tc>
        <w:tc>
          <w:tcPr>
            <w:tcW w:type="dxa" w:w="1296"/>
          </w:tcPr>
          <w:p>
            <w:pPr>
              <w:pStyle w:val="Compact"/>
              <w:spacing w:line="240" w:lineRule="auto" w:before="20" w:after="20"/>
              <w:ind w:firstLine="0" w:left="0"/>
              <w:jc w:val="left"/>
            </w:pPr>
            <w:r>
              <w:rPr>
                <w:sz w:val="20"/>
              </w:rPr>
              <w:t xml:space="preserve">14.0</w:t>
            </w:r>
          </w:p>
        </w:tc>
        <w:tc>
          <w:tcPr>
            <w:tcW w:type="dxa" w:w="1800"/>
          </w:tcPr>
          <w:p>
            <w:pPr>
              <w:pStyle w:val="Compact"/>
              <w:spacing w:line="240" w:lineRule="auto" w:before="20" w:after="20"/>
              <w:ind w:firstLine="0" w:left="0"/>
              <w:jc w:val="left"/>
            </w:pPr>
            <w:r>
              <w:rPr>
                <w:sz w:val="20"/>
              </w:rPr>
              <w:t xml:space="preserve">17.4 → 13.8</w:t>
            </w:r>
          </w:p>
        </w:tc>
        <w:tc>
          <w:tcPr>
            <w:tcW w:type="dxa" w:w="1800"/>
          </w:tcPr>
          <w:p>
            <w:pPr>
              <w:pStyle w:val="Compact"/>
              <w:spacing w:line="240" w:lineRule="auto" w:before="20" w:after="20"/>
              <w:ind w:firstLine="0" w:left="0"/>
              <w:jc w:val="left"/>
            </w:pPr>
            <w:r>
              <w:rPr>
                <w:sz w:val="20"/>
              </w:rPr>
              <w:t xml:space="preserve">−2.0</w:t>
            </w:r>
          </w:p>
        </w:tc>
      </w:tr>
      <w:tr>
        <w:tc>
          <w:tcPr>
            <w:tcW w:type="dxa" w:w="2448"/>
          </w:tcPr>
          <w:p>
            <w:pPr>
              <w:pStyle w:val="Compact"/>
              <w:spacing w:line="240" w:lineRule="auto" w:before="20" w:after="20"/>
              <w:ind w:firstLine="0" w:left="0"/>
              <w:jc w:val="left"/>
            </w:pPr>
            <w:r>
              <w:rPr>
                <w:sz w:val="20"/>
              </w:rPr>
              <w:t xml:space="preserve">Low-rank adaptation (rank 16, no replay)</w:t>
            </w:r>
          </w:p>
        </w:tc>
        <w:tc>
          <w:tcPr>
            <w:tcW w:type="dxa" w:w="2016"/>
          </w:tcPr>
          <w:p>
            <w:pPr>
              <w:pStyle w:val="Compact"/>
              <w:spacing w:line="240" w:lineRule="auto" w:before="20" w:after="20"/>
              <w:ind w:firstLine="0" w:left="0"/>
              <w:jc w:val="left"/>
            </w:pPr>
            <w:r>
              <w:rPr>
                <w:sz w:val="20"/>
              </w:rPr>
              <w:t xml:space="preserve">Adapters in all layers</w:t>
            </w:r>
          </w:p>
        </w:tc>
        <w:tc>
          <w:tcPr>
            <w:tcW w:type="dxa" w:w="1296"/>
          </w:tcPr>
          <w:p>
            <w:pPr>
              <w:pStyle w:val="Compact"/>
              <w:spacing w:line="240" w:lineRule="auto" w:before="20" w:after="20"/>
              <w:ind w:firstLine="0" w:left="0"/>
              <w:jc w:val="left"/>
            </w:pPr>
            <w:r>
              <w:rPr>
                <w:sz w:val="20"/>
              </w:rPr>
              <w:t xml:space="preserve">2.6</w:t>
            </w:r>
          </w:p>
        </w:tc>
        <w:tc>
          <w:tcPr>
            <w:tcW w:type="dxa" w:w="1800"/>
          </w:tcPr>
          <w:p>
            <w:pPr>
              <w:pStyle w:val="Compact"/>
              <w:spacing w:line="240" w:lineRule="auto" w:before="20" w:after="20"/>
              <w:ind w:firstLine="0" w:left="0"/>
              <w:jc w:val="left"/>
            </w:pPr>
            <w:r>
              <w:rPr>
                <w:sz w:val="20"/>
              </w:rPr>
              <w:t xml:space="preserve">17.4 → 24.4</w:t>
            </w:r>
          </w:p>
        </w:tc>
        <w:tc>
          <w:tcPr>
            <w:tcW w:type="dxa" w:w="1800"/>
          </w:tcPr>
          <w:p>
            <w:pPr>
              <w:pStyle w:val="Compact"/>
              <w:spacing w:line="240" w:lineRule="auto" w:before="20" w:after="20"/>
              <w:ind w:firstLine="0" w:left="0"/>
              <w:jc w:val="left"/>
            </w:pPr>
            <w:r>
              <w:rPr>
                <w:sz w:val="20"/>
              </w:rPr>
              <w:t xml:space="preserve">+11.0</w:t>
            </w:r>
          </w:p>
        </w:tc>
      </w:tr>
      <w:tr>
        <w:tc>
          <w:tcPr>
            <w:tcW w:type="dxa" w:w="2448"/>
          </w:tcPr>
          <w:p>
            <w:pPr>
              <w:pStyle w:val="Compact"/>
              <w:spacing w:line="240" w:lineRule="auto" w:before="20" w:after="20"/>
              <w:ind w:firstLine="0" w:left="0"/>
              <w:jc w:val="left"/>
            </w:pPr>
            <w:r>
              <w:rPr>
                <w:sz w:val="20"/>
              </w:rPr>
              <w:t xml:space="preserve">Full fine-tune</w:t>
            </w:r>
          </w:p>
        </w:tc>
        <w:tc>
          <w:tcPr>
            <w:tcW w:type="dxa" w:w="2016"/>
          </w:tcPr>
          <w:p>
            <w:pPr>
              <w:pStyle w:val="Compact"/>
              <w:spacing w:line="240" w:lineRule="auto" w:before="20" w:after="20"/>
              <w:ind w:firstLine="0" w:left="0"/>
              <w:jc w:val="left"/>
            </w:pPr>
            <w:r>
              <w:rPr>
                <w:sz w:val="20"/>
              </w:rPr>
              <w:t xml:space="preserve">All parameters</w:t>
            </w:r>
          </w:p>
        </w:tc>
        <w:tc>
          <w:tcPr>
            <w:tcW w:type="dxa" w:w="1296"/>
          </w:tcPr>
          <w:p>
            <w:pPr>
              <w:pStyle w:val="Compact"/>
              <w:spacing w:line="240" w:lineRule="auto" w:before="20" w:after="20"/>
              <w:ind w:firstLine="0" w:left="0"/>
              <w:jc w:val="left"/>
            </w:pPr>
            <w:r>
              <w:rPr>
                <w:sz w:val="20"/>
              </w:rPr>
              <w:t xml:space="preserve">1,000</w:t>
            </w:r>
          </w:p>
        </w:tc>
        <w:tc>
          <w:tcPr>
            <w:tcW w:type="dxa" w:w="1800"/>
          </w:tcPr>
          <w:p>
            <w:pPr>
              <w:pStyle w:val="Compact"/>
              <w:spacing w:line="240" w:lineRule="auto" w:before="20" w:after="20"/>
              <w:ind w:firstLine="0" w:left="0"/>
              <w:jc w:val="left"/>
            </w:pPr>
            <w:r>
              <w:rPr>
                <w:sz w:val="20"/>
              </w:rPr>
              <w:t xml:space="preserve">17.4 → 5.7</w:t>
            </w:r>
          </w:p>
        </w:tc>
        <w:tc>
          <w:tcPr>
            <w:tcW w:type="dxa" w:w="1800"/>
          </w:tcPr>
          <w:p>
            <w:pPr>
              <w:pStyle w:val="Compact"/>
              <w:spacing w:line="240" w:lineRule="auto" w:before="20" w:after="20"/>
              <w:ind w:firstLine="0" w:left="0"/>
              <w:jc w:val="left"/>
            </w:pPr>
            <w:r>
              <w:rPr>
                <w:sz w:val="20"/>
              </w:rPr>
              <w:t xml:space="preserve">−2.0</w:t>
            </w:r>
          </w:p>
        </w:tc>
      </w:tr>
    </w:tbl>
    <w:p>
      <w:pPr>
        <w:pStyle w:val="BodyText"/>
        <w:spacing w:before="240"/>
      </w:pPr>
      <w:r>
        <w:t xml:space="preserve">Two observations bear on the model. First, destruction is a property of the update technology and is not ordered by cost. The cheapest technology, low-rank adaptation without replay of old data, raised error on the static facts by 11 points, while the targeted edit and the full fine-tune destroyed no measurable capability. This is consistent with treating destruction</w:t>
      </w:r>
      <w:r>
        <w:t xml:space="preserve"> </w:t>
      </w:r>
      <m:oMath>
        <m:r>
          <m:t>F</m:t>
        </m:r>
      </m:oMath>
      <w:r>
        <w:t xml:space="preserve"> </w:t>
      </w:r>
      <w:r>
        <w:t xml:space="preserve">as a choice that the platform trades off against cost: avoiding destruction requires procedures such as replay or targeted editing that cost more than an unconstrained cheap update. Three technologies do not trace out the function</w:t>
      </w:r>
      <w:r>
        <w:t xml:space="preserve"> </w:t>
      </w:r>
      <m:oMath>
        <m:r>
          <m:t>K</m:t>
        </m:r>
        <m:d>
          <m:dPr>
            <m:begChr m:val="("/>
            <m:sepChr m:val=""/>
            <m:endChr m:val=")"/>
            <m:grow/>
          </m:dPr>
          <m:e>
            <m:r>
              <m:t>F</m:t>
            </m:r>
          </m:e>
        </m:d>
      </m:oMath>
      <w:r>
        <w:t xml:space="preserve">, and we do not claim they do. Second, destroyed capability is exactly what a developer relying on it would experience as breakage. An application built on the static facts would have seen its error rise by 11 points after the low-rank update, with no change on its side. This is the mechanism behind the migration-cost multiplier</w:t>
      </w:r>
      <w:r>
        <w:t xml:space="preserve"> </w:t>
      </w:r>
      <m:oMath>
        <m:r>
          <m:t>φ</m:t>
        </m:r>
        <m:d>
          <m:dPr>
            <m:begChr m:val="("/>
            <m:sepChr m:val=""/>
            <m:endChr m:val=")"/>
            <m:grow/>
          </m:dPr>
          <m:e>
            <m:r>
              <m:t>F</m:t>
            </m:r>
          </m:e>
        </m:d>
      </m:oMath>
      <w:r>
        <w:t xml:space="preserve">.</w:t>
      </w:r>
    </w:p>
    <w:p>
      <w:pPr>
        <w:pStyle w:val="BodyText"/>
      </w:pPr>
      <w:r>
        <w:rPr>
          <w:bCs/>
          <w:b/>
        </w:rPr>
        <w:t xml:space="preserve">Scope.</w:t>
      </w:r>
      <w:r>
        <w:t xml:space="preserve"> </w:t>
      </w:r>
      <w:r>
        <w:t xml:space="preserve">These measurements come from a single random seed, a small model and a synthetic world, and should be read as a controlled illustration of the model’s primitives, not as evidence for the propositions and not as estimates for production systems. They do not test the propositions, and they do not measure developers’ migration costs</w:t>
      </w:r>
      <w:r>
        <w:t xml:space="preserve"> </w:t>
      </w:r>
      <m:oMath>
        <m:r>
          <m:t>σ</m:t>
        </m:r>
        <m:d>
          <m:dPr>
            <m:begChr m:val="("/>
            <m:sepChr m:val=""/>
            <m:endChr m:val=")"/>
            <m:grow/>
          </m:dPr>
          <m:e>
            <m:r>
              <m:t>θ</m:t>
            </m:r>
          </m:e>
        </m:d>
      </m:oMath>
      <w:r>
        <w:t xml:space="preserve"> </w:t>
      </w:r>
      <w:r>
        <w:t xml:space="preserve">directly. Measuring how applications of different integration depth break under each update technology is the natural next experiment. Synthetic data and code are available from the authors (withheld for review).</w:t>
      </w:r>
    </w:p>
    <w:bookmarkEnd w:id="61"/>
    <w:sectPr>
      <w:footerReference w:type="default" r:id="rId9"/>
      <w:pgSz w:h="15840" w:w="12240"/>
      <w:pgMar w:bottom="1440" w:left="1440" w:right="1440" w:top="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0" w:before="0" w:line="480" w:lineRule="auto"/>
      <w:ind w:firstLine="432"/>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240" w:line="240" w:lineRule="auto"/>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line="240" w:lineRule="auto"/>
      <w:ind w:hanging="720" w:left="720"/>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120" w:before="240" w:line="240" w:lineRule="auto"/>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120" w:before="240" w:line="240" w:lineRule="auto"/>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spacing w:after="120" w:before="240" w:line="240" w:lineRule="auto"/>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240" w:line="240" w:lineRule="auto"/>
    </w:pPr>
    <w:rPr>
      <w:rFonts w:ascii="Times New Roman" w:cs="Times New Roman" w:eastAsia="Times New Roman" w:hAnsi="Times New Roman"/>
      <w:b w:val="0"/>
      <w:i w:val="0"/>
      <w:color w:val="000000"/>
      <w:sz w:val="22"/>
    </w:rPr>
  </w:style>
  <w:style w:customStyle="1" w:styleId="TableCaption" w:type="paragraph">
    <w:name w:val="Table Caption"/>
    <w:basedOn w:val="Caption"/>
    <w:pPr>
      <w:keepNext/>
      <w:spacing w:after="120" w:before="240" w:line="240" w:lineRule="auto"/>
    </w:pPr>
    <w:rPr>
      <w:rFonts w:ascii="Times New Roman" w:cs="Times New Roman" w:eastAsia="Times New Roman" w:hAnsi="Times New Roman"/>
      <w:b w:val="0"/>
      <w:i w:val="0"/>
      <w:color w:val="000000"/>
      <w:sz w:val="22"/>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Updating AI Platforms: Freshness, Forgetting, and the Developer Externality</dc:title>
  <dc:creator/>
  <cp:keywords/>
  <dcterms:created xsi:type="dcterms:W3CDTF">2026-10-03T12:44:10Z</dcterms:created>
  <dcterms:modified xsi:type="dcterms:W3CDTF">2026-10-03T12:44:10Z</dcterms:modified>
</cp:coreProperties>
</file>

<file path=docProps/custom.xml><?xml version="1.0" encoding="utf-8"?>
<Properties xmlns="http://schemas.openxmlformats.org/officeDocument/2006/custom-properties" xmlns:vt="http://schemas.openxmlformats.org/officeDocument/2006/docPropsVTypes"/>
</file>