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Code, data pointers and analysis scripts: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Two simple heuristics, provisioning at the mean incident load and crediting each guardrail layer with its stand-alone effectiveness as if layers failed independently, are easy to apply but can be improved on. We describe the capacity requirement as a quantile of the daily count of human-handled incidents and replace a single Poisson description of all failures by typed classes: hallucinations as thinned, over-dispersed streams; provider incidents as seasonal, level-adjusted processes with at most weak self-excitation; serving failures as heavy-tailed episodes; and heavy-tailed human service. We show analytically that over-dispersion inflates required capacity, that positive association between layers makes the independence formula a lower bound on residual risk, and that, because capacity is integer-valued, cost is not unimodal in the number of layers. We evaluate the pipeline on the outputs of three small open LLMs that answered the same 300 SQuAD 2.0 questions (900 answers) through three executed guardrail layers with measured latency and failures; user arrivals are simulated and informed by public traces of an LLM service, of LLM providers' incidents and of company ticket systems, none of which is a hallucination log. A single task-specific verifier, adopted after an NLI classifier proved uninformative and evaluated on the same questions, reduced required capacity by 78-95% but blocked 15-71% of correct answers; a routed judge added a modest, model-dependent gain at about triple the latency. The share of hallucinations passing a two-layer cascade was 1.6-2.6 times the independence prediction without routing and 2.7-4.6 times with routing, with wide intervals. With mild burstiness (daily-rate CV 0.3-0.44) a Poisson-sized capacity plan was exceeded on 23-32% of days without guardrails and 7-16% with the best cascade, against a target of 5%; in public ticket streams the net-of-trend daily-rate CV was 0.25-0.41 and a causal Poisson plan was exceeded on about 10% of work days, whereas over-dispersion changed the 95% capacity by at most one or two units for low-rate streams (provider incidents, dated court cases). In an illustrative organisation, a typed superposition required 14-48% more daily capacity than a single Poisson on the total, with the gap driven by the assumed dispersion of the hallucination class and by how strongly over-dispersed the serving class is taken to be. Hallucination arrivals are simulated and, to our knowledge, no operator log of hallucinations is public; the models are small and the task is extractive question answering, so the numbers do not transfer to production, whereas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Two simple planning heuristics are easy to apply but can be improved on: provisioning triage capacity at the mean incident load, and crediting each additional guardrail layer with its stand-alone effectiveness as if layers failed independently. Provisioning at the mean leaves the system under-provisioned on roughly 30-50% of days in our measurements, and the independence product is, as we show, an optimistic bound.</w:t>
      </w:r>
    </w:p>
    <w:p>
      <w:pPr>
        <w:spacing w:after="120" w:line="300"/>
        <w:jc w:val="both"/>
      </w:pPr>
      <w:r>
        <w:rPr>
          <w:rFonts w:ascii="Times New Roman" w:cs="Times New Roman" w:eastAsia="Times New Roman" w:hAnsi="Times New Roman"/>
          <w:sz w:val="22"/>
          <w:szCs w:val="22"/>
        </w:rPr>
        <w:t xml:space="preserve">We make four contributions and are explicit about which parts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describe the capacity requirement for LLM incident handling as the quantile of the daily count of human-handled events (Section 3). The quantile rule and the over-dispersion correction are classical (Whitt, 2007; Cameron and Trivedi, 1998); our contribution is to apply them to this arrival stream, to derive how over-dispersion and thinning by guardrails enter the requirement (Propositions 2 and 3), and to check on public request, incident and ticket traces whether the counting-process assumptions hold on comparable real streams. None of these traces is a hallucination log, so hallucination arrivals themselves are assumed or simulated.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replace the single-Poisson description of "all failures" by a typed model (Section 3.6): hallucinations as thinned, over-dispersed streams; provider incidents as a seasonal Hawkes process; serving failures as heavy-tailed episodes; human triage with heavy-tailed service; with superposition and clustering results (Proposition 6) and public-data fits (Section 5.8).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cascade (Proposition 4). Dependence between guardrail layers has been measured on real defence stacks (Alotaibi et al., 2026) and the independence product is known to over-credit redundancy (Bhardwaj et al., 2026); we add a measurement on hallucination-grounding layers with uncertainty intervals and carry the correction through to the capacity decision. We also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with comparative statics in the labour-to-compute ratio (Proposition 5); this follows from the model structure and is a model property, not an empirical discovery. </w:t>
      </w:r>
      <w:r>
        <w:rPr>
          <w:rFonts w:ascii="Times New Roman" w:cs="Times New Roman" w:eastAsia="Times New Roman" w:hAnsi="Times New Roman"/>
          <w:b/>
          <w:bCs/>
          <w:sz w:val="22"/>
          <w:szCs w:val="22"/>
        </w:rPr>
        <w:t xml:space="preserve">Fourth</w:t>
      </w:r>
      <w:r>
        <w:rPr>
          <w:rFonts w:ascii="Times New Roman" w:cs="Times New Roman" w:eastAsia="Times New Roman" w:hAnsi="Times New Roman"/>
          <w:sz w:val="22"/>
          <w:szCs w:val="22"/>
        </w:rPr>
        <w:t xml:space="preserve">, we evaluate the pipeline on real model outputs: three small open models answering the same 300 SQuAD 2.0 questions, three guardrail layers executed with measured latency and error behaviour, and traffic replayed through a non-homogeneous arrival process whose daily-rate variability is informed by public traces. Per-query hallucination outcomes, guardrail decisions, layer dependence and latency are measured; arrival times are simulated. To our knowledge, no earlier study combines measured guardrail performance, an incident-count model with dispersion and clustering, and a quantile-based capacity decision in one framework evaluated on real system outputs and public production traces; each ingredient has precedents (Section 2).</w:t>
      </w:r>
    </w:p>
    <w:p>
      <w:pPr>
        <w:spacing w:after="120" w:line="300"/>
        <w:jc w:val="both"/>
      </w:pPr>
      <w:r>
        <w:rPr>
          <w:rFonts w:ascii="Times New Roman" w:cs="Times New Roman" w:eastAsia="Times New Roman" w:hAnsi="Times New Roman"/>
          <w:sz w:val="22"/>
          <w:szCs w:val="22"/>
        </w:rPr>
        <w:t xml:space="preserve">The paper follows the design-science tradition in IS (Hevner et al.,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et al., 2023). Mitigation work includes retrieval grounding (Lewis et al., 2020), sampling-based consistency checks (Manakul et al., 2023), safeguard classifiers (Inan et al., 2023) and LLM-as-judge verification (Zheng et al.,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et al., 2007). Empirical studies of call centres report that arrivals are well described by a Poisson process only conditional on a random, day-specific rate, i.e. they are over-dispersed (Brown et al.,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et al.,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Bhardwaj et al.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evaluate the integrated pipeline on measured outputs and public traces.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hallucination</w:t>
      </w:r>
      <w:r>
        <w:rPr>
          <w:rFonts w:ascii="Times New Roman" w:cs="Times New Roman" w:eastAsia="Times New Roman" w:hAnsi="Times New Roman"/>
          <w:sz w:val="22"/>
          <w:szCs w:val="22"/>
        </w:rPr>
        <w:t xml:space="preserve"> (a wrong or ungrounded answer) with probability p₀, and the guardrail cascade blocks some of them. We assume that every hallucination that passes all guardrails is detected and becomes exactly one human-handled event that consumes one unit of triage capacity, and call such an event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let q ≤ p₀ be the probability that a query yields one.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 The detection assumption is strong: if only a fraction d of the surviving hallucinations is ever noticed and triaged, the event rate is dλ and, by Proposition 3, the dispersion index is 1 + dλc²; the capacities we report are therefore upper bounds that hold for d = 1, and detection itself is a further failure point that the model does not cover.</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property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If φ stays bounded as λ grows, k∗_mixed(α) = λ + z_α√(λφ) + O(1). If instead the multiplier has a fixed CV c, then φ = 1 + λc² grows with λ and k∗_mixed(α) = λ·F_M⁻¹(α) + O(√λ), where F_M is the distribution of M; in that regime λ + z_α√(λφ) understates the exact quantile by an amount that grows linearly in λ, and √φ is a lower guide for the inflation of the safety stock k∗ - λ, not an exact factor (e.g. for Gamma M at λ = 120.7 and c = 0.3 the exact ratio of the safety stock to its Poisson value is 3.8 against √φ = 3.4; at c = 0.44 it is 5.5 against 4.9). The exact negative-binomial quantile (Table 1) should be used for planning.</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For bounded φ the count is asymptotically normal with variance λφ. For fixed c, X_d/λ → M in distribution as λ → ∞, so the 95% quantile of X_d is asymptotically λF_M⁻¹(α) and the normal approximation fails.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a constant probability p that does not depend on the request stream.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 Under independent thinning with constant p the multiplier M, and hence its CV c, is unchanged, so c (rather than φ) is the quantity that can be carried over between streams with different event rates; this transfer requires that p is constant and independent of M, which we assume but do not test for hallucinations.</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et al.,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The number of layers is an outcome of the model, not a constant.</w:t>
      </w:r>
      <w:r>
        <w:rPr>
          <w:rFonts w:ascii="Times New Roman" w:cs="Times New Roman" w:eastAsia="Times New Roman" w:hAnsi="Times New Roman"/>
          <w:sz w:val="22"/>
          <w:szCs w:val="22"/>
        </w:rPr>
        <w:t xml:space="preserve"> Table 3 uses an illustrative parameter set (λ₀ = 10 events/day, a clearance of 0.63 per layer under independence, $150 per capacity unit, $25 per layer). With k_min = 0 the cost falls from N = 3 to N = 4, rises at N = 5 and falls again at N = 6, where k∗ reaches zero (λ₆ = 0.026 &lt; -ln 0.95), so the minimum is at N = 6; with a realistic floor of one on-call engineer (k_min = 1) the minimum is at N = 4. A fixed number of layers (for instance three) is therefore not implied by the cost model: the optimum depends on the cost ratio, the clearance rates, the dependence between layers and the latency constraint.</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The cost parameters are illustrative assumptions.</w:t>
      </w:r>
    </w:p>
    <w:p>
      <w:pPr>
        <w:pStyle w:val="Heading2"/>
        <w:spacing w:after="100" w:before="200"/>
      </w:pPr>
      <w:r>
        <w:rPr>
          <w:rFonts w:ascii="Times New Roman" w:cs="Times New Roman" w:eastAsia="Times New Roman" w:hAnsi="Times New Roman"/>
          <w:b/>
          <w:bCs/>
          <w:i/>
          <w:iCs/>
          <w:sz w:val="23"/>
          <w:szCs w:val="23"/>
        </w:rPr>
        <w:t xml:space="preserve">3.6 Beyond a single Poisson: typed failure classes</w:t>
      </w:r>
    </w:p>
    <w:p>
      <w:pPr>
        <w:spacing w:after="120" w:line="300"/>
        <w:jc w:val="both"/>
      </w:pPr>
      <w:r>
        <w:rPr>
          <w:rFonts w:ascii="Times New Roman" w:cs="Times New Roman" w:eastAsia="Times New Roman" w:hAnsi="Times New Roman"/>
          <w:sz w:val="22"/>
          <w:szCs w:val="22"/>
        </w:rPr>
        <w:t xml:space="preserve">LLM operations produce several kinds of failures that violate the Poisson assumptions in different ways, so treating "all failures" as one Poisson stream is a modelling error rather than a simplification. We therefore model each class with the process that matches its mechanism and combine the classes only at the level of the human-handled event (an incident or ticket). Table 4 summarises the mapping, the assumption that fails and the evidence developed in Section 5.8.</w:t>
      </w:r>
    </w:p>
    <w:p>
      <w:pPr>
        <w:keepNext/>
        <w:spacing w:after="60" w:before="160"/>
      </w:pPr>
      <w:r>
        <w:rPr>
          <w:rFonts w:ascii="Times New Roman" w:cs="Times New Roman" w:eastAsia="Times New Roman" w:hAnsi="Times New Roman"/>
          <w:b/>
          <w:bCs/>
          <w:sz w:val="20"/>
          <w:szCs w:val="20"/>
        </w:rPr>
        <w:t xml:space="preserve">Table 4.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5.4, 5.6, 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possibly followed by further incidents within hours; weekday/hour seasonality and a drifting level</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(level-adjusted) Hawkes process,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 residual isolated errors (not modelled)</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counts of failed requests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w:t>
            </w:r>
          </w:p>
        </w:tc>
      </w:tr>
    </w:tbl>
    <w:p>
      <w:pPr>
        <w:spacing w:after="120"/>
      </w:pP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6 (superposition and clustering). </w:t>
      </w:r>
      <w:r>
        <w:rPr>
          <w:rFonts w:ascii="Times New Roman" w:cs="Times New Roman" w:eastAsia="Times New Roman" w:hAnsi="Times New Roman"/>
          <w:sz w:val="22"/>
          <w:szCs w:val="22"/>
        </w:rPr>
        <w:t xml:space="preserve">(a) If the daily counts of independent failure classes j have means λ_j and dispersion indices φ_j = Var/mean, the total daily count has mean Σλ_j and Var = Σλ_jφ_j, so the 95% capacity is approximately Σλ_j + z·√(Σλ_jφ_j). A single Poisson on the total uses φ = 1 and under-states the safety stock by the factor √φ_eff with φ_eff = Σλ_jφ_j / Σλ_j. The superposition of independent classes is Poisson only if every class is Poisson. (b) For a stationary Hawkes process with branching ratio α &lt; 1 (the expected number of direct follow-up events per event), the cluster started by a background event has a Borel size distribution with mean 1/(1 - α), the long-window Fano factor of counts is 1/(1 - α)², and the count variance in a window of fixed length approaches this value as the window grows relative to the excitation time scale 1/β. (c) For a compound Poisson count N = Σ_{i ≤ M} X_i with M ~ Poisson(ν), the Fano factor is E[X²]/E[X], which is unbounded when the mark distribution has an infinite second moment (e.g. a Pareto tail index below 2): the variance of the daily count, and with it the Poisson capacity error, is dominated by the largest episodes.</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Variances of independent counts add; the normal approximation of the quantile uses the total variance. (b) The Hawkes cluster is a Galton-Watson tree with Poisson(α) offspring; its total progeny is Borel(α) with mean 1/(1 - α) and second moment 1/(1 - α)³, hence E[X²]/E[X] = 1/(1 - α)², and the stationary count variance-to-mean ratio of a Hawkes process equals this value in the long-window limit. (c) is Wald's identity for the compound Poisson variance, Var(N) = νE[X²]. ∎ For provider incidents the fitted branching ratio is 0.11-0.22 with a constant level and 0.05-0.09 once a monthly level is allowed (Section 5.8), implying a long-window Fano factor of about 1.3-1.6 and 1.1-1.2 respectively, to be compared with stratified dispersion indices of 1.2-1.5 (Section 5.6); for serving-failure episodes α is 0.5-0.85 depending on the episode definition and the second-moment ratio E[X²]/E[X] of the episode sizes is in the thousands, so the Fano factor of failed-request counts is dominated by a few large episodes and a Poisson description of failed requests is inadequate by several orders of magnitude, also after conditioning on traffic volume.</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et al., 2018), which combines answerable questions with questions that the supplied passage cannot answer. One random sample of 300 questions (seed 0; 148 unanswerable) is drawn once and given to all three models, so the three runs are paired on the same questions and are not independent samples.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et al.,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deterministic, classifier and semantic-judge architecture of the production literature,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 (extractive-QA verifier).</w:t>
      </w:r>
      <w:r>
        <w:rPr>
          <w:rFonts w:ascii="Times New Roman" w:cs="Times New Roman" w:eastAsia="Times New Roman" w:hAnsi="Times New Roman"/>
          <w:sz w:val="22"/>
          <w:szCs w:val="22"/>
        </w:rPr>
        <w:t xml:space="preserve"> A SQuAD 2.0-trained extractive-QA model (deepset/roberta-base-squad2) answers the question from the evidence passage; the score is the token-F1 between its span and the generator's answer (0 if it predicts "no answer"), and the output is blocked if the score is below 0.5 (a threshold we did not tune). The first implementation of L2 was an NLI cross-encoder (DeBERTa-v3-small; He et al., 2021) scoring P(passage entails "the answer to Q is A"); it was uninformative and was replaced after we had seen the results (Section 5.1). Llama Guard-type classifiers target safety-policy violations rather than factual grounding and were therefore not used.</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in every run) given the passage, question and answer, replying SUPPORTED or UNSUPPORTED (Zheng et al., 2023). It is invoked only when routed: when L2 is present, only if the L2 score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and c = 0.44 as scenario values. They lie in or near the range of 0.25-0.41 estimated net of trend from public human-handled ticket streams (Section 5.7); 0.44 is also the smallest coefficient of variation of any 14-day window of BurstGPT (Section 5.6), whose variability over the whole trace is much larger, so it is a floor for that trace and not a net-of-trend estimate comparable to the ticket values. Each arriving query replays a uniformly drawn example from the measured pool; it becomes a critical event (a hallucination that survives the cascade and is detected, Section 3.1)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Cascade selection and cost model</w:t>
      </w:r>
    </w:p>
    <w:p>
      <w:pPr>
        <w:spacing w:after="120" w:line="300"/>
        <w:jc w:val="both"/>
      </w:pPr>
      <w:r>
        <w:rPr>
          <w:rFonts w:ascii="Times New Roman" w:cs="Times New Roman" w:eastAsia="Times New Roman" w:hAnsi="Times New Roman"/>
          <w:sz w:val="22"/>
          <w:szCs w:val="22"/>
        </w:rPr>
        <w:t xml:space="preserve">The replay evaluates the cascades L1, L2, L3 and their combinations in the canonical order L1, L2, L3 (all subsets, including no guardrail). </w:t>
      </w:r>
      <w:r>
        <w:rPr>
          <w:rFonts w:ascii="Times New Roman" w:cs="Times New Roman" w:eastAsia="Times New Roman" w:hAnsi="Times New Roman"/>
          <w:b/>
          <w:bCs/>
          <w:sz w:val="22"/>
          <w:szCs w:val="22"/>
        </w:rPr>
        <w:t xml:space="preserve">Selection objective.</w:t>
      </w:r>
      <w:r>
        <w:rPr>
          <w:rFonts w:ascii="Times New Roman" w:cs="Times New Roman" w:eastAsia="Times New Roman" w:hAnsi="Times New Roman"/>
          <w:sz w:val="22"/>
          <w:szCs w:val="22"/>
        </w:rPr>
        <w:t xml:space="preserve"> The </w:t>
      </w:r>
      <w:r>
        <w:rPr>
          <w:rFonts w:ascii="Times New Roman" w:cs="Times New Roman" w:eastAsia="Times New Roman" w:hAnsi="Times New Roman"/>
          <w:i/>
          <w:iCs/>
          <w:sz w:val="22"/>
          <w:szCs w:val="22"/>
        </w:rPr>
        <w:t xml:space="preserve">best cascade</w:t>
      </w:r>
      <w:r>
        <w:rPr>
          <w:rFonts w:ascii="Times New Roman" w:cs="Times New Roman" w:eastAsia="Times New Roman" w:hAnsi="Times New Roman"/>
          <w:sz w:val="22"/>
          <w:szCs w:val="22"/>
        </w:rPr>
        <w:t xml:space="preserve"> is the one that minimises k∗ + 0.02·(mean added latency in ms) + (system failures per day) among cascades whose mean added latency is within the stated budget (100 ms, or 500 ms where indicated). The weights (1, 0.02 per ms, 1 per daily system failure) are arbitrary and are not tuned; they are used to produce one ranking for Sections 5.4 and 5.8 (L1+L2 under the 500 ms budget for all three generators). </w:t>
      </w:r>
      <w:r>
        <w:rPr>
          <w:rFonts w:ascii="Times New Roman" w:cs="Times New Roman" w:eastAsia="Times New Roman" w:hAnsi="Times New Roman"/>
          <w:b/>
          <w:bCs/>
          <w:sz w:val="22"/>
          <w:szCs w:val="22"/>
        </w:rPr>
        <w:t xml:space="preserve">Cost model.</w:t>
      </w:r>
      <w:r>
        <w:rPr>
          <w:rFonts w:ascii="Times New Roman" w:cs="Times New Roman" w:eastAsia="Times New Roman" w:hAnsi="Times New Roman"/>
          <w:sz w:val="22"/>
          <w:szCs w:val="22"/>
        </w:rPr>
        <w:t xml:space="preserve"> Daily cost is C_h·max(k_min, k∗) + compute + false-block cost + residual-harm cost, with C_h = $150 per capacity unit, compute $0.0001 per classifier call and $0.002 per judge call, false-block cost $1 per wrongly blocked answer and residual-harm cost $100 per hallucination reaching a user (illustrative scenario values, not estimates). The </w:t>
      </w:r>
      <w:r>
        <w:rPr>
          <w:rFonts w:ascii="Times New Roman" w:cs="Times New Roman" w:eastAsia="Times New Roman" w:hAnsi="Times New Roman"/>
          <w:i/>
          <w:iCs/>
          <w:sz w:val="22"/>
          <w:szCs w:val="22"/>
        </w:rPr>
        <w:t xml:space="preserve">minimum-dollar cascade</w:t>
      </w:r>
      <w:r>
        <w:rPr>
          <w:rFonts w:ascii="Times New Roman" w:cs="Times New Roman" w:eastAsia="Times New Roman" w:hAnsi="Times New Roman"/>
          <w:sz w:val="22"/>
          <w:szCs w:val="22"/>
        </w:rPr>
        <w:t xml:space="preserve"> of Section 5.5 minimises this cost; it can differ from the best cascade because it ignores latency and system failures. A sensitivity grid varies daily traffic (50, 200 and 800 queries), the false-block cost ($0, $1, $10) and the residual-harm cost ($0, $100, $1,000), i.e. 27 scenarios per generator. Uncertainty from the finite evaluation pool is quantified by pool-bootstrap intervals (resampling examples), including paired intervals for the cost differences between cascades.</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et al.,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et al.,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 For </w:t>
      </w:r>
      <w:r>
        <w:rPr>
          <w:rFonts w:ascii="Times New Roman" w:cs="Times New Roman" w:eastAsia="Times New Roman" w:hAnsi="Times New Roman"/>
          <w:b/>
          <w:bCs/>
          <w:sz w:val="22"/>
          <w:szCs w:val="22"/>
        </w:rPr>
        <w:t xml:space="preserve">human triage workloads</w:t>
      </w:r>
      <w:r>
        <w:rPr>
          <w:rFonts w:ascii="Times New Roman" w:cs="Times New Roman" w:eastAsia="Times New Roman" w:hAnsi="Times New Roman"/>
          <w:sz w:val="22"/>
          <w:szCs w:val="22"/>
        </w:rPr>
        <w:t xml:space="preserve"> we use three public company ticket datasets: customer tickets of an international software company (Abdellatif, 2026; 22,016 customer tickets from 2017 to March 2023, with creation, resolution and in-progress times), the audit log of a ServiceNow instance of an IT company (Amaral et al., 2018; 24,918 incidents in 2016-2017) and the help-desk log of an Italian software company (Verenich, 2016; 3,804 cases, 2010-2012). Filters: for the software company we keep tickets of type "Ticket", created in 2017 or later and resolved as "Done" (22,016 of 66,691 rows; 45,275 are of type Ticket, 23,871 of them created from 2017 on); the work week is detected from the data as the five busiest days of the week (Sunday-Thursday for this company, Monday-Friday for the others). The ServiceNow log has 98.9% of its incidents opened between 29 February and 1 June 2016, so its arrival analysis uses only the stationary middle weeks (7 March to 27 May 2016) and its concurrency is not analysed. For each stream we estimate weekday-stratified over-dispersion, the daily rate CV net of slow trends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versus arrivals), and the number of concurrently open tickets against the M/G/∞ Poisson prediction. For </w:t>
      </w:r>
      <w:r>
        <w:rPr>
          <w:rFonts w:ascii="Times New Roman" w:cs="Times New Roman" w:eastAsia="Times New Roman" w:hAnsi="Times New Roman"/>
          <w:b/>
          <w:bCs/>
          <w:sz w:val="22"/>
          <w:szCs w:val="22"/>
        </w:rPr>
        <w:t xml:space="preserve">dated hallucination incidents</w:t>
      </w:r>
      <w:r>
        <w:rPr>
          <w:rFonts w:ascii="Times New Roman" w:cs="Times New Roman" w:eastAsia="Times New Roman" w:hAnsi="Times New Roman"/>
          <w:sz w:val="22"/>
          <w:szCs w:val="22"/>
        </w:rPr>
        <w:t xml:space="preserve"> we analyse the Charlotin database of court decisions with AI-fabricated content (Charlotin, 2026): the decision date at day resolution for October 2025 to August 2026, work-day counts with the same stratified and local-mean analysis as for tickets. The Poisson plan is evaluated twice: against a two-sided local mean (in-sample, not a feasible forecast) and causally, with the trailing 20-workday mean and a coefficient of variation estimated on earlier days only (rolling origin).</w:t>
      </w:r>
    </w:p>
    <w:p>
      <w:pPr>
        <w:spacing w:after="120" w:line="300"/>
        <w:jc w:val="both"/>
      </w:pPr>
      <w:r>
        <w:rPr>
          <w:rFonts w:ascii="Times New Roman" w:cs="Times New Roman" w:eastAsia="Times New Roman" w:hAnsi="Times New Roman"/>
          <w:b/>
          <w:bCs/>
          <w:sz w:val="22"/>
          <w:szCs w:val="22"/>
        </w:rPr>
        <w:t xml:space="preserve">Typed failure models.</w:t>
      </w:r>
      <w:r>
        <w:rPr>
          <w:rFonts w:ascii="Times New Roman" w:cs="Times New Roman" w:eastAsia="Times New Roman" w:hAnsi="Times New Roman"/>
          <w:sz w:val="22"/>
          <w:szCs w:val="22"/>
        </w:rPr>
        <w:t xml:space="preserve"> For the provider incidents we fit, by maximum likelihood, a seasonal Hawkes process with an exponential kernel, λ(t) = μ₀ s(t) + Σ αβe^{-β(t - t_i)}, where s(t) is a weekday/weekend × hour-of-day profile estimated from the data and held fixed, and compare it with the seasonal NHPP (α = 0) by AIC, by a parametric-bootstrap likelihood-ratio test (200 simulations under the NHPP; the boundary α = 0 invalidates the usual χ² reference), and by the time-rescaling test using the fitted compensator. The estimator was checked by simulation (recovery of μ₀, α, β from synthetic seasonal Hawkes data, and no false excitation when α = 0). For BurstGPT failures we detect outage-like episodes (minutes with more than 20% failed requests and at least five failures, merged when at most ten minutes apart), characterise episode duration, size (lognormal fit, Hill tail index) and arrival process (daily dispersion, seasonal Hawkes fit), and test five alternative episode definitions. Finally, we combine class-specific negative-binomial daily counts (means and dispersion indices taken from the estimates above, classes independent; 400,000 simulated days, seed 0) by Monte Carlo to compare the 95% capacity of the typed superposition with a single Poisson on the total (Section 5.8); the hallucination class uses the measured rate of the L1+L2 cascade for Qwen2.5-0.5B and an assumed daily-rate CV in 0.3-0.45, the provider class the rate and stratified dispersion index of Section 5.6, and the serving class the episode rate over the 231 recorded days with the daily dispersion index under three treatments (two episode definitions and a volume-conditional value). All simulations and bootstrap draws are seeded and reproducible with the scripts of the repository.</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the same 300 SQuAD 2.0 questions given to each model (148 of them unanswerable), the hallucination rate is 60.3% (Qwen2.5-0.5B), 65.0% (SmolLM2-360M) and 47.0% (Qwen2.5-1.5B); 75-90% of the hallucinations are answers to unanswerable questions. Table 5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 The judge is Qwen2.5-1.5B-Instruct in every run, so the Qwen2.5-1.5B arm is judged by itself; we did not test for a self-judging effect.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an NLI cross-encoder.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a capacity reduction by itself does not distinguish a useful layer from a layer that blocks indiscriminately, which is why false-block rates are reported next to it. We replaced the NLI layer by an extractive-QA verifier (a SQuAD 2.0-trained RoBERTa model whose own answer span is compared with the generator's answer by token-F1; AUC 0.84-0.90) and re-ran all layers on the stored answers. This replacement was made after seeing the results and the verifier is evaluated on the same 300 questions; it is effectively a second solver of the task it verifies and it was trained on SQuAD, which flatters it relative to a generic classifier. All numbers below use it.</w:t>
      </w:r>
    </w:p>
    <w:p>
      <w:pPr>
        <w:keepNext/>
        <w:spacing w:after="60" w:before="160"/>
      </w:pPr>
      <w:r>
        <w:rPr>
          <w:rFonts w:ascii="Times New Roman" w:cs="Times New Roman" w:eastAsia="Times New Roman" w:hAnsi="Times New Roman"/>
          <w:b/>
          <w:bCs/>
          <w:sz w:val="20"/>
          <w:szCs w:val="20"/>
        </w:rPr>
        <w:t xml:space="preserve">Table 5. Guardrail layers on the same 300 SQuAD 2.0 questions for each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70.9%</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(denominators 119, 103 and 136).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associated (φ = 0.24, 0.17, 0.15 for the three generators; 95% bootstrap intervals [0.05, 0.43], [0.03, 0.28], [-0.03, 0.34]; chi-square p = 0.001, 0.017, 0.066), in the direction of Proposition 4; the interval of the Qwen2.5-1.5B arm includes zero, and since the three runs use the same questions they are not independent replications. L1 catches only 1-10 hallucinations per generator, so the L1 pairs (φ ≤ 0.09) are uninformative. The consequence for the residual rate is sizeable (Figure 1, left). For the L2+L3 cascade, the share of hallucinations that pass all layers is 1.1-3.9% under the independence formula (computed from the same sample's marginals), but 2.6-6.4% when both layers are run on every answer, i.e. 2.6, 2.3, 1.6 times higher (8, 5, 9 hallucinations pass; 95% pool-bootstrap intervals [1.3, 4.1], [1.3, 3.2], [0.9, 2.5]; for Qwen2.5-1.5B the excess is not distinguishable from 1). With dynamic routing of only low-agreement answers to the judge the ratios are 4.6, 2.7, 4.0 ([3.2, 7.0], [2.3, 3.4], [2.9, 5.9]), a consistently large excess. The absolute numbers of passing answers are small (8, 5, 9 without and 14, 6, 22 with routing), so the point estimates are imprecise and the independence-based ranking should not be taken as exact.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1. Left: share of hallucinations passing the L2+L3 cascade under independence, observed without routing, and observed with routing. Right: capacity k* by cascade (95% bootstrap CI over the evaluated pool); log scale." descr="Figure 1. Left: share of hallucinations passing the L2+L3 cascade under independence, observed without routing, and observed with routing. Right: capacity k* by cascade (95% bootstrap CI over the evaluated pool); log scale." title="Figure 1.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2; Proposition 2). Under the best cascade by the objective of Section 4.4 (L1+L2, λ ≈ 4-17/day) the effect is smaller in absolute capacity but the observed exceedance of the Poisson plan is still 10-11% (Table 6).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2. Daily critical hallucinations without guardrails (Qwen2.5-0.5B, 90 days, 200 queries/day). Left: steady NHPP traffic; right: bursty traffic. Dotted line: Poisson k* (α = 0.95)." descr="Figure 2. Daily critical hallucinations without guardrails (Qwen2.5-0.5B, 90 days, 200 queries/day). Left: steady NHPP traffic; right: bursty traffic. Dotted line: Poisson k* (α = 0.95)." title="Figure 2.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Data-informed scenario.</w:t>
      </w:r>
      <w:r>
        <w:rPr>
          <w:rFonts w:ascii="Times New Roman" w:cs="Times New Roman" w:eastAsia="Times New Roman" w:hAnsi="Times New Roman"/>
          <w:sz w:val="22"/>
          <w:szCs w:val="22"/>
        </w:rPr>
        <w:t xml:space="preserve"> The smallest coefficient of variation of any 14-day window of the BurstGPT trace is c = 0.44 (a floor for that trace, whose median window CV is 0.91; Section 5.6), and the daily-rate CV net of trend in public human-handled ticket streams is 0.25-0.41 (Section 5.7); c = 0.3 and c = 0.44 are scenario values in or near this range.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best cascade by the objective of Section 4.4 within the 500 ms budget; it is not the minimum-dollar cascade of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follows Proposition 2 (for given c, φ = 1 + λc² is smaller when the event rate λ is smaller, and the Fano factor of the request stream is diluted by thinning, Proposition 3): over-dispersion inflates the safety stock less in absolute terms (about 5, 1, 8 extra units) although the exceedance probability stays two to three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7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7.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task-specific verifier (L2)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a 100 ms budget only L1 and L2 (L2 takes about 90-100 ms here) are feasible and no judge layer fits; under 500 ms the routed judge fits on average but not at the 95th percentile (1.8-1.9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Selection and cost.</w:t>
      </w:r>
      <w:r>
        <w:rPr>
          <w:rFonts w:ascii="Times New Roman" w:cs="Times New Roman" w:eastAsia="Times New Roman" w:hAnsi="Times New Roman"/>
          <w:sz w:val="22"/>
          <w:szCs w:val="22"/>
        </w:rPr>
        <w:t xml:space="preserve"> The best cascade by the objective of Section 4.4 is L1+L2 for all three generators. At the scenario costs (C_h = $150 per capacity unit, $1 per falsely blocked answer, $100 per hallucination reaching a user; illustrative values) the minimum-dollar cascade is different for two of them: L1+L2+L3 for Qwen2.5-0.5B, L1+L2 for SmolLM2-360M, L1+L2+L3 for Qwen2.5-1.5B, because the judge lowers k∗ (19 to 15, 8 to 8, 24 to 21 for the three generators). The daily cost falls from $32,917, $35,350, $25,900 without guardrails to $3,201, $1,649, $4,639 at the minimum. Paired pool-bootstrap intervals for the daily saving from adding the routed judge to L1+L2 are $929 [274, 1,861]; $-2 [-5, -0]; $709 [130, 1,575] for the three generators, so the judge pays for itself for the two Qwen generators at these costs, through a reduction of k∗ by only 4 and 3 units, but not for SmolLM2-360M, whose classifier leaves only 6 of the 300 hallucinations for the judge to catch (none were caught). The generator dependence is therefore a statement about these three runs on the same questions, with small numbers of residual hallucinations (19, 6, 26), not a general finding; the 27-scenario grid of Section 4.4 varies cost parameters and does not reflect sampling error, so the ranking being stable across it does not make the choice robust.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counts are more variable than Poisson: the variance-to-mean ratio of counts per bin (Poisson = 1; median over hours with a mean of at least one request per bin, 919, 2477, 3984 and 4999 hours at the four scales) is 1.4 at 1 s, 5.3 at 10 s, 3.9 at 1 min and 5.1 at 10 min, i.e. requests are clustered at every scale from 1 s upward (mildly at 1 s, strongly from 10 s). By Proposition 3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and the robust log-standard deviation around a 15-day rolling median is 0.80. Net of the local level (day count over the mean of the 14 neighbouring days) the coefficient of variation is 1.13 in days 0-120 and 3.65 in days 225-334. The smallest coefficient of variation of any of the 163 14-day windows with all days above 1,000 requests is 0.44 (mean 140k requests/day; the median window has 0.91), so 0.44 is a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for the variability of this trace and not an estimate comparable to the net-of-trend values of Section 5.7. The variability reflects traffic growth, campaigns, regime shifts and possibly logging gaps and not only random fluctuation (the series also contains 7 near-duplicate day pairs, which we treat as a data artefact), so we use it as a stress test, not as an estimate of the dispersion of hallucination counts. As a stress test we replay the measured multipliers (rescaled to mean 1 so that λ is the true mean rate) on an event stream with mean λ = 10 and 120 events/day: the Poisson plan (15 and 138 units) is exceeded on 23% and 31% of days with the multipliers of days 0-120 (CV 1.2) and on 16% and 23% with those of days 225-334 (CV 2.8, inflated by regime shifts), against a target of 5%, and the empirical 95% quantiles of the replayed counts are 30, 332, 29, 334 units (λ = 10 and 120 in each period) instead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Part of this over-dispersion may come from a changing incident rate over the 18 months, which a weekday-stratified test does not remove (Section 5.8 adjusts the baseline for it).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remains modest (about 1.2-1.5 here, from the stratified indices)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The time-averaged number of concurrently open incidents is 0.11, which equals the M/G/∞ mean by Little's law and therefore is not a test; the more informative comparison is that the 95th percentile of the open count is 1, as for a Poisson occupancy with that mean (1), and that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spacing w:after="120" w:line="300"/>
        <w:jc w:val="both"/>
      </w:pPr>
      <w:r>
        <w:rPr>
          <w:rFonts w:ascii="Times New Roman" w:cs="Times New Roman" w:eastAsia="Times New Roman" w:hAnsi="Times New Roman"/>
          <w:b/>
          <w:bCs/>
          <w:sz w:val="22"/>
          <w:szCs w:val="22"/>
        </w:rPr>
        <w:t xml:space="preserve">Dated hallucination cases (court decisions).</w:t>
      </w:r>
      <w:r>
        <w:rPr>
          <w:rFonts w:ascii="Times New Roman" w:cs="Times New Roman" w:eastAsia="Times New Roman" w:hAnsi="Times New Roman"/>
          <w:sz w:val="22"/>
          <w:szCs w:val="22"/>
        </w:rPr>
        <w:t xml:space="preserve"> The only public, dated log of hallucination incidents we found is a curated database of court decisions in which a party relied on AI-fabricated content (Charlotin; 2,149 dated cases, 2023-04-14 to 2026-10-01). It is legal-domain only, the date is the decision date at day resolution, and detection and reporting bias is strong: counts grew from a handful per month to over a hundred in 2025, so only the flatter period from October 2025 to August 2026 (1,527 cases, 6.3 per weekday, weekend rate 0.04 of the weekday rate; the latest, incomplete month is excluded) is analysed. In that period the weekday counts are over-dispersed relative to Poisson (day-of-week-stratified index 1.40, p = 1×10⁻4; daily-rate CV net of trend 0.24), but at this rate the effect on capacity is small: a Poisson plan against the local mean is exceeded on 6.3% of weekdays (5.6% with a causal trailing-mean plan) and a negative-binomial plan on 4.2%. This is consistent with Proposition 2 and with the other low-rate streams, and it is, to our knowledge, the only dispersion estimate for dated hallucination incidents that public data allow, with the caveats above.</w:t>
      </w:r>
    </w:p>
    <w:p>
      <w:pPr>
        <w:pStyle w:val="Heading2"/>
        <w:spacing w:after="100" w:before="200"/>
      </w:pPr>
      <w:r>
        <w:rPr>
          <w:rFonts w:ascii="Times New Roman" w:cs="Times New Roman" w:eastAsia="Times New Roman" w:hAnsi="Times New Roman"/>
          <w:b/>
          <w:bCs/>
          <w:i/>
          <w:iCs/>
          <w:sz w:val="23"/>
          <w:szCs w:val="23"/>
        </w:rPr>
        <w:t xml:space="preserve">5.7 Human triage workloads in public company ticket data</w:t>
      </w:r>
    </w:p>
    <w:p>
      <w:pPr>
        <w:spacing w:after="120" w:line="300"/>
        <w:jc w:val="both"/>
      </w:pPr>
      <w:r>
        <w:rPr>
          <w:rFonts w:ascii="Times New Roman" w:cs="Times New Roman" w:eastAsia="Times New Roman" w:hAnsi="Times New Roman"/>
          <w:sz w:val="22"/>
          <w:szCs w:val="22"/>
        </w:rPr>
        <w:t xml:space="preserve">The third family of public data concerns what happens after an incident is detected: how tickets arrive at, and are worked by, human teams in real organisations. The streams are customer-support and IT-incident tickets, not LLM incidents, but they are the best available public evidence on the arrival variability and the service-time distribution of human triage. The ServiceNow log is only useful for arrivals in its stationary middle weeks (98.9% of its incidents are opened between 29 February and 1 June 2016), so that stream is a 12-week segment.</w:t>
      </w:r>
    </w:p>
    <w:p>
      <w:pPr>
        <w:keepNext/>
        <w:spacing w:after="60" w:before="160"/>
      </w:pPr>
      <w:r>
        <w:rPr>
          <w:rFonts w:ascii="Times New Roman" w:cs="Times New Roman" w:eastAsia="Times New Roman" w:hAnsi="Times New Roman"/>
          <w:b/>
          <w:bCs/>
          <w:sz w:val="20"/>
          <w:szCs w:val="20"/>
        </w:rPr>
        <w:t xml:space="preserve">Table 8. Arrival structure of human-handled ticket streams (work days only; Poisson plan = 95% quantile of Poisson with the local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250"/>
        <w:gridCol w:w="950"/>
        <w:gridCol w:w="1050"/>
        <w:gridCol w:w="910"/>
      </w:tblGrid>
      <w:tr>
        <w:trPr>
          <w:tblHeader/>
        </w:trPr>
        <w:tc>
          <w:tcPr>
            <w:tcW w:type="dxa" w:w="1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(per work day)</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Work-day-stratified dispersion index</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in-sample local mean</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in-sample</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causal</w:t>
            </w:r>
          </w:p>
        </w:tc>
        <w:tc>
          <w:tcPr>
            <w:tcW w:type="dxa" w:w="9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causal</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(13.1)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(12-week segment, 2016)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22,035 (350.2)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 (20 days)</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high-priority subset</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5,257 (3.5)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r>
    </w:tbl>
    <w:p>
      <w:pPr>
        <w:spacing w:after="160" w:before="40"/>
      </w:pPr>
      <w:r>
        <w:rPr>
          <w:rFonts w:ascii="Times New Roman" w:cs="Times New Roman" w:eastAsia="Times New Roman" w:hAnsi="Times New Roman"/>
          <w:i/>
          <w:iCs/>
          <w:sz w:val="18"/>
          <w:szCs w:val="18"/>
        </w:rPr>
        <w:t xml:space="preserve">Target exceedance is 5%. In-sample: the local mean is a two-sided leave-one-out mean of about 8 surrounding work days after removing the weekday effect, and c is estimated from the same days that are scored, so neither is a feasible forecast. Causal: trailing 20-work-day mean, c estimated on earlier days only, rolling origin. The software company works Sunday to Thursday (weekend = Friday and Saturday); the other work weeks are Monday to Friday.</w:t>
      </w:r>
    </w:p>
    <w:p>
      <w:pPr>
        <w:spacing w:after="120" w:line="300"/>
        <w:jc w:val="both"/>
      </w:pPr>
      <w:r>
        <w:rPr>
          <w:rFonts w:ascii="Times New Roman" w:cs="Times New Roman" w:eastAsia="Times New Roman" w:hAnsi="Times New Roman"/>
          <w:b/>
          <w:bCs/>
          <w:sz w:val="22"/>
          <w:szCs w:val="22"/>
        </w:rPr>
        <w:t xml:space="preserve">Arrivals.</w:t>
      </w:r>
      <w:r>
        <w:rPr>
          <w:rFonts w:ascii="Times New Roman" w:cs="Times New Roman" w:eastAsia="Times New Roman" w:hAnsi="Times New Roman"/>
          <w:sz w:val="22"/>
          <w:szCs w:val="22"/>
        </w:rPr>
        <w:t xml:space="preserve"> All streams are strongly non-homogeneous over the week and the day (hour-of-week homogeneity rejected, p &lt; 10⁻¹⁰⁰; weekend ticket rates are 0.09, 0.12 and 0.04 of work-day rates), and arrivals are far from Poisson even after time-rescaling (p &lt; 10⁻⁹⁰ for the two long streams), because daily volumes vary beyond the weekly cycle. Net of slow trends and the weekday effect, the coefficient of variation of the daily rate is 0.32 (software company), 0.41 (Italian help desk) and 0.25 (ServiceNow segment), and 0.33 for the high-priority subset of the software company (3.5 tickets per work day); the dated hallucination cases of Section 5.6 give 0.24. These values are of similar size and close to the scenarios used in Section 5.4 (c = 0.3 and 0.44), which supports c of about 0.25-0.45 as a plausible range for human-handled incident streams, although all of them come from non-LLM or legal-domain streams. Because φ = 1 + λc², the effect on capacity depends on the rate: against the in-sample local mean, a Poisson-sized plan is exceeded on 9.0%, 7.5% and 35.0% of work days (about 13, 5 and 350 tickets per day) instead of 5%, and 4.9% for the high-priority subset at 3.5 per day. A causal plan (trailing mean and previous-days c, which is what an operator could actually use) is exceeded on 9.6% and 9.7% of days for the two long streams with the Poisson quantile and 1.9% and 2.9% with a negative-binomial quantile (conservative, because c is estimated on trend-contaminated early days). The negative-binomial results in the in-sample columns are a calibration check of Proposition 2 rather than an out-of-sample test, since c is estimated from the same days that are scored; the causal columns are the feasible comparison.</w:t>
      </w:r>
    </w:p>
    <w:p>
      <w:pPr>
        <w:keepNext/>
        <w:spacing w:after="60" w:before="160"/>
      </w:pPr>
      <w:r>
        <w:rPr>
          <w:rFonts w:ascii="Times New Roman" w:cs="Times New Roman" w:eastAsia="Times New Roman" w:hAnsi="Times New Roman"/>
          <w:b/>
          <w:bCs/>
          <w:sz w:val="20"/>
          <w:szCs w:val="20"/>
        </w:rPr>
        <w:t xml:space="preserve">Table 9.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160" w:before="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spacing w:after="120" w:line="300"/>
        <w:jc w:val="both"/>
      </w:pPr>
      <w:r>
        <w:rPr>
          <w:rFonts w:ascii="Times New Roman" w:cs="Times New Roman" w:eastAsia="Times New Roman" w:hAnsi="Times New Roman"/>
          <w:b/>
          <w:bCs/>
          <w:sz w:val="22"/>
          <w:szCs w:val="22"/>
        </w:rPr>
        <w:t xml:space="preserve">Service times.</w:t>
      </w:r>
      <w:r>
        <w:rPr>
          <w:rFonts w:ascii="Times New Roman" w:cs="Times New Roman" w:eastAsia="Times New Roman" w:hAnsi="Times New Roman"/>
          <w:sz w:val="22"/>
          <w:szCs w:val="22"/>
        </w:rPr>
        <w:t xml:space="preserve"> Resolution times are heavy-tailed and far from exponential: median 168 h against a mean of 699 h for the software company, 22 h against 178 h for ServiceNow and 94 h against 211 h for the Italian help desk, with coefficients of variation of 3.0, 3.0 and 1.3 (an exponential has 1) and Weibull shapes of 0.36-0.51, i.e. a decreasing hazard: a ticket that has stayed open for long is likely to stay open much longer. The same holds for the time a ticket spends in the "in progress" state (median 2.2 h, mean 97 h, CV 3.6). The Critical/High incidents of ServiceNow take longer (median 50 h) and are also heavy-tailed. Two consequences for capacity planning follow. First, models that assume exponential service (M/M/c) are not supported, which is a further reason to size capacity from the quantile of the arrival-count distribution and to treat the service-time tail explicitly rather than through a mean-based utilisation. Second, in the one stream with handling-time data (the software company; workload = the in-progress hours of the tickets created that day, attributed to the creation day, work days only) the 95th percentile of the daily workload is 3.4 times its mean, against 2.0 for the daily ticket count (CVs 1.35 and 0.58); capacity measured in handling hours thus needs a larger multiple of the mean than capacity measured in arrivals, and the "unit of triage capacity" of Section 3.2 must be defined for a typical ticket with the workload tail added separately. The in-progress time is calendar time in a workflow state, not effort, and the comparison is not detrended, so the ratio is indicative only.</w:t>
      </w:r>
    </w:p>
    <w:p>
      <w:pPr>
        <w:spacing w:after="120" w:line="300"/>
        <w:jc w:val="both"/>
      </w:pPr>
      <w:r>
        <w:rPr>
          <w:rFonts w:ascii="Times New Roman" w:cs="Times New Roman" w:eastAsia="Times New Roman" w:hAnsi="Times New Roman"/>
          <w:b/>
          <w:bCs/>
          <w:sz w:val="22"/>
          <w:szCs w:val="22"/>
        </w:rPr>
        <w:t xml:space="preserve">Concurrency.</w:t>
      </w:r>
      <w:r>
        <w:rPr>
          <w:rFonts w:ascii="Times New Roman" w:cs="Times New Roman" w:eastAsia="Times New Roman" w:hAnsi="Times New Roman"/>
          <w:sz w:val="22"/>
          <w:szCs w:val="22"/>
        </w:rPr>
        <w:t xml:space="preserve"> For the two steady streams the time-average number of open tickets is 290 (software company) and 34 (Italian help desk), with variance-to-mean ratios of 21 and 2.6 (Poisson occupancy has 1). The observed 95th percentile of open tickets is 384 and 51, against Poisson (M/G/∞) predictions with the same mean of 319 and 44: a Poisson-based backlog capacity is too small by 20% and 16%. The first and last 5% of time were removed to limit edge effects, and the ServiceNow log is not used here because it starts and stops abruptly.</w:t>
      </w:r>
    </w:p>
    <w:p>
      <w:pPr>
        <w:pStyle w:val="Heading2"/>
        <w:spacing w:after="100" w:before="200"/>
      </w:pPr>
      <w:r>
        <w:rPr>
          <w:rFonts w:ascii="Times New Roman" w:cs="Times New Roman" w:eastAsia="Times New Roman" w:hAnsi="Times New Roman"/>
          <w:b/>
          <w:bCs/>
          <w:i/>
          <w:iCs/>
          <w:sz w:val="23"/>
          <w:szCs w:val="23"/>
        </w:rPr>
        <w:t xml:space="preserve">5.8 Typed failure models on public production data</w:t>
      </w:r>
    </w:p>
    <w:p>
      <w:pPr>
        <w:spacing w:after="120" w:line="300"/>
        <w:jc w:val="both"/>
      </w:pPr>
      <w:r>
        <w:rPr>
          <w:rFonts w:ascii="Times New Roman" w:cs="Times New Roman" w:eastAsia="Times New Roman" w:hAnsi="Times New Roman"/>
          <w:sz w:val="22"/>
          <w:szCs w:val="22"/>
        </w:rPr>
        <w:t xml:space="preserve">We now fit the process classes of Section 3.6 to the two public failure datasets (the numbers in this section are produced by run_failure_models.py).</w:t>
      </w:r>
    </w:p>
    <w:p>
      <w:pPr>
        <w:keepNext/>
        <w:spacing w:after="60" w:before="160"/>
      </w:pPr>
      <w:r>
        <w:rPr>
          <w:rFonts w:ascii="Times New Roman" w:cs="Times New Roman" w:eastAsia="Times New Roman" w:hAnsi="Times New Roman"/>
          <w:b/>
          <w:bCs/>
          <w:sz w:val="20"/>
          <w:szCs w:val="20"/>
        </w:rPr>
        <w:t xml:space="preserve">Table 10. Seasonal NHPP versus seasonal Hawkes process for provider-declared incidents (March 2023 -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350"/>
        <w:gridCol w:w="850"/>
        <w:gridCol w:w="950"/>
        <w:gridCol w:w="850"/>
        <w:gridCol w:w="800"/>
        <w:gridCol w:w="1250"/>
        <w:gridCol w:w="131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3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Baseline</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AIC gain over NHPP</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3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0.166 → 0.91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6.6 (0.020)</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0.135 → 0.82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 → 0.19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impact&gt;=2</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7.9 (0.015)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0.115 → 0.44</w:t>
            </w:r>
          </w:p>
        </w:tc>
      </w:tr>
    </w:tbl>
    <w:p>
      <w:pPr>
        <w:spacing w:after="160" w:before="40"/>
      </w:pPr>
      <w:r>
        <w:rPr>
          <w:rFonts w:ascii="Times New Roman" w:cs="Times New Roman" w:eastAsia="Times New Roman" w:hAnsi="Times New Roman"/>
          <w:i/>
          <w:iCs/>
          <w:sz w:val="18"/>
          <w:szCs w:val="18"/>
        </w:rPr>
        <w:t xml:space="preserve">Baseline: weekday/weekend × hour-of-day profile estimated from the incident data and held fixed; second row of each stream: additionally multiplied by a monthly level estimated from the monthly counts. Exponential excitation kernel; bootstrap p from 200 parametric simulations under the corresponding NHPP (smallest possible value 0.005). KS: Kolmogorov-Smirnov test of time-rescaled gaps against Exp(1) with the fitted compensator.</w:t>
      </w:r>
    </w:p>
    <w:p>
      <w:pPr>
        <w:spacing w:after="120" w:line="300"/>
        <w:jc w:val="both"/>
      </w:pPr>
      <w:r>
        <w:rPr>
          <w:rFonts w:ascii="Times New Roman" w:cs="Times New Roman" w:eastAsia="Times New Roman" w:hAnsi="Times New Roman"/>
          <w:b/>
          <w:bCs/>
          <w:sz w:val="22"/>
          <w:szCs w:val="22"/>
        </w:rPr>
        <w:t xml:space="preserve">Provider incidents: weekly seasonality, a drifting level and mild self-excitation.</w:t>
      </w:r>
      <w:r>
        <w:rPr>
          <w:rFonts w:ascii="Times New Roman" w:cs="Times New Roman" w:eastAsia="Times New Roman" w:hAnsi="Times New Roman"/>
          <w:sz w:val="22"/>
          <w:szCs w:val="22"/>
        </w:rPr>
        <w:t xml:space="preserve"> The incident rate was not constant over the 18 months: monthly counts were 11-27 in the first twelve months and 27-54 afterwards (homogeneity across months rejected, χ² = 87 on 17 df). With a fixed seasonal profile and a constant level, a self-exciting term improves the fit for every stream (AIC gains of 9-26; the bootstrap rejects the NHPP for all four streams; branching ratio 0.11-0.21), but part of this is the slowly changing level, which the self-excitation term can mimic. With the baseline multiplied by a monthly level, the estimated branching ratio falls to 0.05-0.09 (mean cluster 1.06-1.10 incidents, half-life 1.5-3.8 h), the AIC gains shrink to 2-4, the bootstrap p-values are 0.015-0.025, and the time-rescaling test no longer rejects the NHPP for the combined stream (p = 0.17), OpenAI and the major and critical subset, so a weekday/hour profile with a drifting level already describes most of the data. A weak residual self-excitation remains (roughly one incident in 11 to 18 followed by a clustered successor, with borderline evidence), and Anthropic's time-rescaling test still rejects the NHPP (p = 0.016). The implied long-window Fano factor of 1.15 (Proposition 6b) is below the stratified dispersion index of 1.30 of Section 5.6, so part of the measured over-dispersion is the drifting level. The conclusion for planning is modest: provider incidents need a seasonal, level-adjusted baseline; whether they also cluster is weakly supported and the effect is small at this rate.</w:t>
      </w:r>
    </w:p>
    <w:p>
      <w:pPr>
        <w:spacing w:after="120" w:line="300"/>
        <w:jc w:val="both"/>
      </w:pPr>
      <w:r>
        <w:rPr>
          <w:rFonts w:ascii="Times New Roman" w:cs="Times New Roman" w:eastAsia="Times New Roman" w:hAnsi="Times New Roman"/>
          <w:b/>
          <w:bCs/>
          <w:sz w:val="22"/>
          <w:szCs w:val="22"/>
        </w:rPr>
        <w:t xml:space="preserve">Serving failures: heavy-tailed episodes.</w:t>
      </w:r>
      <w:r>
        <w:rPr>
          <w:rFonts w:ascii="Times New Roman" w:cs="Times New Roman" w:eastAsia="Times New Roman" w:hAnsi="Times New Roman"/>
          <w:sz w:val="22"/>
          <w:szCs w:val="22"/>
        </w:rPr>
        <w:t xml:space="preserve"> In the BurstGPT trace, failed requests are concentrated: 3.6% of active minutes (outage-like episodes, defined as minutes with more than 20% failed requests and at least five failures, merged when ten minutes apart) contain 68.1% of all 487,629 failures (26-96% across the five definitions of Table 11). The 672 episodes have a median duration of 4 minutes (90th percentile 27, maximum 455) and heavy-tailed sizes: median 78 failed requests, mean 494, 99th percentile 10,419, maximum 27,908 (CV 4.7). A lognormal fit has σ = 1.70; the Hill estimator on the upper 20% gives a tail index of about 0.9, which at n = 672 cannot discriminate a Pareto tail with infinite variance from the lognormal, so we do not read it as evidence of an infinite variance. What matters for Proposition 6c is the second-moment ratio E[X²]/E[X] of the episode sizes, which is 11,374 empirically and 5,838 under the lognormal fit: the Fano factor of failed-request counts that arrive in such episodes is in the thousands. Because request volume itself ranges from 52 to 425,604 per day, we also condition on volume: the Pearson dispersion of daily failed-request counts given the daily request volume (expected count proportional to volume, 231 days) is 5,961, far from the value of about 1 of a Poisson-thinned stream, so a Poisson description of failed requests is wrong by several orders of magnitude even after allowing for traffic. The episodes themselves are not Poisson either: they average 2.9 per day; the daily dispersion index is 19.9 unconditionally and 16.3 given daily volume (123 days with an expected count of at least one); inter-arrival times have a coefficient of variation of 4.2; and a Hawkes process fits much better than an NHPP when the baseline is the hour-of-day profile (AIC 4143 → 2374; branching ratio 0.85, half-life 2.4 h) and also when the baseline is proportional to the hourly request volume (AIC 3366 → 2326; branching ratio 0.74), although the rescaled-gap test still rejects the Hawkes fit (p = 4×10⁻7 and 9×10⁻10). The branching ratio depends on how episodes are delimited (Table 11): it stays between 0.52 and 0.85 for five definitions and the heavy tail of sizes persists, but the unconditional daily dispersion index of episode counts ranges from 2.1 to 19.9, and a long outage may be split into several fragments, so only the direction (clustering and heavy tails) is robust.</w:t>
      </w:r>
    </w:p>
    <w:p>
      <w:pPr>
        <w:keepNext/>
        <w:spacing w:after="60" w:before="160"/>
      </w:pPr>
      <w:r>
        <w:rPr>
          <w:rFonts w:ascii="Times New Roman" w:cs="Times New Roman" w:eastAsia="Times New Roman" w:hAnsi="Times New Roman"/>
          <w:b/>
          <w:bCs/>
          <w:sz w:val="20"/>
          <w:szCs w:val="20"/>
        </w:rPr>
        <w:t xml:space="preserve">Table 11.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160" w:before="40"/>
      </w:pPr>
      <w:r>
        <w:rPr>
          <w:rFonts w:ascii="Times New Roman" w:cs="Times New Roman" w:eastAsia="Times New Roman" w:hAnsi="Times New Roman"/>
          <w:i/>
          <w:iCs/>
          <w:sz w:val="18"/>
          <w:szCs w:val="18"/>
        </w:rPr>
        <w:t xml:space="preserve">The first row (20%, 5, 10) is the definition used in the text. Hawkes fits use 30 bootstrap replications and hour-of-day baselines.</w:t>
      </w:r>
    </w:p>
    <w:p>
      <w:pPr>
        <w:spacing w:after="120" w:line="300"/>
        <w:jc w:val="both"/>
      </w:pPr>
      <w:r>
        <w:rPr>
          <w:rFonts w:ascii="Times New Roman" w:cs="Times New Roman" w:eastAsia="Times New Roman" w:hAnsi="Times New Roman"/>
          <w:b/>
          <w:bCs/>
          <w:sz w:val="22"/>
          <w:szCs w:val="22"/>
        </w:rPr>
        <w:t xml:space="preserve">Capacity under the typed model.</w:t>
      </w:r>
      <w:r>
        <w:rPr>
          <w:rFonts w:ascii="Times New Roman" w:cs="Times New Roman" w:eastAsia="Times New Roman" w:hAnsi="Times New Roman"/>
          <w:sz w:val="22"/>
          <w:szCs w:val="22"/>
        </w:rPr>
        <w:t xml:space="preserve"> To see what the typed description changes for a human-triage capacity plan, we combine three human-handled classes for an illustrative organisation with parameters taken from our estimates and independent classes: hallucinations after the classifier-only cascade L1+L2 (λ_H = 12.7 per day, Qwen2.5-0.5B run; the daily-rate CV c_H is assumed in the range 0.3-0.45, near the 0.32 and 0.41 estimated net of trend for the two steady ticket streams, so φ_H = 1 + λ_H c_H² = 2.14-3.57 by Proposition 2), provider incidents affecting the organisation (λ_P = 0.83, φ_P = 1.30 from the day-of-week-stratified index) and own serving-failure episodes (λ_S from the episode counts over the 231 recorded days; φ_S = 2.1 for the coarse definition, 19.9 for the fine one, and 16.3 when conditioned on volume). Treating the total as one Poisson stream gives a 95% capacity of 23 (fine definition) or 21 (coarse) units per day at c_H = 0.37; the typed superposition requires 33 and 25, and the single-Poisson plan is exceeded on 15.4% and 12.6% of days instead of 5% (Monte Carlo of 400,000 days; effective dispersion φ_eff = 2.6-5.7, Proposition 6a). Across the nine scenarios (c_H of 0.3, 0.37 and 0.45 × three treatments of the serving class) the required capacity is 24-34 units against a single-Poisson plan of 21-23, i.e. 14-48% more, with the single-Poisson plan exceeded on 10.5%-17.2% of days. The hallucination class alone, whose dispersion is assumed, accounts for a gap of 21% (23 rather than 19 units); the provider class adds little, and the serving class widens the gap substantially only when it is treated as strongly over-dispersed (fine definition or volume-conditional dispersion), while with the coarse definition the total gap is about that of the hallucination class. The scenario is therefore an illustration of the size of the single-Poisson error under stated assumptions, not evidence for the typed model: class means are not those of any real organisation, the comparator is a single Poisson (a negative-binomial plan on the total would close part of the gap), and a serving outage would plausibly raise the hallucination and ticket volumes at the same time, which would widen it.</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failed on 28-49% of days across the configurations we measured. The Poisson quantile fixes this when daily counts are Poisson, but Proposition 2 and the burst experiments show that a modest day-to-day variation in demand (CV 0.3-0.44) raises the exceedance rate of a Poisson-sized plan from 5% to 23-28% (c = 0.3) and 30-32% (c = 0.44) without guardrails; real LLM request streams vary far more than that (a stress test, Section 5.6). Dispersion should be estimated from incident logs before the plan is fixed. Over-dispersion matters most for large incident streams (weak guardrails) and least for small ones (Propositions 2 and 3): provider outages at about 0.8 per day and dated hallucination cases at about 6 per weekday were statistically over-dispersed but changed the 95% capacity by at most one or two units, whereas the ServiceNow segment (about 350 tickets per work day) and the unprotected hallucination stream of 100+ events per day were affected strongly.</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task-specific verifier delivered most of the benefit (a 78-95% reduction in required capacity at the price of 15-71% of correct answers blocked), the deterministic layer was nearly inert, and the judge added a modest, model-dependent gain at about three times the latency. A fixed "three layers" prescription is not supported by these data;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Model the failure classes separately and combine them at the ticket level.</w:t>
      </w:r>
      <w:r>
        <w:rPr>
          <w:rFonts w:ascii="Times New Roman" w:cs="Times New Roman" w:eastAsia="Times New Roman" w:hAnsi="Times New Roman"/>
          <w:sz w:val="22"/>
          <w:szCs w:val="22"/>
        </w:rPr>
        <w:t xml:space="preserve"> Treating all failures as one Poisson stream misdescribes each class in a different way: hallucination counts are over-dispersed through demand variability, provider incidents are seasonal with a drifting level and at most a weak clustering, serving failures arrive in heavy-tailed episodes (68.1% of failed requests fall in 3.6% of the active minutes), and human triage has heavy-tailed service. In our illustrative organisation a typed superposition required 14-48% more daily capacity than a single Poisson on the total across nine scenarios; the gap is driven by the assumed over-dispersion of the hallucination class and by how strongly over-dispersed the serving class is taken to be, so the example shows the size of the single-Poisson error under stated assumptions rather than a validated gain.</w:t>
      </w:r>
    </w:p>
    <w:p>
      <w:pPr>
        <w:pStyle w:val="ListParagraph"/>
        <w:numPr>
          <w:ilvl w:val="0"/>
          <w:numId w:val="2"/>
        </w:numPr>
        <w:spacing w:after="60" w:line="288"/>
      </w:pPr>
      <w:r>
        <w:rPr>
          <w:rFonts w:ascii="Times New Roman" w:cs="Times New Roman" w:eastAsia="Times New Roman" w:hAnsi="Times New Roman"/>
          <w:b/>
          <w:bCs/>
          <w:sz w:val="22"/>
          <w:szCs w:val="22"/>
        </w:rPr>
        <w:t xml:space="preserve">Human triage is bursty and heavy-tailed in real organisations.</w:t>
      </w:r>
      <w:r>
        <w:rPr>
          <w:rFonts w:ascii="Times New Roman" w:cs="Times New Roman" w:eastAsia="Times New Roman" w:hAnsi="Times New Roman"/>
          <w:sz w:val="22"/>
          <w:szCs w:val="22"/>
        </w:rPr>
        <w:t xml:space="preserve"> In public ticket streams the day-to-day coefficient of variation of the arrival rate was 0.25-0.41 net of trend, a Poisson-sized plan against the in-sample local mean was exceeded on 7-35% of work days instead of 5% (the two long streams: 9.6% and 9.7% with a causal plan), resolution times had coefficients of variation of 1.3-3.0 with decreasing hazards, and in the one stream with handling-time data the 95th percentile of the daily workload was 3.4 times its mean against 2.0 for the arrival count. Capacity in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is therefore not capacity in </w:t>
      </w:r>
      <w:r>
        <w:rPr>
          <w:rFonts w:ascii="Times New Roman" w:cs="Times New Roman" w:eastAsia="Times New Roman" w:hAnsi="Times New Roman"/>
          <w:i/>
          <w:iCs/>
          <w:sz w:val="22"/>
          <w:szCs w:val="22"/>
        </w:rPr>
        <w:t xml:space="preserve">hours</w:t>
      </w:r>
      <w:r>
        <w:rPr>
          <w:rFonts w:ascii="Times New Roman" w:cs="Times New Roman" w:eastAsia="Times New Roman" w:hAnsi="Times New Roman"/>
          <w:sz w:val="22"/>
          <w:szCs w:val="22"/>
        </w:rPr>
        <w:t xml:space="preserve">, and the tail of the service time needs its own headroom.</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the share of hallucinations passing the L2+L3 cascade was 2.7-4.6 times the independence prediction with routing against 1.6-2.6 times without it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 and 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operator log of hallucinations.</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so the Poisson and time-rescaling checks of Section 5.3 verify the machinery and are partly by construction. The public traces we use (BurstGPT, the provider incident history, the ticket logs) are real production data but record request arrivals, service incidents and human tickets, not hallucinations. The only dated hallucination log we found is a curated database of court decisions (Section 5.6), which is domain-specific, at day resolution, and subject to strong detection and reporting bias. To our knowledge no public production log of hallucination incidents from an operator exists. The burstiness of the replay is therefore a scenario informed by, not estimated from, real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The detection assumption.</w:t>
      </w:r>
      <w:r>
        <w:rPr>
          <w:rFonts w:ascii="Times New Roman" w:cs="Times New Roman" w:eastAsia="Times New Roman" w:hAnsi="Times New Roman"/>
          <w:sz w:val="22"/>
          <w:szCs w:val="22"/>
        </w:rPr>
        <w:t xml:space="preserve"> The model assumes that every hallucination that passes the guardrails is detected and becomes exactly one human-handled event. In practice only a fraction is noticed or reported, and detection is a failure point of its own; the capacities we report are upper bounds that hold for full detection (Section 3.1).</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sample, shared questions, post-hoc layer change.</w:t>
      </w:r>
      <w:r>
        <w:rPr>
          <w:rFonts w:ascii="Times New Roman" w:cs="Times New Roman" w:eastAsia="Times New Roman" w:hAnsi="Times New Roman"/>
          <w:sz w:val="22"/>
          <w:szCs w:val="22"/>
        </w:rPr>
        <w:t xml:space="preserve"> The three generators answered the same 300 questions, so their results are paired and not independent replications, and each layer estimate rests on 141-195 hallucinations and a few to a few dozen residual ones. The extractive-QA verifier was introduced after the NLI classifier proved uninformative, so the L2 choice was made after seeing results on the same data; it is trained on SQuAD, which flatters it relative to a domain-agnostic classifier, and its threshold was not tuned. The judge is Qwen2.5-1.5B in every run, so one arm is self-judged.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Dependence estimates are imprecise.</w:t>
      </w:r>
      <w:r>
        <w:rPr>
          <w:rFonts w:ascii="Times New Roman" w:cs="Times New Roman" w:eastAsia="Times New Roman" w:hAnsi="Times New Roman"/>
          <w:sz w:val="22"/>
          <w:szCs w:val="22"/>
        </w:rPr>
        <w:t xml:space="preserve"> The positive association between L2 and L3 and the excess over the independence formula have wide bootstrap intervals, and for one generator the no-routing excess is not distinguishable from one; the independence prediction is computed from the same sample's marginals.</w:t>
      </w:r>
    </w:p>
    <w:p>
      <w:pPr>
        <w:pStyle w:val="ListParagraph"/>
        <w:numPr>
          <w:ilvl w:val="0"/>
          <w:numId w:val="2"/>
        </w:numPr>
        <w:spacing w:after="60" w:line="288"/>
      </w:pPr>
      <w:r>
        <w:rPr>
          <w:rFonts w:ascii="Times New Roman" w:cs="Times New Roman" w:eastAsia="Times New Roman" w:hAnsi="Times New Roman"/>
          <w:b/>
          <w:bCs/>
          <w:sz w:val="22"/>
          <w:szCs w:val="22"/>
        </w:rPr>
        <w:t xml:space="preserve">Typed models are illustrative in combination.</w:t>
      </w:r>
      <w:r>
        <w:rPr>
          <w:rFonts w:ascii="Times New Roman" w:cs="Times New Roman" w:eastAsia="Times New Roman" w:hAnsi="Times New Roman"/>
          <w:sz w:val="22"/>
          <w:szCs w:val="22"/>
        </w:rPr>
        <w:t xml:space="preserve"> The Hawkes and episode fits use one kernel family (exponential), a fixed seasonal profile estimated from the same data, and, for BurstGPT, an episode definition that matters quantitatively (Table 11) and may split a long outage into fragments; the bootstrap p-values are bounded below by 1/(B + 1). The capacity comparison of Section 5.8 combines classes from different organisations and datasets under independence, with an assumed hallucination dispersion and a single Poisson as the comparator; common-cause dependence between classes would widen the gap.</w:t>
      </w:r>
    </w:p>
    <w:p>
      <w:pPr>
        <w:pStyle w:val="ListParagraph"/>
        <w:numPr>
          <w:ilvl w:val="0"/>
          <w:numId w:val="2"/>
        </w:numPr>
        <w:spacing w:after="60" w:line="288"/>
      </w:pPr>
      <w:r>
        <w:rPr>
          <w:rFonts w:ascii="Times New Roman" w:cs="Times New Roman" w:eastAsia="Times New Roman" w:hAnsi="Times New Roman"/>
          <w:b/>
          <w:bCs/>
          <w:sz w:val="22"/>
          <w:szCs w:val="22"/>
        </w:rPr>
        <w:t xml:space="preserve">Ticket data are not LLM incidents.</w:t>
      </w:r>
      <w:r>
        <w:rPr>
          <w:rFonts w:ascii="Times New Roman" w:cs="Times New Roman" w:eastAsia="Times New Roman" w:hAnsi="Times New Roman"/>
          <w:sz w:val="22"/>
          <w:szCs w:val="22"/>
        </w:rPr>
        <w:t xml:space="preserve"> The ticket streams are customer-support and IT incidents; whether LLM-hallucination tickets share their arrival variability and service times is an assumption (plausible for the daily-rate CV, which is invariant to independent thinning with constant p, less so for service times, which depend on the verification task). Resolution times are calendar times that include waiting for customers or vendors and are not triage effort; the in-progress state time is a closer but still imperfect proxy. Ticket volumes in two of the logs change over their span, which we address by estimating variability against a local mean, the ServiceNow log can be used only for a 12-week segment, and the arrival-variability estimates of Section 5.7 rest on three streams.</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its smallest 14-day coefficient of variation as a floor,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 and cost parameters.</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and inflates the base rate. The cost parameters and selection weights are assumptions; only the labour-to-compute ratio and the sensitivity grid are informative, and the grid does not reflect sampling error.</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apart from the weekly profile, a local level and the Cox-type multiplier; long-run trends, holidays and sudden regime shifts are only handled through the local mean estimates.</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human-handled LLM incidents as a counting process turns guardrail performance into a staffing and cost decision. Under the stated assumptions, capacity should be sized from an over-dispersion-aware quantile of the daily count; the multiplicative guardrail formula is an optimistic bound whose gap must be measured; a single Poisson on all failures misdescribes every class (hallucinations are over-dispersed through demand variability, provider incidents are seasonal with a drifting level and weak clustering, serving failures are heavy-tailed episodes); and the cost-minimising number of layers depends on integer capacity effects, the floor on standing staff, latency, the labour-to-compute ratio and the measured clearance, and is not fixed at three. On measured outputs of three small open models answering the same 300 questions, a single task-specific verifier reduced the required capacity by 78-95% relative to no guardrails while blocking 15-71% of correct answers; a routed judge added a further modest reduction for two of the three generators at about triple the latency, and every cascade incurred false blocks and system failures. The share of hallucinations passing a two-layer cascade was 1.6-2.6 times the independence prediction without routing and 2.7-4.6 times with routing, with wide intervals. Mild burstiness (daily-rate CV of 0.3-0.44, a range informed by public ticket streams and a production trace) raised the exceedance rate of a Poisson-sized plan from 5% to roughly 23-32% without guardrails and 7-16% with the best cascade. Public production data corroborate the structure: an LLM request trace shows clustered arrivals from the 10-second scale upward, provider incident streams are strongly seasonal with a drifting level and over-dispersion that remains after weekday stratification, a log of dated hallucination cases shows the same mild over-dispersion at about six cases per weekday, and company ticket streams show a net-of-trend daily rate CV of 0.25-0.41 and heavy-tailed resolution times. Hallucination arrivals themselves are simulated and no operator log of hallucinations is public, so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Abdellatif, M. (2026). Help Desk Tickets (Version 3) [Dataset]. Mendeley Data. https://doi.org/10.17632/btm76zndnt.3</w:t>
      </w:r>
    </w:p>
    <w:p>
      <w:pPr>
        <w:spacing w:after="70"/>
        <w:ind w:left="360" w:hanging="360"/>
      </w:pPr>
      <w:r>
        <w:rPr>
          <w:rFonts w:ascii="Times New Roman" w:cs="Times New Roman" w:eastAsia="Times New Roman" w:hAnsi="Times New Roman"/>
          <w:sz w:val="20"/>
          <w:szCs w:val="20"/>
        </w:rPr>
        <w:t xml:space="preserve">Abraham, S., et al.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L. B., et al.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A., Jabbar, M. S., Al-Azani, S., &amp; Ahmed, M.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Amaral, C. A. L., Fantinato, M., &amp; Peres, S. M. (2018). Incident management process enriched event log [Dataset]. UCI Machine Learning Repository (dataset 498).</w:t>
      </w:r>
    </w:p>
    <w:p>
      <w:pPr>
        <w:spacing w:after="70"/>
        <w:ind w:left="360" w:hanging="360"/>
      </w:pPr>
      <w:r>
        <w:rPr>
          <w:rFonts w:ascii="Times New Roman" w:cs="Times New Roman" w:eastAsia="Times New Roman" w:hAnsi="Times New Roman"/>
          <w:sz w:val="20"/>
          <w:szCs w:val="20"/>
        </w:rPr>
        <w:t xml:space="preserve">Bartolucci and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Singh, and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Charlotin, D. (2026). AI Hallucination Cases database (court decisions with AI-fabricated content). https://www.damiencharlotin.com/hallucinations/ (CC BY 4.0; accessed 6 October 2026).</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Cox, D. R., &amp; Isham, V. (1980). Point Processes. Chapman &amp; Hall.</w:t>
      </w:r>
    </w:p>
    <w:p>
      <w:pPr>
        <w:spacing w:after="70"/>
        <w:ind w:left="360" w:hanging="360"/>
      </w:pPr>
      <w:r>
        <w:rPr>
          <w:rFonts w:ascii="Times New Roman" w:cs="Times New Roman" w:eastAsia="Times New Roman" w:hAnsi="Times New Roman"/>
          <w:sz w:val="20"/>
          <w:szCs w:val="20"/>
        </w:rPr>
        <w:t xml:space="preserve">Daley, D. J., &amp; Vere-Jones, D. (2003). An Introduction to the Theory of Point Processes, Volume I (2nd ed.). Springer.</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Hawkes, A. G. (1971). Spectra of some self-exciting and mutually exciting point processes. Biometrika, 58(1), 83-90.</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H., et al.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Z., et al.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 et al.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R., &amp; Zhang, J.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Ogata, Y. (1988). Statistical models for earthquake occurrences and residual analysis for point processes. Journal of the American Statistical Association, 83(401), 9-27.</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and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Verenich, I. (2016). Helpdesk [Dataset: help desk log of an Italian software company]. Mendeley Data, V1. https://doi.org/10.17632/39bp3vv62t.1</w:t>
      </w:r>
    </w:p>
    <w:p>
      <w:pPr>
        <w:spacing w:after="70"/>
        <w:ind w:left="360" w:hanging="360"/>
      </w:pPr>
      <w:r>
        <w:rPr>
          <w:rFonts w:ascii="Times New Roman" w:cs="Times New Roman" w:eastAsia="Times New Roman" w:hAnsi="Times New Roman"/>
          <w:sz w:val="20"/>
          <w:szCs w:val="20"/>
        </w:rPr>
        <w:t xml:space="preserve">Wang, Y., et al.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L., et al.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2026-10-06T08:23:58.981Z</dcterms:created>
  <dcterms:modified xsi:type="dcterms:W3CDTF">2026-10-06T08:23:58.981Z</dcterms:modified>
</cp:coreProperties>
</file>

<file path=docProps/custom.xml><?xml version="1.0" encoding="utf-8"?>
<Properties xmlns="http://schemas.openxmlformats.org/officeDocument/2006/custom-properties" xmlns:vt="http://schemas.openxmlformats.org/officeDocument/2006/docPropsVTypes"/>
</file>