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i w:val="0"/>
          <w:sz w:val="24"/>
        </w:rPr>
        <w:t>Impact Statement</w:t>
      </w:r>
    </w:p>
    <w:p>
      <w:pPr>
        <w:spacing w:after="240" w:before="0"/>
        <w:jc w:val="center"/>
      </w:pPr>
      <w:r>
        <w:rPr>
          <w:b w:val="0"/>
          <w:i/>
          <w:sz w:val="22"/>
        </w:rPr>
        <w:t>Combining Detectors That Fail Differently Defends Screens for Machine-Written Scholarly Text Against Adaptive Authors</w:t>
      </w:r>
    </w:p>
    <w:p>
      <w:pPr>
        <w:spacing w:after="200" w:before="0"/>
        <w:jc w:val="both"/>
      </w:pPr>
      <w:r>
        <w:rPr>
          <w:b w:val="0"/>
          <w:i w:val="0"/>
          <w:sz w:val="22"/>
        </w:rPr>
        <w:t>Publishers and research-integrity offices increasingly screen submissions for machine-written text, and a wrong decision either misses fabricated papers or accuses honest authors. This study shows that every detector in common use can be pushed below chance by an author who can query it, and that a simple combination of detectors that fail in different ways keeps the worst case far higher without training on attacks. The method is transparent, cheap to deploy and easy to audit, and the paper reports where it falls short, including its operating-point limits and its untested robustness to ensemble-aware attackers. The results, code and data can help integrity offices choose and evaluate screens and help researchers report detector robustness more honestly.</w:t>
      </w:r>
    </w:p>
    <w:p>
      <w:pPr>
        <w:spacing w:after="0" w:before="0"/>
        <w:jc w:val="right"/>
      </w:pPr>
      <w:r>
        <w:rPr>
          <w:b w:val="0"/>
          <w:i w:val="0"/>
          <w:sz w:val="20"/>
        </w:rPr>
        <w:t>(116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