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line="360" w:lineRule="auto"/>
        <w:jc w:val="center"/>
      </w:pPr>
      <w:r>
        <w:rPr>
          <w:rFonts w:ascii="Times New Roman" w:cs="Times New Roman" w:eastAsia="Times New Roman" w:hAnsi="Times New Roman"/>
          <w:b/>
          <w:bCs/>
          <w:i w:val="false"/>
          <w:iCs w:val="false"/>
          <w:sz w:val="32"/>
          <w:szCs w:val="32"/>
        </w:rPr>
        <w:t xml:space="preserve">Staging Commitment When the Ruler Can Move:</w:t>
      </w:r>
    </w:p>
    <w:p>
      <w:pPr>
        <w:spacing w:after="360" w:before="60" w:line="360" w:lineRule="auto"/>
        <w:jc w:val="center"/>
      </w:pPr>
      <w:r>
        <w:rPr>
          <w:rFonts w:ascii="Times New Roman" w:cs="Times New Roman" w:eastAsia="Times New Roman" w:hAnsi="Times New Roman"/>
          <w:b/>
          <w:bCs/>
          <w:i w:val="false"/>
          <w:iCs w:val="false"/>
          <w:sz w:val="32"/>
          <w:szCs w:val="32"/>
        </w:rPr>
        <w:t xml:space="preserve">Real Options for Generative AI Maintenance under Judge Uncertainty</w:t>
      </w:r>
    </w:p>
    <w:p>
      <w:pPr>
        <w:spacing w:after="200" w:before="240" w:line="480" w:lineRule="auto"/>
        <w:jc w:val="center"/>
      </w:pPr>
      <w:r>
        <w:rPr>
          <w:rFonts w:ascii="Times New Roman" w:cs="Times New Roman" w:eastAsia="Times New Roman" w:hAnsi="Times New Roman"/>
          <w:b/>
          <w:bCs/>
          <w:i w:val="false"/>
          <w:iCs w:val="false"/>
          <w:sz w:val="24"/>
          <w:szCs w:val="24"/>
        </w:rPr>
        <w:t xml:space="preserve">Abstract</w:t>
      </w:r>
    </w:p>
    <w:p>
      <w:pPr>
        <w:spacing w:after="0" w:before="0" w:line="480" w:lineRule="auto"/>
        <w:ind w:firstLine="720"/>
        <w:jc w:val="left"/>
      </w:pPr>
      <w:r>
        <w:rPr>
          <w:rFonts w:ascii="Times New Roman" w:cs="Times New Roman" w:eastAsia="Times New Roman" w:hAnsi="Times New Roman"/>
          <w:bCs w:val="false"/>
          <w:iCs w:val="false"/>
          <w:sz w:val="24"/>
          <w:szCs w:val="24"/>
        </w:rPr>
        <w:t>Organizations increasingly use one language model to maintain another: judge models score outputs, rewrite prompts, and authorize the promotion of new policies into production. This loop is an information systems control, but it is also an investment problem, because promotion is costly to reverse and the signal that justifies it, the judge score, is noisy and can shift. Drawing on real options theory, this paper conceptualizes generative AI maintenance as a staged commitment program in which waiting, piloting, inspecting, abandoning, and pinning the judge version are options, and it introduces measurement-system risk as a risk class absent from option-based IT risk management. Five propositions specify when net-present-value reasoning on judge scores leads organizations to commit too early. A small computational laboratory illustrates the argument, and a proposed field design shows how the propositions could be tested in organizations that run judge-based release processes. The paper offers a governance logic for AI-enabled systems that are changed weekly rather than funded once.</w:t>
      </w:r>
    </w:p>
    <w:p>
      <w:pPr>
        <w:spacing w:after="0" w:before="280" w:line="480" w:lineRule="auto"/>
        <w:jc w:val="left"/>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val="false"/>
          <w:iCs w:val="false"/>
          <w:sz w:val="24"/>
          <w:szCs w:val="24"/>
        </w:rPr>
        <w:t xml:space="preserve">real options, IT investment, generative AI, LLM-as-a-judge, model maintenance, measurement system risk, staged commitment, IS control, Green IT, Green AI</w:t>
      </w:r>
    </w:p>
    <w:p>
      <w:r>
        <w:br w:type="page"/>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 xml:space="preserve">1  INTRODUCTION</w:t>
      </w:r>
    </w:p>
    <w:p>
      <w:pPr>
        <w:spacing w:after="0" w:before="0" w:line="480" w:lineRule="auto"/>
        <w:ind w:firstLine="720"/>
        <w:jc w:val="left"/>
      </w:pPr>
      <w:r>
        <w:rPr>
          <w:rFonts w:ascii="Times New Roman" w:cs="Times New Roman" w:eastAsia="Times New Roman" w:hAnsi="Times New Roman"/>
          <w:bCs w:val="false"/>
          <w:iCs w:val="false"/>
          <w:sz w:val="24"/>
          <w:szCs w:val="24"/>
        </w:rPr>
        <w:t>The information systems (IS) field has long framed information technology investment as a problem of commitment under uncertainty (Benaroch, 2002; Fichman, 2004; Taudes et al., 2000). Real options theory became part of this conversation because IT projects are, in important respects, irreversible, their payoffs are uncertain, and managers retain the ability to wait, stage, switch, or abandon (Dixit &amp; Pindyck, 1994; Myers, 1977; Trigeorgis, 1996). Later empirical work showed that practicing IT managers already build options into their risk plans intuitively, even when they do not name the underlying theory (Benaroch et al., 2006).</w:t>
      </w:r>
    </w:p>
    <w:p>
      <w:pPr>
        <w:spacing w:after="0" w:before="0" w:line="480" w:lineRule="auto"/>
        <w:ind w:firstLine="720"/>
        <w:jc w:val="left"/>
      </w:pPr>
      <w:r>
        <w:rPr>
          <w:rFonts w:ascii="Times New Roman" w:cs="Times New Roman" w:eastAsia="Times New Roman" w:hAnsi="Times New Roman"/>
          <w:bCs w:val="false"/>
          <w:iCs w:val="false"/>
          <w:sz w:val="24"/>
          <w:szCs w:val="24"/>
        </w:rPr>
        <w:t>Generative AI maintenance has the same basic structure but adds a distortion that earlier work did not need to address. Organizations now close the loop with a second model: an LLM-as-a-judge scores the live policy, an optimizer searches for a prompt or adapter that raises that score, and a release review reads the increase as evidence that the system has improved (Zheng et al., 2023). The judge is cheap, but it is also an endogenous instrument. Under search pressure it turns from a tape that records performance into the objective being pursued, and under vendor updates and rubric edits it becomes a tape that jumps. A movement on the dashboard is therefore compatible with three distinct IS events: the policy changed, the ruler changed, or the optimizer found a behavior that pleases the ruler while harming the work.</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This paper asks a question that is both theoretical and operational: </w:t>
      </w:r>
      <w:r>
        <w:rPr>
          <w:rFonts w:ascii="Times New Roman" w:cs="Times New Roman" w:eastAsia="Times New Roman" w:hAnsi="Times New Roman"/>
          <w:bCs w:val="false"/>
          <w:i/>
          <w:iCs w:val="false"/>
          <w:sz w:val="24"/>
          <w:szCs w:val="24"/>
        </w:rPr>
        <w:t>when should an organization exercise the option to promote a generative policy that a judge has scored more highly?</w:t>
      </w:r>
    </w:p>
    <w:p>
      <w:pPr>
        <w:spacing w:after="0" w:before="0" w:line="480" w:lineRule="auto"/>
        <w:ind w:firstLine="720"/>
        <w:jc w:val="left"/>
      </w:pPr>
      <w:r>
        <w:rPr>
          <w:rFonts w:ascii="Times New Roman" w:cs="Times New Roman" w:eastAsia="Times New Roman" w:hAnsi="Times New Roman"/>
          <w:bCs w:val="false"/>
          <w:iCs w:val="false"/>
          <w:sz w:val="24"/>
          <w:szCs w:val="24"/>
        </w:rPr>
        <w:t>Translated into current practice, the answer from net present value (NPV) is to promote when the expected judge increment exceeds the cost of shipping. The answer from real options is to promote only when that increment exceeds the shipping cost plus the value of the flexibility that shipping destroys. Flexibility is valuable here for a specific reason: the quote is not merely noisy, because the observation equation itself can move. This is measurement-system risk, and it is distinct from the technical, organizational, and market risks catalogued in option-based IT risk management (Benaroch et al., 2006).</w:t>
      </w:r>
    </w:p>
    <w:p>
      <w:pPr>
        <w:spacing w:after="0" w:before="0" w:line="480" w:lineRule="auto"/>
        <w:ind w:firstLine="720"/>
        <w:jc w:val="left"/>
      </w:pPr>
      <w:r>
        <w:rPr>
          <w:rFonts w:ascii="Times New Roman" w:cs="Times New Roman" w:eastAsia="Times New Roman" w:hAnsi="Times New Roman"/>
          <w:bCs w:val="false"/>
          <w:iCs w:val="false"/>
          <w:sz w:val="24"/>
          <w:szCs w:val="24"/>
        </w:rPr>
        <w:t>The paper makes three contributions to the IS literature. First, it moves real options from the discrete funding of projects to the continuous maintenance of a generative system, a class of digital object that is updated weekly rather than funded annually. Second, it introduces judge drift as a jump in the ruler within the observation equation, and it argues that pinning and recalibrating the judge constitutes an option in its own right rather than a matter of hygiene. Third, it specifies an inspection option, namely canaries on which a high judge score is itself suspicious, which is easily overlooked when evaluation is conceived only as a mean over a holdout sample.</w:t>
      </w:r>
    </w:p>
    <w:p>
      <w:pPr>
        <w:spacing w:after="0" w:before="0" w:line="480" w:lineRule="auto"/>
        <w:ind w:firstLine="720"/>
        <w:jc w:val="left"/>
      </w:pPr>
      <w:r>
        <w:rPr>
          <w:rFonts w:ascii="Times New Roman" w:cs="Times New Roman" w:eastAsia="Times New Roman" w:hAnsi="Times New Roman"/>
          <w:bCs w:val="false"/>
          <w:iCs w:val="false"/>
          <w:sz w:val="24"/>
          <w:szCs w:val="24"/>
        </w:rPr>
        <w:t>A computational laboratory accompanies the theory. It is not a field test and is not offered as one. Twenty-two support tickets, eight named policies, a deterministic gold checker, an inspectable rubric, and an open-weight judge with 135 million parameters suffice to show the accounting failing in plain view. Maximizing the hackable judge selects a refund-always policy. The holdout gold score for that policy still exceeds the bounce baseline, but its canary gold score does not. The laboratory thus serves as a unit test for the ledger that, according to the theory, a release review should keep.</w:t>
      </w:r>
    </w:p>
    <w:p>
      <w:pPr>
        <w:spacing w:after="0" w:before="0" w:line="480" w:lineRule="auto"/>
        <w:ind w:firstLine="720"/>
        <w:jc w:val="left"/>
      </w:pPr>
      <w:r>
        <w:rPr>
          <w:rFonts w:ascii="Times New Roman" w:cs="Times New Roman" w:eastAsia="Times New Roman" w:hAnsi="Times New Roman"/>
          <w:bCs w:val="false"/>
          <w:iCs w:val="false"/>
          <w:sz w:val="24"/>
          <w:szCs w:val="24"/>
        </w:rPr>
        <w:t>The remainder of the paper proceeds as follows. Section 2 reviews real options in IT investment and the rise of model-based evaluation as an IS control. Section 3 states a model and five propositions. Section 4 reports the laboratory as an illustration, Section 5 specifies a field design that would test the propositions in situ, and Section 6 discusses implications for theory and for the governance of generative systems. Section 7 concludes.</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 xml:space="preserve">2  THEORETICAL BACKGROUND</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2.1  Real Options and IT Investment</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A real option is the right, but not the obligation, to take a managerial action in the future at a defined cost (Myers, 1977; Dixit &amp; Pindyck, 1994; Trigeorgis, 1996). Unlike a financial option, its underlying asset is a project, a capability, or a technology position rather than a traded security. The canonical insight is that irreversibility, uncertainty, and the ability to wait together make the Marshallian investment rule too eager. If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denotes project value and </w:t>
      </w:r>
      <w:r>
        <w:rPr>
          <w:rFonts w:ascii="Times New Roman" w:cs="Times New Roman" w:eastAsia="Times New Roman" w:hAnsi="Times New Roman"/>
          <w:bCs w:val="false"/>
          <w:i/>
          <w:iCs w:val="false"/>
          <w:sz w:val="24"/>
          <w:szCs w:val="24"/>
        </w:rPr>
        <w:t>I</w:t>
      </w:r>
      <w:r>
        <w:rPr>
          <w:rFonts w:ascii="Times New Roman" w:cs="Times New Roman" w:eastAsia="Times New Roman" w:hAnsi="Times New Roman"/>
          <w:bCs w:val="false"/>
          <w:iCs w:val="false"/>
          <w:sz w:val="24"/>
          <w:szCs w:val="24"/>
        </w:rPr>
        <w:t xml:space="preserve"> the sunk cost of commitment, the firm should not invest at the first moment at which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&gt; </w:t>
      </w:r>
      <w:r>
        <w:rPr>
          <w:rFonts w:ascii="Times New Roman" w:cs="Times New Roman" w:eastAsia="Times New Roman" w:hAnsi="Times New Roman"/>
          <w:bCs w:val="false"/>
          <w:i/>
          <w:iCs w:val="false"/>
          <w:sz w:val="24"/>
          <w:szCs w:val="24"/>
        </w:rPr>
        <w:t>I</w:t>
      </w:r>
      <w:r>
        <w:rPr>
          <w:rFonts w:ascii="Times New Roman" w:cs="Times New Roman" w:eastAsia="Times New Roman" w:hAnsi="Times New Roman"/>
          <w:bCs w:val="false"/>
          <w:iCs w:val="false"/>
          <w:sz w:val="24"/>
          <w:szCs w:val="24"/>
        </w:rPr>
        <w:t xml:space="preserve">. It should instead wait until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crosses a higher threshold that incorporates the option premium </w:t>
      </w:r>
      <w:r>
        <w:rPr>
          <w:rFonts w:ascii="Times New Roman" w:cs="Times New Roman" w:eastAsia="Times New Roman" w:hAnsi="Times New Roman"/>
          <w:bCs w:val="false"/>
          <w:i/>
          <w:iCs w:val="false"/>
          <w:sz w:val="24"/>
          <w:szCs w:val="24"/>
        </w:rPr>
        <w:t>F</w:t>
      </w:r>
      <w:r>
        <w:rPr>
          <w:rFonts w:ascii="Times New Roman" w:cs="Times New Roman" w:eastAsia="Times New Roman" w:hAnsi="Times New Roman"/>
          <w:bCs w:val="false"/>
          <w:iCs w:val="false"/>
          <w:sz w:val="24"/>
          <w:szCs w:val="24"/>
        </w:rPr>
        <w:t xml:space="preserve"> of keeping the decision open.</w:t>
      </w:r>
    </w:p>
    <w:p>
      <w:pPr>
        <w:spacing w:after="0" w:before="0" w:line="480" w:lineRule="auto"/>
        <w:ind w:firstLine="720"/>
        <w:jc w:val="left"/>
      </w:pPr>
      <w:r>
        <w:rPr>
          <w:rFonts w:ascii="Times New Roman" w:cs="Times New Roman" w:eastAsia="Times New Roman" w:hAnsi="Times New Roman"/>
          <w:bCs w:val="false"/>
          <w:iCs w:val="false"/>
          <w:sz w:val="24"/>
          <w:szCs w:val="24"/>
        </w:rPr>
        <w:t>IS research adopted the idea because information technology investments satisfy its premises unusually well. Software and platform choices are costly to reverse, and their benefits arrive with delay and depend on complementary organizational change. Staging through pilot, expansion, abandonment, and switching is already how many IT organizations operate (Fichman, 2004; Taudes et al., 2000; Benaroch, 2002). Benaroch et al. (2006) showed that an option-based mapping of risk management appears in real IT risk plans even when managers do not compute option prices. More recent work has used real options to interpret patents, platform commitments, and the timing of enterprise AI adoption (Tewari, 2026).</w:t>
      </w:r>
    </w:p>
    <w:p>
      <w:pPr>
        <w:spacing w:after="0" w:before="0" w:line="480" w:lineRule="auto"/>
        <w:ind w:firstLine="720"/>
        <w:jc w:val="left"/>
      </w:pPr>
      <w:r>
        <w:rPr>
          <w:rFonts w:ascii="Times New Roman" w:cs="Times New Roman" w:eastAsia="Times New Roman" w:hAnsi="Times New Roman"/>
          <w:bCs w:val="false"/>
          <w:iCs w:val="false"/>
          <w:sz w:val="24"/>
          <w:szCs w:val="24"/>
        </w:rPr>
        <w:t>Two limitations of this tradition are relevant here. First, most applications treat a project as a single funding episode, whereas generative systems are maintained rather than funded once. The decision that destroys flexibility is no longer whether to build a data warehouse but whether to promote this week’s policy to all traffic. Second, the risk taxonomies in the option-based IT literature emphasize technical performance, organizational, market, and competitive risk, and they assume that the performance measure used to update beliefs, however noisy, remains stably attached to the underlying asset. Generative maintenance violates that assumption whenever the measure is itself a model.</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2.2  LLM-as-a-Judge as an Organizational Control</w:t>
      </w:r>
    </w:p>
    <w:p>
      <w:pPr>
        <w:spacing w:after="0" w:before="0" w:line="480" w:lineRule="auto"/>
        <w:ind w:firstLine="720"/>
        <w:jc w:val="left"/>
      </w:pPr>
      <w:r>
        <w:rPr>
          <w:rFonts w:ascii="Times New Roman" w:cs="Times New Roman" w:eastAsia="Times New Roman" w:hAnsi="Times New Roman"/>
          <w:bCs w:val="false"/>
          <w:iCs w:val="false"/>
          <w:sz w:val="24"/>
          <w:szCs w:val="24"/>
        </w:rPr>
        <w:t>Language-model judges entered practice because many generative outputs lack a cheap deterministic label (Zheng et al., 2023). Organizations therefore appoint a second model, wrap it in a rubric, and treat its score as a measure of quality. Scores of this kind are then used to choose among prompts, to generate preference data, and to approve deployments. In IS terms, the judge is a control system (Ouchi, 1979), an artifact intended to keep an operating process aligned with organizational intent.</w:t>
      </w:r>
    </w:p>
    <w:p>
      <w:pPr>
        <w:spacing w:after="0" w:before="0" w:line="480" w:lineRule="auto"/>
        <w:ind w:firstLine="720"/>
        <w:jc w:val="left"/>
      </w:pPr>
      <w:r>
        <w:rPr>
          <w:rFonts w:ascii="Times New Roman" w:cs="Times New Roman" w:eastAsia="Times New Roman" w:hAnsi="Times New Roman"/>
          <w:bCs w:val="false"/>
          <w:iCs w:val="false"/>
          <w:sz w:val="24"/>
          <w:szCs w:val="24"/>
        </w:rPr>
        <w:t>Three properties of this control have theoretical consequences.</w:t>
      </w:r>
    </w:p>
    <w:p>
      <w:pPr>
        <w:spacing w:after="0" w:before="0" w:line="480" w:lineRule="auto"/>
        <w:ind w:firstLine="720"/>
        <w:jc w:val="left"/>
      </w:pPr>
      <w:r>
        <w:rPr>
          <w:rFonts w:ascii="Times New Roman" w:cs="Times New Roman" w:eastAsia="Times New Roman" w:hAnsi="Times New Roman"/>
          <w:bCs w:val="false"/>
          <w:i/>
          <w:iCs/>
          <w:sz w:val="24"/>
          <w:szCs w:val="24"/>
        </w:rPr>
        <w:t>It is cheap relative to inspection.</w:t>
      </w:r>
      <w:r>
        <w:rPr>
          <w:rFonts w:ascii="Times New Roman" w:cs="Times New Roman" w:eastAsia="Times New Roman" w:hAnsi="Times New Roman"/>
          <w:bCs w:val="false"/>
          <w:iCs/>
          <w:sz w:val="24"/>
          <w:szCs w:val="24"/>
        </w:rPr>
        <w:t xml:space="preserve"> This is why it spreads, but it also means that the judge will be queried far more often than any human sample or gold checker, so beliefs will come to be updated mainly on the cheap instrument.</w:t>
      </w:r>
    </w:p>
    <w:p>
      <w:pPr>
        <w:spacing w:after="0" w:before="0" w:line="480" w:lineRule="auto"/>
        <w:ind w:firstLine="720"/>
        <w:jc w:val="left"/>
      </w:pPr>
      <w:r>
        <w:rPr>
          <w:rFonts w:ascii="Times New Roman" w:cs="Times New Roman" w:eastAsia="Times New Roman" w:hAnsi="Times New Roman"/>
          <w:bCs w:val="false"/>
          <w:i/>
          <w:iCs/>
          <w:sz w:val="24"/>
          <w:szCs w:val="24"/>
        </w:rPr>
        <w:t>It is endogenous to search.</w:t>
      </w:r>
      <w:r>
        <w:rPr>
          <w:rFonts w:ascii="Times New Roman" w:cs="Times New Roman" w:eastAsia="Times New Roman" w:hAnsi="Times New Roman"/>
          <w:bCs w:val="false"/>
          <w:iCs/>
          <w:sz w:val="24"/>
          <w:szCs w:val="24"/>
        </w:rPr>
        <w:t xml:space="preserve"> Once an optimizer is pointed at the judge, the judge is no longer only a measurement device; it becomes a training objective. Goodhart’s law is the informal statement of this problem. The IS version is that a control used as an objective ceases to be a control.</w:t>
      </w:r>
    </w:p>
    <w:p>
      <w:pPr>
        <w:spacing w:after="0" w:before="0" w:line="480" w:lineRule="auto"/>
        <w:ind w:firstLine="720"/>
        <w:jc w:val="left"/>
      </w:pPr>
      <w:r>
        <w:rPr>
          <w:rFonts w:ascii="Times New Roman" w:cs="Times New Roman" w:eastAsia="Times New Roman" w:hAnsi="Times New Roman"/>
          <w:bCs w:val="false"/>
          <w:i/>
          <w:iCs/>
          <w:sz w:val="24"/>
          <w:szCs w:val="24"/>
        </w:rPr>
        <w:t>It can be versioned without notice.</w:t>
      </w:r>
      <w:r>
        <w:rPr>
          <w:rFonts w:ascii="Times New Roman" w:cs="Times New Roman" w:eastAsia="Times New Roman" w:hAnsi="Times New Roman"/>
          <w:bCs w:val="false"/>
          <w:iCs/>
          <w:sz w:val="24"/>
          <w:szCs w:val="24"/>
        </w:rPr>
        <w:t xml:space="preserve"> Vendor endpoints change behind stable names, rubrics acquire an extra sentence, and few-shot blocks are quietly “improved.” Historical scores are then not a time series of </w:t>
      </w:r>
      <w:r>
        <w:rPr>
          <w:rFonts w:ascii="Times New Roman" w:cs="Times New Roman" w:eastAsia="Times New Roman" w:hAnsi="Times New Roman"/>
          <w:bCs w:val="false"/>
          <w:i/>
          <w:iCs/>
          <w:sz w:val="24"/>
          <w:szCs w:val="24"/>
        </w:rPr>
        <w:t>V</w:t>
      </w:r>
      <w:r>
        <w:rPr>
          <w:rFonts w:ascii="Times New Roman" w:cs="Times New Roman" w:eastAsia="Times New Roman" w:hAnsi="Times New Roman"/>
          <w:bCs w:val="false"/>
          <w:iCs/>
          <w:sz w:val="24"/>
          <w:szCs w:val="24"/>
        </w:rPr>
        <w:t xml:space="preserve"> but a time series of a changing observation equation.</w:t>
      </w:r>
    </w:p>
    <w:p>
      <w:pPr>
        <w:spacing w:after="0" w:before="0" w:line="480" w:lineRule="auto"/>
        <w:ind w:firstLine="720"/>
        <w:jc w:val="left"/>
      </w:pPr>
      <w:r>
        <w:rPr>
          <w:rFonts w:ascii="Times New Roman" w:cs="Times New Roman" w:eastAsia="Times New Roman" w:hAnsi="Times New Roman"/>
          <w:bCs w:val="false"/>
          <w:iCs w:val="false"/>
          <w:sz w:val="24"/>
          <w:szCs w:val="24"/>
        </w:rPr>
        <w:t>Recent technical work has documented that judges are not oracles and that rubrics constitute an attack surface. These findings are inputs to an IS theory rather than substitutes for one. The organizational question is how commitment should respond when the control that licenses commitment is cheap, endogenous, and movable.</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2.3  Measurement-System Risk</w:t>
      </w:r>
    </w:p>
    <w:p>
      <w:pPr>
        <w:spacing w:after="0" w:before="0" w:line="480" w:lineRule="auto"/>
        <w:ind w:firstLine="720"/>
        <w:jc w:val="left"/>
      </w:pPr>
      <w:r>
        <w:rPr>
          <w:rFonts w:ascii="Times New Roman" w:cs="Times New Roman" w:eastAsia="Times New Roman" w:hAnsi="Times New Roman"/>
          <w:bCs w:val="false"/>
          <w:iCs w:val="false"/>
          <w:sz w:val="24"/>
          <w:szCs w:val="24"/>
        </w:rPr>
        <w:t>IT risk management already distinguishes several loci of uncertainty (Benaroch et al., 2006). Measurement-system risk is the risk that the instrument used to observe V is biased, collapsing, or jumping. The observation equation can be written as</w:t>
      </w:r>
    </w:p>
    <w:p>
      <w:pPr>
        <w:tabs>
          <w:tab w:val="right" w:pos="9360"/>
        </w:tabs>
        <w:spacing w:after="160" w:before="160" w:line="480" w:lineRule="auto"/>
        <w:jc w:val="center"/>
      </w:pPr>
      <w:r>
        <w:rPr>
          <w:rFonts w:ascii="Times New Roman" w:cs="Times New Roman" w:eastAsia="Times New Roman" w:hAnsi="Times New Roman"/>
          <w:b w:val="false"/>
          <w:bCs w:val="false"/>
          <w:i/>
          <w:iCs/>
          <w:sz w:val="24"/>
          <w:szCs w:val="24"/>
        </w:rPr>
        <w:t xml:space="preserve">J</w:t>
      </w:r>
      <w:r>
        <w:rPr>
          <w:rFonts w:ascii="Times New Roman" w:cs="Times New Roman" w:eastAsia="Times New Roman" w:hAnsi="Times New Roman"/>
          <w:b w:val="false"/>
          <w:bCs w:val="false"/>
          <w:i w:val="false"/>
          <w:iCs w:val="false"/>
          <w:sz w:val="24"/>
          <w:szCs w:val="24"/>
          <w:vertAlign w:val="subscript"/>
        </w:rPr>
        <w:t xml:space="preserve">t</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i w:val="false"/>
          <w:iCs w:val="false"/>
          <w:sz w:val="24"/>
          <w:szCs w:val="24"/>
          <w:vertAlign w:val="subscript"/>
        </w:rPr>
        <w:t xml:space="preserve">t</w:t>
      </w:r>
      <w:r>
        <w:rPr>
          <w:rFonts w:ascii="Times New Roman" w:cs="Times New Roman" w:eastAsia="Times New Roman" w:hAnsi="Times New Roman"/>
          <w:b w:val="false"/>
          <w:bCs w:val="false"/>
          <w:i/>
          <w:iCs/>
          <w:sz w:val="24"/>
          <w:szCs w:val="24"/>
        </w:rPr>
        <w:t xml:space="preserve"> V</w:t>
      </w:r>
      <w:r>
        <w:rPr>
          <w:rFonts w:ascii="Times New Roman" w:cs="Times New Roman" w:eastAsia="Times New Roman" w:hAnsi="Times New Roman"/>
          <w:b w:val="false"/>
          <w:bCs w:val="false"/>
          <w:i w:val="false"/>
          <w:iCs w:val="false"/>
          <w:sz w:val="24"/>
          <w:szCs w:val="24"/>
          <w:vertAlign w:val="subscript"/>
        </w:rPr>
        <w:t xml:space="preserve">t</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b</w:t>
      </w:r>
      <w:r>
        <w:rPr>
          <w:rFonts w:ascii="Times New Roman" w:cs="Times New Roman" w:eastAsia="Times New Roman" w:hAnsi="Times New Roman"/>
          <w:b w:val="false"/>
          <w:bCs w:val="false"/>
          <w:i w:val="false"/>
          <w:iCs w:val="false"/>
          <w:sz w:val="24"/>
          <w:szCs w:val="24"/>
          <w:vertAlign w:val="subscript"/>
        </w:rPr>
        <w:t xml:space="preserve">t</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ε</w:t>
      </w:r>
      <w:r>
        <w:rPr>
          <w:rFonts w:ascii="Times New Roman" w:cs="Times New Roman" w:eastAsia="Times New Roman" w:hAnsi="Times New Roman"/>
          <w:b w:val="false"/>
          <w:bCs w:val="false"/>
          <w:i w:val="false"/>
          <w:iCs w:val="false"/>
          <w:sz w:val="24"/>
          <w:szCs w:val="24"/>
          <w:vertAlign w:val="subscript"/>
        </w:rPr>
        <w:t xml:space="preserve">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(1)</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Policy drift is a movement in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Judge drift is a jump in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b</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xml:space="preserve">). Optimization pressure is a process that searches over policies to raise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xml:space="preserve">, and it can raise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xml:space="preserve">, raise </w:t>
      </w:r>
      <w:r>
        <w:rPr>
          <w:rFonts w:ascii="Times New Roman" w:cs="Times New Roman" w:eastAsia="Times New Roman" w:hAnsi="Times New Roman"/>
          <w:bCs w:val="false"/>
          <w:i/>
          <w:iCs w:val="false"/>
          <w:sz w:val="24"/>
          <w:szCs w:val="24"/>
        </w:rPr>
        <w:t>b</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xml:space="preserve"> through rubric gaming, or do both.</w:t>
      </w:r>
    </w:p>
    <w:p>
      <w:pPr>
        <w:spacing w:after="0" w:before="0" w:line="480" w:lineRule="auto"/>
        <w:ind w:firstLine="720"/>
        <w:jc w:val="left"/>
      </w:pPr>
      <w:r>
        <w:rPr>
          <w:rFonts w:ascii="Times New Roman" w:cs="Times New Roman" w:eastAsia="Times New Roman" w:hAnsi="Times New Roman"/>
          <w:bCs w:val="false"/>
          <w:iCs w:val="false"/>
          <w:sz w:val="24"/>
          <w:szCs w:val="24"/>
        </w:rPr>
        <w:t>A mean computed on a holdout sample does not automatically guard against this risk. If the holdout mix contains items on which a cheat happens to be correct, the mean can rise even as performance falls on the cases that define organizational intent, such as refusals, abstentions, and citations that must not be invented. Inspection, as the term is used below, therefore does not mean more of the same tickets. It refers to a set of tickets constructed so that J and V are expected to disagree under the cheat the organization most fears.</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2.4  Green IT as an Options Cash Flow</w:t>
      </w:r>
    </w:p>
    <w:p>
      <w:pPr>
        <w:spacing w:after="0" w:before="0" w:line="480" w:lineRule="auto"/>
        <w:ind w:firstLine="720"/>
        <w:jc w:val="left"/>
      </w:pPr>
      <w:r>
        <w:rPr>
          <w:rFonts w:ascii="Times New Roman" w:cs="Times New Roman" w:eastAsia="Times New Roman" w:hAnsi="Times New Roman"/>
          <w:bCs w:val="false"/>
          <w:iCs w:val="false"/>
          <w:sz w:val="24"/>
          <w:szCs w:val="24"/>
        </w:rPr>
        <w:t>Green AI called for efficiency to be reported alongside accuracy and for results not to require ever-greater computational cost. Green IS asked how information systems create affordances for sustainable practice. Neither literature has had to price the standing energy demand of a maintenance loop in which a large judge is queried on every candidate, every night.</w:t>
      </w:r>
    </w:p>
    <w:p>
      <w:pPr>
        <w:spacing w:after="0" w:before="0" w:line="480" w:lineRule="auto"/>
        <w:ind w:firstLine="720"/>
        <w:jc w:val="left"/>
      </w:pPr>
      <w:r>
        <w:rPr>
          <w:rFonts w:ascii="Times New Roman" w:cs="Times New Roman" w:eastAsia="Times New Roman" w:hAnsi="Times New Roman"/>
          <w:bCs w:val="false"/>
          <w:iCs w:val="false"/>
          <w:sz w:val="24"/>
          <w:szCs w:val="24"/>
        </w:rPr>
        <w:t>This energy demand can itself be treated as an options object. Weekly energy use can be written as</w:t>
      </w:r>
    </w:p>
    <w:p>
      <w:pPr>
        <w:tabs>
          <w:tab w:val="right" w:pos="9360"/>
        </w:tabs>
        <w:spacing w:after="160" w:before="160" w:line="480" w:lineRule="auto"/>
        <w:jc w:val="center"/>
      </w:pPr>
      <w:r>
        <w:rPr>
          <w:rFonts w:ascii="Times New Roman" w:cs="Times New Roman" w:eastAsia="Times New Roman" w:hAnsi="Times New Roman"/>
          <w:b w:val="false"/>
          <w:bCs w:val="false"/>
          <w:i/>
          <w:iCs/>
          <w:sz w:val="24"/>
          <w:szCs w:val="24"/>
        </w:rPr>
        <w:t xml:space="preserve">E</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S</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e</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C</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e</w:t>
      </w:r>
      <w:r>
        <w:rPr>
          <w:rFonts w:ascii="Times New Roman" w:cs="Times New Roman" w:eastAsia="Times New Roman" w:hAnsi="Times New Roman"/>
          <w:b w:val="false"/>
          <w:bCs w:val="false"/>
          <w:i w:val="false"/>
          <w:iCs w:val="false"/>
          <w:sz w:val="24"/>
          <w:szCs w:val="24"/>
          <w:vertAlign w:val="subscript"/>
        </w:rPr>
        <w:t xml:space="preserve">G</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1</w:t>
      </w:r>
      <w:r>
        <w:rPr>
          <w:rFonts w:ascii="Times New Roman" w:cs="Times New Roman" w:eastAsia="Times New Roman" w:hAnsi="Times New Roman"/>
          <w:b w:val="false"/>
          <w:bCs w:val="false"/>
          <w:i w:val="false"/>
          <w:iCs w:val="false"/>
          <w:sz w:val="24"/>
          <w:szCs w:val="24"/>
          <w:vertAlign w:val="subscript"/>
        </w:rPr>
        <w:t xml:space="preserve">ship</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E</w:t>
      </w:r>
      <w:r>
        <w:rPr>
          <w:rFonts w:ascii="Times New Roman" w:cs="Times New Roman" w:eastAsia="Times New Roman" w:hAnsi="Times New Roman"/>
          <w:b w:val="false"/>
          <w:bCs w:val="false"/>
          <w:i w:val="false"/>
          <w:iCs w:val="false"/>
          <w:sz w:val="24"/>
          <w:szCs w:val="24"/>
          <w:vertAlign w:val="subscript"/>
        </w:rPr>
        <w:t xml:space="preserve">aftermath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(2)</w:t>
      </w:r>
    </w:p>
    <w:p>
      <w:pPr>
        <w:spacing w:after="0" w:before="0" w:line="480" w:lineRule="auto"/>
        <w:ind w:firstLine="720"/>
        <w:jc w:val="left"/>
      </w:pPr>
      <w:r>
        <w:rPr>
          <w:rFonts w:ascii="Times New Roman" w:cs="Times New Roman" w:eastAsia="Times New Roman" w:hAnsi="Times New Roman"/>
          <w:bCs w:val="false"/>
          <w:iCs/>
          <w:sz w:val="24"/>
          <w:szCs w:val="24"/>
        </w:rPr>
        <w:t xml:space="preserve">where </w:t>
      </w:r>
      <w:r>
        <w:rPr>
          <w:rFonts w:ascii="Times New Roman" w:cs="Times New Roman" w:eastAsia="Times New Roman" w:hAnsi="Times New Roman"/>
          <w:bCs w:val="false"/>
          <w:i/>
          <w:iCs/>
          <w:sz w:val="24"/>
          <w:szCs w:val="24"/>
        </w:rPr>
        <w:t>S</w:t>
      </w:r>
      <w:r>
        <w:rPr>
          <w:rFonts w:ascii="Times New Roman" w:cs="Times New Roman" w:eastAsia="Times New Roman" w:hAnsi="Times New Roman"/>
          <w:bCs w:val="false"/>
          <w:iCs/>
          <w:sz w:val="24"/>
          <w:szCs w:val="24"/>
        </w:rPr>
        <w:t xml:space="preserve"> is the number of search steps, </w:t>
      </w:r>
      <w:r>
        <w:rPr>
          <w:rFonts w:ascii="Times New Roman" w:cs="Times New Roman" w:eastAsia="Times New Roman" w:hAnsi="Times New Roman"/>
          <w:bCs w:val="false"/>
          <w:i/>
          <w:iCs/>
          <w:sz w:val="24"/>
          <w:szCs w:val="24"/>
        </w:rPr>
        <w:t>T</w:t>
      </w:r>
      <w:r>
        <w:rPr>
          <w:rFonts w:ascii="Times New Roman" w:cs="Times New Roman" w:eastAsia="Times New Roman" w:hAnsi="Times New Roman"/>
          <w:bCs w:val="false"/>
          <w:iCs/>
          <w:sz w:val="24"/>
          <w:szCs w:val="24"/>
        </w:rPr>
        <w:t xml:space="preserve"> the number of tickets per step, </w:t>
      </w:r>
      <w:r>
        <w:rPr>
          <w:rFonts w:ascii="Times New Roman" w:cs="Times New Roman" w:eastAsia="Times New Roman" w:hAnsi="Times New Roman"/>
          <w:bCs w:val="false"/>
          <w:i/>
          <w:iCs/>
          <w:sz w:val="24"/>
          <w:szCs w:val="24"/>
        </w:rPr>
        <w:t>e</w:t>
      </w:r>
      <w:r>
        <w:rPr>
          <w:rFonts w:ascii="Times New Roman" w:cs="Times New Roman" w:eastAsia="Times New Roman" w:hAnsi="Times New Roman"/>
          <w:bCs w:val="false"/>
          <w:i/>
          <w:iCs/>
          <w:sz w:val="24"/>
          <w:szCs w:val="24"/>
          <w:vertAlign w:val="subscript"/>
        </w:rPr>
        <w:t>J</w:t>
      </w:r>
      <w:r>
        <w:rPr>
          <w:rFonts w:ascii="Times New Roman" w:cs="Times New Roman" w:eastAsia="Times New Roman" w:hAnsi="Times New Roman"/>
          <w:bCs w:val="false"/>
          <w:iCs/>
          <w:sz w:val="24"/>
          <w:szCs w:val="24"/>
        </w:rPr>
        <w:t xml:space="preserve"> the energy per judge call, </w:t>
      </w:r>
      <w:r>
        <w:rPr>
          <w:rFonts w:ascii="Times New Roman" w:cs="Times New Roman" w:eastAsia="Times New Roman" w:hAnsi="Times New Roman"/>
          <w:bCs w:val="false"/>
          <w:i/>
          <w:iCs/>
          <w:sz w:val="24"/>
          <w:szCs w:val="24"/>
        </w:rPr>
        <w:t>C</w:t>
      </w:r>
      <w:r>
        <w:rPr>
          <w:rFonts w:ascii="Times New Roman" w:cs="Times New Roman" w:eastAsia="Times New Roman" w:hAnsi="Times New Roman"/>
          <w:bCs w:val="false"/>
          <w:iCs/>
          <w:sz w:val="24"/>
          <w:szCs w:val="24"/>
        </w:rPr>
        <w:t xml:space="preserve"> the number of inspections, </w:t>
      </w:r>
      <w:r>
        <w:rPr>
          <w:rFonts w:ascii="Times New Roman" w:cs="Times New Roman" w:eastAsia="Times New Roman" w:hAnsi="Times New Roman"/>
          <w:bCs w:val="false"/>
          <w:i/>
          <w:iCs/>
          <w:sz w:val="24"/>
          <w:szCs w:val="24"/>
        </w:rPr>
        <w:t>e</w:t>
      </w:r>
      <w:r>
        <w:rPr>
          <w:rFonts w:ascii="Times New Roman" w:cs="Times New Roman" w:eastAsia="Times New Roman" w:hAnsi="Times New Roman"/>
          <w:bCs w:val="false"/>
          <w:i/>
          <w:iCs/>
          <w:sz w:val="24"/>
          <w:szCs w:val="24"/>
          <w:vertAlign w:val="subscript"/>
        </w:rPr>
        <w:t>G</w:t>
      </w:r>
      <w:r>
        <w:rPr>
          <w:rFonts w:ascii="Times New Roman" w:cs="Times New Roman" w:eastAsia="Times New Roman" w:hAnsi="Times New Roman"/>
          <w:bCs w:val="false"/>
          <w:iCs/>
          <w:sz w:val="24"/>
          <w:szCs w:val="24"/>
        </w:rPr>
        <w:t xml:space="preserve"> the energy (or labor-energy) of one inspection, </w:t>
      </w:r>
      <w:r>
        <w:rPr>
          <w:rFonts w:ascii="Times New Roman" w:cs="Times New Roman" w:eastAsia="Times New Roman" w:hAnsi="Times New Roman"/>
          <w:bCs w:val="false"/>
          <w:i/>
          <w:iCs/>
          <w:sz w:val="24"/>
          <w:szCs w:val="24"/>
        </w:rPr>
        <w:t>1</w:t>
      </w:r>
      <w:r>
        <w:rPr>
          <w:rFonts w:ascii="Times New Roman" w:cs="Times New Roman" w:eastAsia="Times New Roman" w:hAnsi="Times New Roman"/>
          <w:bCs w:val="false"/>
          <w:i/>
          <w:iCs/>
          <w:sz w:val="24"/>
          <w:szCs w:val="24"/>
          <w:vertAlign w:val="subscript"/>
        </w:rPr>
        <w:t>ship</w:t>
      </w:r>
      <w:r>
        <w:rPr>
          <w:rFonts w:ascii="Times New Roman" w:cs="Times New Roman" w:eastAsia="Times New Roman" w:hAnsi="Times New Roman"/>
          <w:bCs w:val="false"/>
          <w:iCs/>
          <w:sz w:val="24"/>
          <w:szCs w:val="24"/>
        </w:rPr>
        <w:t xml:space="preserve"> an indicator that equals one when a candidate is shipped, and </w:t>
      </w:r>
      <w:r>
        <w:rPr>
          <w:rFonts w:ascii="Times New Roman" w:cs="Times New Roman" w:eastAsia="Times New Roman" w:hAnsi="Times New Roman"/>
          <w:bCs w:val="false"/>
          <w:i/>
          <w:iCs/>
          <w:sz w:val="24"/>
          <w:szCs w:val="24"/>
        </w:rPr>
        <w:t>E</w:t>
      </w:r>
      <w:r>
        <w:rPr>
          <w:rFonts w:ascii="Times New Roman" w:cs="Times New Roman" w:eastAsia="Times New Roman" w:hAnsi="Times New Roman"/>
          <w:bCs w:val="false"/>
          <w:i/>
          <w:iCs/>
          <w:sz w:val="24"/>
          <w:szCs w:val="24"/>
          <w:vertAlign w:val="subscript"/>
        </w:rPr>
        <w:t>aftermath</w:t>
      </w:r>
      <w:r>
        <w:rPr>
          <w:rFonts w:ascii="Times New Roman" w:cs="Times New Roman" w:eastAsia="Times New Roman" w:hAnsi="Times New Roman"/>
          <w:bCs w:val="false"/>
          <w:iCs/>
          <w:sz w:val="24"/>
          <w:szCs w:val="24"/>
        </w:rPr>
        <w:t xml:space="preserve"> the energy cost of a release, including the next fine-tune if the release was a mistake.</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A protocol that promotes on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xml:space="preserve"> inflates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T</w:t>
      </w:r>
      <w:r>
        <w:rPr>
          <w:rFonts w:ascii="Times New Roman" w:cs="Times New Roman" w:eastAsia="Times New Roman" w:hAnsi="Times New Roman"/>
          <w:bCs w:val="false"/>
          <w:iCs w:val="false"/>
          <w:sz w:val="24"/>
          <w:szCs w:val="24"/>
        </w:rPr>
        <w:t xml:space="preserve">, and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
          <w:iCs w:val="false"/>
          <w:sz w:val="24"/>
          <w:szCs w:val="24"/>
          <w:vertAlign w:val="subscript"/>
        </w:rPr>
        <w:t>J</w:t>
      </w:r>
      <w:r>
        <w:rPr>
          <w:rFonts w:ascii="Times New Roman" w:cs="Times New Roman" w:eastAsia="Times New Roman" w:hAnsi="Times New Roman"/>
          <w:bCs w:val="false"/>
          <w:iCs w:val="false"/>
          <w:sz w:val="24"/>
          <w:szCs w:val="24"/>
        </w:rPr>
        <w:t xml:space="preserve">, and it sets </w:t>
      </w:r>
      <w:r>
        <w:rPr>
          <w:rFonts w:ascii="Times New Roman" w:cs="Times New Roman" w:eastAsia="Times New Roman" w:hAnsi="Times New Roman"/>
          <w:bCs w:val="false"/>
          <w:i/>
          <w:iCs w:val="false"/>
          <w:sz w:val="24"/>
          <w:szCs w:val="24"/>
        </w:rPr>
        <w:t>1</w:t>
      </w:r>
      <w:r>
        <w:rPr>
          <w:rFonts w:ascii="Times New Roman" w:cs="Times New Roman" w:eastAsia="Times New Roman" w:hAnsi="Times New Roman"/>
          <w:bCs w:val="false"/>
          <w:i/>
          <w:iCs w:val="false"/>
          <w:sz w:val="24"/>
          <w:szCs w:val="24"/>
          <w:vertAlign w:val="subscript"/>
        </w:rPr>
        <w:t>ship</w:t>
      </w:r>
      <w:r>
        <w:rPr>
          <w:rFonts w:ascii="Times New Roman" w:cs="Times New Roman" w:eastAsia="Times New Roman" w:hAnsi="Times New Roman"/>
          <w:bCs w:val="false"/>
          <w:iCs w:val="false"/>
          <w:sz w:val="24"/>
          <w:szCs w:val="24"/>
        </w:rPr>
        <w:t xml:space="preserve"> = 1 whenever the quote ticks upward. A protocol that instead pays for inspection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on a CPU, and declines to exercise until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agrees, shrinks the search term and, more importantly, avoids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
          <w:iCs w:val="false"/>
          <w:sz w:val="24"/>
          <w:szCs w:val="24"/>
          <w:vertAlign w:val="subscript"/>
        </w:rPr>
        <w:t>aftermath</w:t>
      </w:r>
      <w:r>
        <w:rPr>
          <w:rFonts w:ascii="Times New Roman" w:cs="Times New Roman" w:eastAsia="Times New Roman" w:hAnsi="Times New Roman"/>
          <w:bCs w:val="false"/>
          <w:iCs w:val="false"/>
          <w:sz w:val="24"/>
          <w:szCs w:val="24"/>
        </w:rPr>
        <w:t xml:space="preserve">. Waiting is thus a green cash flow, and it is also </w:t>
      </w:r>
      <w:r>
        <w:rPr>
          <w:rFonts w:ascii="Times New Roman" w:cs="Times New Roman" w:eastAsia="Times New Roman" w:hAnsi="Times New Roman"/>
          <w:bCs w:val="false"/>
          <w:i/>
          <w:iCs w:val="false"/>
          <w:sz w:val="24"/>
          <w:szCs w:val="24"/>
        </w:rPr>
        <w:t>F</w:t>
      </w:r>
      <w:r>
        <w:rPr>
          <w:rFonts w:ascii="Times New Roman" w:cs="Times New Roman" w:eastAsia="Times New Roman" w:hAnsi="Times New Roman"/>
          <w:bCs w:val="false"/>
          <w:iCs w:val="false"/>
          <w:sz w:val="24"/>
          <w:szCs w:val="24"/>
        </w:rPr>
        <w:t xml:space="preserve"> expressed in watt-hours.</w:t>
      </w:r>
    </w:p>
    <w:p>
      <w:pPr>
        <w:spacing w:after="0" w:before="0" w:line="480" w:lineRule="auto"/>
        <w:ind w:firstLine="720"/>
        <w:jc w:val="left"/>
      </w:pPr>
      <w:r>
        <w:rPr>
          <w:rFonts w:ascii="Times New Roman" w:cs="Times New Roman" w:eastAsia="Times New Roman" w:hAnsi="Times New Roman"/>
          <w:bCs w:val="false"/>
          <w:iCs w:val="false"/>
          <w:sz w:val="24"/>
          <w:szCs w:val="24"/>
        </w:rPr>
        <w:t>The small laboratory in this paper is therefore more than an accounting exhibit; it is also a green first stage. The gold standard is a regular expression, the canaries are two tickets, and the open 135M judge runs on a CPU. Scaling up the judge before these objects exist would spend I on a more elaborate quote without first buying the inspection that the exercise rule requires. Green IT and real options recommend the same sequence: inspect cheaply, ship rarely, and reserve the cluster for a later call that G has shown to be attached to V.</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 xml:space="preserve">3  A REAL OPTIONS MODEL OF GENERATIVE MAINTENANCE</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3.1  Objects</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Let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xml:space="preserve"> denote the value of operating the current generative policy on the work that the organization cares about.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xml:space="preserve"> is not observed directly, and two instruments are available. The judge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xml:space="preserve"> is cheap and follows Equation 1. An inspection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xml:space="preserve"> is costly; it may be a deterministic gold checker where one exists, a calibrated human sample, or a canary battery. The defining property of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is that the optimizer searching on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xml:space="preserve"> does not train on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w:t>
      </w:r>
    </w:p>
    <w:p>
      <w:pPr>
        <w:spacing w:after="0" w:before="0" w:line="480" w:lineRule="auto"/>
        <w:ind w:firstLine="720"/>
        <w:jc w:val="left"/>
      </w:pPr>
      <w:r>
        <w:rPr>
          <w:rFonts w:ascii="Times New Roman" w:cs="Times New Roman" w:eastAsia="Times New Roman" w:hAnsi="Times New Roman"/>
          <w:bCs w:val="false"/>
          <w:iCs w:val="false"/>
          <w:sz w:val="24"/>
          <w:szCs w:val="24"/>
        </w:rPr>
        <w:t>A promotion at time t replaces the live policy with a candidate at a sunk cost I. This cost includes engineering time, on-call risk, and the contamination of future logs. Once a promotion has occurred, rolling back does not restore the status quo ante, because the flywheel has already turned. Rollback is therefore not a free put but a new project.</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3.2  The Option Menu</w:t>
      </w:r>
    </w:p>
    <w:p>
      <w:pPr>
        <w:spacing w:after="0" w:before="0" w:line="480" w:lineRule="auto"/>
        <w:ind w:firstLine="720"/>
        <w:jc w:val="left"/>
      </w:pPr>
      <w:r>
        <w:rPr>
          <w:rFonts w:ascii="Times New Roman" w:cs="Times New Roman" w:eastAsia="Times New Roman" w:hAnsi="Times New Roman"/>
          <w:bCs w:val="false"/>
          <w:iCs w:val="false"/>
          <w:sz w:val="24"/>
          <w:szCs w:val="24"/>
        </w:rPr>
        <w:t>The maintenance program is a compound option on V with a noisy and possibly jumping quote J.</w:t>
      </w:r>
    </w:p>
    <w:p>
      <w:pPr>
        <w:spacing w:after="0" w:before="0" w:line="480" w:lineRule="auto"/>
        <w:ind w:firstLine="720"/>
        <w:jc w:val="left"/>
      </w:pPr>
      <w:r>
        <w:rPr>
          <w:rFonts w:ascii="Times New Roman" w:cs="Times New Roman" w:eastAsia="Times New Roman" w:hAnsi="Times New Roman"/>
          <w:bCs w:val="false"/>
          <w:i/>
          <w:iCs/>
          <w:sz w:val="24"/>
          <w:szCs w:val="24"/>
        </w:rPr>
        <w:t>The option to wait</w:t>
      </w:r>
      <w:r>
        <w:rPr>
          <w:rFonts w:ascii="Times New Roman" w:cs="Times New Roman" w:eastAsia="Times New Roman" w:hAnsi="Times New Roman"/>
          <w:bCs w:val="false"/>
          <w:iCs/>
          <w:sz w:val="24"/>
          <w:szCs w:val="24"/>
        </w:rPr>
        <w:t xml:space="preserve"> is the right not to promote when </w:t>
      </w:r>
      <w:r>
        <w:rPr>
          <w:rFonts w:ascii="Times New Roman" w:cs="Times New Roman" w:eastAsia="Times New Roman" w:hAnsi="Times New Roman"/>
          <w:bCs w:val="false"/>
          <w:i/>
          <w:iCs/>
          <w:sz w:val="24"/>
          <w:szCs w:val="24"/>
        </w:rPr>
        <w:t>J</w:t>
      </w:r>
      <w:r>
        <w:rPr>
          <w:rFonts w:ascii="Times New Roman" w:cs="Times New Roman" w:eastAsia="Times New Roman" w:hAnsi="Times New Roman"/>
          <w:bCs w:val="false"/>
          <w:iCs/>
          <w:sz w:val="24"/>
          <w:szCs w:val="24"/>
        </w:rPr>
        <w:t xml:space="preserve"> rises. Its value </w:t>
      </w:r>
      <w:r>
        <w:rPr>
          <w:rFonts w:ascii="Times New Roman" w:cs="Times New Roman" w:eastAsia="Times New Roman" w:hAnsi="Times New Roman"/>
          <w:bCs w:val="false"/>
          <w:i/>
          <w:iCs/>
          <w:sz w:val="24"/>
          <w:szCs w:val="24"/>
        </w:rPr>
        <w:t>F</w:t>
      </w:r>
      <w:r>
        <w:rPr>
          <w:rFonts w:ascii="Times New Roman" w:cs="Times New Roman" w:eastAsia="Times New Roman" w:hAnsi="Times New Roman"/>
          <w:bCs w:val="false"/>
          <w:iCs/>
          <w:sz w:val="24"/>
          <w:szCs w:val="24"/>
        </w:rPr>
        <w:t xml:space="preserve"> increases with the volatility of </w:t>
      </w:r>
      <w:r>
        <w:rPr>
          <w:rFonts w:ascii="Times New Roman" w:cs="Times New Roman" w:eastAsia="Times New Roman" w:hAnsi="Times New Roman"/>
          <w:bCs w:val="false"/>
          <w:i/>
          <w:iCs/>
          <w:sz w:val="24"/>
          <w:szCs w:val="24"/>
        </w:rPr>
        <w:t>J</w:t>
      </w:r>
      <w:r>
        <w:rPr>
          <w:rFonts w:ascii="Times New Roman" w:cs="Times New Roman" w:eastAsia="Times New Roman" w:hAnsi="Times New Roman"/>
          <w:bCs w:val="false"/>
          <w:iCs/>
          <w:sz w:val="24"/>
          <w:szCs w:val="24"/>
        </w:rPr>
        <w:t xml:space="preserve"> given </w:t>
      </w:r>
      <w:r>
        <w:rPr>
          <w:rFonts w:ascii="Times New Roman" w:cs="Times New Roman" w:eastAsia="Times New Roman" w:hAnsi="Times New Roman"/>
          <w:bCs w:val="false"/>
          <w:i/>
          <w:iCs/>
          <w:sz w:val="24"/>
          <w:szCs w:val="24"/>
        </w:rPr>
        <w:t>V</w:t>
      </w:r>
      <w:r>
        <w:rPr>
          <w:rFonts w:ascii="Times New Roman" w:cs="Times New Roman" w:eastAsia="Times New Roman" w:hAnsi="Times New Roman"/>
          <w:bCs w:val="false"/>
          <w:iCs/>
          <w:sz w:val="24"/>
          <w:szCs w:val="24"/>
        </w:rPr>
        <w:t xml:space="preserve"> and with the probability of a ruler jump. A collapsed judge, whose scores barely move across policies, raises </w:t>
      </w:r>
      <w:r>
        <w:rPr>
          <w:rFonts w:ascii="Times New Roman" w:cs="Times New Roman" w:eastAsia="Times New Roman" w:hAnsi="Times New Roman"/>
          <w:bCs w:val="false"/>
          <w:i/>
          <w:iCs/>
          <w:sz w:val="24"/>
          <w:szCs w:val="24"/>
        </w:rPr>
        <w:t>F</w:t>
      </w:r>
      <w:r>
        <w:rPr>
          <w:rFonts w:ascii="Times New Roman" w:cs="Times New Roman" w:eastAsia="Times New Roman" w:hAnsi="Times New Roman"/>
          <w:bCs w:val="false"/>
          <w:iCs/>
          <w:sz w:val="24"/>
          <w:szCs w:val="24"/>
        </w:rPr>
        <w:t xml:space="preserve"> because the quote carries almost no information. A highly sensitive but hackable judge also raises </w:t>
      </w:r>
      <w:r>
        <w:rPr>
          <w:rFonts w:ascii="Times New Roman" w:cs="Times New Roman" w:eastAsia="Times New Roman" w:hAnsi="Times New Roman"/>
          <w:bCs w:val="false"/>
          <w:i/>
          <w:iCs/>
          <w:sz w:val="24"/>
          <w:szCs w:val="24"/>
        </w:rPr>
        <w:t>F</w:t>
      </w:r>
      <w:r>
        <w:rPr>
          <w:rFonts w:ascii="Times New Roman" w:cs="Times New Roman" w:eastAsia="Times New Roman" w:hAnsi="Times New Roman"/>
          <w:bCs w:val="false"/>
          <w:iCs/>
          <w:sz w:val="24"/>
          <w:szCs w:val="24"/>
        </w:rPr>
        <w:t xml:space="preserve">, because the quote can be moved without moving </w:t>
      </w:r>
      <w:r>
        <w:rPr>
          <w:rFonts w:ascii="Times New Roman" w:cs="Times New Roman" w:eastAsia="Times New Roman" w:hAnsi="Times New Roman"/>
          <w:bCs w:val="false"/>
          <w:i/>
          <w:iCs/>
          <w:sz w:val="24"/>
          <w:szCs w:val="24"/>
        </w:rPr>
        <w:t>V</w:t>
      </w:r>
      <w:r>
        <w:rPr>
          <w:rFonts w:ascii="Times New Roman" w:cs="Times New Roman" w:eastAsia="Times New Roman" w:hAnsi="Times New Roman"/>
          <w:bCs w:val="false"/>
          <w:iCs/>
          <w:sz w:val="24"/>
          <w:szCs w:val="24"/>
        </w:rPr>
        <w:t>.</w:t>
      </w:r>
    </w:p>
    <w:p>
      <w:pPr>
        <w:spacing w:after="0" w:before="0" w:line="480" w:lineRule="auto"/>
        <w:ind w:firstLine="720"/>
        <w:jc w:val="left"/>
      </w:pPr>
      <w:r>
        <w:rPr>
          <w:rFonts w:ascii="Times New Roman" w:cs="Times New Roman" w:eastAsia="Times New Roman" w:hAnsi="Times New Roman"/>
          <w:bCs w:val="false"/>
          <w:i/>
          <w:iCs/>
          <w:sz w:val="24"/>
          <w:szCs w:val="24"/>
        </w:rPr>
        <w:t>The option to pilot</w:t>
      </w:r>
      <w:r>
        <w:rPr>
          <w:rFonts w:ascii="Times New Roman" w:cs="Times New Roman" w:eastAsia="Times New Roman" w:hAnsi="Times New Roman"/>
          <w:bCs w:val="false"/>
          <w:iCs/>
          <w:sz w:val="24"/>
          <w:szCs w:val="24"/>
        </w:rPr>
        <w:t xml:space="preserve"> is a compound call. A shadow cohort or a one-percent release pays a small </w:t>
      </w:r>
      <w:r>
        <w:rPr>
          <w:rFonts w:ascii="Times New Roman" w:cs="Times New Roman" w:eastAsia="Times New Roman" w:hAnsi="Times New Roman"/>
          <w:bCs w:val="false"/>
          <w:i/>
          <w:iCs/>
          <w:sz w:val="24"/>
          <w:szCs w:val="24"/>
        </w:rPr>
        <w:t>I</w:t>
      </w:r>
      <w:r>
        <w:rPr>
          <w:rFonts w:ascii="Times New Roman" w:cs="Times New Roman" w:eastAsia="Times New Roman" w:hAnsi="Times New Roman"/>
          <w:bCs w:val="false"/>
          <w:i/>
          <w:iCs/>
          <w:sz w:val="24"/>
          <w:szCs w:val="24"/>
          <w:vertAlign w:val="subscript"/>
        </w:rPr>
        <w:t>1</w:t>
      </w:r>
      <w:r>
        <w:rPr>
          <w:rFonts w:ascii="Times New Roman" w:cs="Times New Roman" w:eastAsia="Times New Roman" w:hAnsi="Times New Roman"/>
          <w:bCs w:val="false"/>
          <w:iCs/>
          <w:sz w:val="24"/>
          <w:szCs w:val="24"/>
        </w:rPr>
        <w:t xml:space="preserve"> to obtain information about </w:t>
      </w:r>
      <w:r>
        <w:rPr>
          <w:rFonts w:ascii="Times New Roman" w:cs="Times New Roman" w:eastAsia="Times New Roman" w:hAnsi="Times New Roman"/>
          <w:bCs w:val="false"/>
          <w:i/>
          <w:iCs/>
          <w:sz w:val="24"/>
          <w:szCs w:val="24"/>
        </w:rPr>
        <w:t>V</w:t>
      </w:r>
      <w:r>
        <w:rPr>
          <w:rFonts w:ascii="Times New Roman" w:cs="Times New Roman" w:eastAsia="Times New Roman" w:hAnsi="Times New Roman"/>
          <w:bCs w:val="false"/>
          <w:iCs/>
          <w:sz w:val="24"/>
          <w:szCs w:val="24"/>
        </w:rPr>
        <w:t xml:space="preserve"> without paying the full </w:t>
      </w:r>
      <w:r>
        <w:rPr>
          <w:rFonts w:ascii="Times New Roman" w:cs="Times New Roman" w:eastAsia="Times New Roman" w:hAnsi="Times New Roman"/>
          <w:bCs w:val="false"/>
          <w:i/>
          <w:iCs/>
          <w:sz w:val="24"/>
          <w:szCs w:val="24"/>
        </w:rPr>
        <w:t>I</w:t>
      </w:r>
      <w:r>
        <w:rPr>
          <w:rFonts w:ascii="Times New Roman" w:cs="Times New Roman" w:eastAsia="Times New Roman" w:hAnsi="Times New Roman"/>
          <w:bCs w:val="false"/>
          <w:iCs/>
          <w:sz w:val="24"/>
          <w:szCs w:val="24"/>
        </w:rPr>
        <w:t>. Tewari (2026) argues that faster frontier change raises the value of piloting while raising, rather than lowering, the bar for irreversible commitment. Weekly generative maintenance is a high-frequency version of this timing problem.</w:t>
      </w:r>
    </w:p>
    <w:p>
      <w:pPr>
        <w:spacing w:after="0" w:before="0" w:line="480" w:lineRule="auto"/>
        <w:ind w:firstLine="720"/>
        <w:jc w:val="left"/>
      </w:pPr>
      <w:r>
        <w:rPr>
          <w:rFonts w:ascii="Times New Roman" w:cs="Times New Roman" w:eastAsia="Times New Roman" w:hAnsi="Times New Roman"/>
          <w:bCs w:val="false"/>
          <w:i/>
          <w:iCs/>
          <w:sz w:val="24"/>
          <w:szCs w:val="24"/>
        </w:rPr>
        <w:t>The option to abandon</w:t>
      </w:r>
      <w:r>
        <w:rPr>
          <w:rFonts w:ascii="Times New Roman" w:cs="Times New Roman" w:eastAsia="Times New Roman" w:hAnsi="Times New Roman"/>
          <w:bCs w:val="false"/>
          <w:iCs/>
          <w:sz w:val="24"/>
          <w:szCs w:val="24"/>
        </w:rPr>
        <w:t xml:space="preserve"> is a put on the candidate. Exercising it can look like a political failure when the judge has printed a personal best, but in the ledger it is precisely the point of staging.</w:t>
      </w:r>
    </w:p>
    <w:p>
      <w:pPr>
        <w:spacing w:after="0" w:before="0" w:line="480" w:lineRule="auto"/>
        <w:ind w:firstLine="720"/>
        <w:jc w:val="left"/>
      </w:pPr>
      <w:r>
        <w:rPr>
          <w:rFonts w:ascii="Times New Roman" w:cs="Times New Roman" w:eastAsia="Times New Roman" w:hAnsi="Times New Roman"/>
          <w:bCs w:val="false"/>
          <w:i/>
          <w:iCs/>
          <w:sz w:val="24"/>
          <w:szCs w:val="24"/>
        </w:rPr>
        <w:t>The option to switch the ruler</w:t>
      </w:r>
      <w:r>
        <w:rPr>
          <w:rFonts w:ascii="Times New Roman" w:cs="Times New Roman" w:eastAsia="Times New Roman" w:hAnsi="Times New Roman"/>
          <w:bCs w:val="false"/>
          <w:iCs/>
          <w:sz w:val="24"/>
          <w:szCs w:val="24"/>
        </w:rPr>
        <w:t xml:space="preserve"> does not appear in the classical IT option menu. It is the right to refuse to compare </w:t>
      </w:r>
      <w:r>
        <w:rPr>
          <w:rFonts w:ascii="Times New Roman" w:cs="Times New Roman" w:eastAsia="Times New Roman" w:hAnsi="Times New Roman"/>
          <w:bCs w:val="false"/>
          <w:i/>
          <w:iCs/>
          <w:sz w:val="24"/>
          <w:szCs w:val="24"/>
        </w:rPr>
        <w:t>J</w:t>
      </w:r>
      <w:r>
        <w:rPr>
          <w:rFonts w:ascii="Times New Roman" w:cs="Times New Roman" w:eastAsia="Times New Roman" w:hAnsi="Times New Roman"/>
          <w:bCs w:val="false"/>
          <w:i/>
          <w:iCs/>
          <w:sz w:val="24"/>
          <w:szCs w:val="24"/>
          <w:vertAlign w:val="subscript"/>
        </w:rPr>
        <w:t>t</w:t>
      </w:r>
      <w:r>
        <w:rPr>
          <w:rFonts w:ascii="Times New Roman" w:cs="Times New Roman" w:eastAsia="Times New Roman" w:hAnsi="Times New Roman"/>
          <w:bCs w:val="false"/>
          <w:iCs/>
          <w:sz w:val="24"/>
          <w:szCs w:val="24"/>
        </w:rPr>
        <w:t xml:space="preserve"> with </w:t>
      </w:r>
      <w:r>
        <w:rPr>
          <w:rFonts w:ascii="Times New Roman" w:cs="Times New Roman" w:eastAsia="Times New Roman" w:hAnsi="Times New Roman"/>
          <w:bCs w:val="false"/>
          <w:i/>
          <w:iCs/>
          <w:sz w:val="24"/>
          <w:szCs w:val="24"/>
        </w:rPr>
        <w:t>J</w:t>
      </w:r>
      <w:r>
        <w:rPr>
          <w:rFonts w:ascii="Times New Roman" w:cs="Times New Roman" w:eastAsia="Times New Roman" w:hAnsi="Times New Roman"/>
          <w:bCs w:val="false"/>
          <w:i/>
          <w:iCs/>
          <w:sz w:val="24"/>
          <w:szCs w:val="24"/>
          <w:vertAlign w:val="subscript"/>
        </w:rPr>
        <w:t>t−k</w:t>
      </w:r>
      <w:r>
        <w:rPr>
          <w:rFonts w:ascii="Times New Roman" w:cs="Times New Roman" w:eastAsia="Times New Roman" w:hAnsi="Times New Roman"/>
          <w:bCs w:val="false"/>
          <w:iCs/>
          <w:sz w:val="24"/>
          <w:szCs w:val="24"/>
        </w:rPr>
        <w:t xml:space="preserve"> after a suspected jump in (</w:t>
      </w:r>
      <w:r>
        <w:rPr>
          <w:rFonts w:ascii="Times New Roman" w:cs="Times New Roman" w:eastAsia="Times New Roman" w:hAnsi="Times New Roman"/>
          <w:bCs w:val="false"/>
          <w:i/>
          <w:iCs/>
          <w:sz w:val="24"/>
          <w:szCs w:val="24"/>
        </w:rPr>
        <w:t>a</w:t>
      </w:r>
      <w:r>
        <w:rPr>
          <w:rFonts w:ascii="Times New Roman" w:cs="Times New Roman" w:eastAsia="Times New Roman" w:hAnsi="Times New Roman"/>
          <w:bCs w:val="false"/>
          <w:i/>
          <w:iCs/>
          <w:sz w:val="24"/>
          <w:szCs w:val="24"/>
          <w:vertAlign w:val="subscript"/>
        </w:rPr>
        <w:t>t</w:t>
      </w:r>
      <w:r>
        <w:rPr>
          <w:rFonts w:ascii="Times New Roman" w:cs="Times New Roman" w:eastAsia="Times New Roman" w:hAnsi="Times New Roman"/>
          <w:bCs w:val="false"/>
          <w:iCs/>
          <w:sz w:val="24"/>
          <w:szCs w:val="24"/>
        </w:rPr>
        <w:t xml:space="preserve">, </w:t>
      </w:r>
      <w:r>
        <w:rPr>
          <w:rFonts w:ascii="Times New Roman" w:cs="Times New Roman" w:eastAsia="Times New Roman" w:hAnsi="Times New Roman"/>
          <w:bCs w:val="false"/>
          <w:i/>
          <w:iCs/>
          <w:sz w:val="24"/>
          <w:szCs w:val="24"/>
        </w:rPr>
        <w:t>b</w:t>
      </w:r>
      <w:r>
        <w:rPr>
          <w:rFonts w:ascii="Times New Roman" w:cs="Times New Roman" w:eastAsia="Times New Roman" w:hAnsi="Times New Roman"/>
          <w:bCs w:val="false"/>
          <w:i/>
          <w:iCs/>
          <w:sz w:val="24"/>
          <w:szCs w:val="24"/>
          <w:vertAlign w:val="subscript"/>
        </w:rPr>
        <w:t>t</w:t>
      </w:r>
      <w:r>
        <w:rPr>
          <w:rFonts w:ascii="Times New Roman" w:cs="Times New Roman" w:eastAsia="Times New Roman" w:hAnsi="Times New Roman"/>
          <w:bCs w:val="false"/>
          <w:iCs/>
          <w:sz w:val="24"/>
          <w:szCs w:val="24"/>
        </w:rPr>
        <w:t xml:space="preserve">), together with the right to spend inspection budget on re-estimating the observation equation against </w:t>
      </w:r>
      <w:r>
        <w:rPr>
          <w:rFonts w:ascii="Times New Roman" w:cs="Times New Roman" w:eastAsia="Times New Roman" w:hAnsi="Times New Roman"/>
          <w:bCs w:val="false"/>
          <w:i/>
          <w:iCs/>
          <w:sz w:val="24"/>
          <w:szCs w:val="24"/>
        </w:rPr>
        <w:t>G</w:t>
      </w:r>
      <w:r>
        <w:rPr>
          <w:rFonts w:ascii="Times New Roman" w:cs="Times New Roman" w:eastAsia="Times New Roman" w:hAnsi="Times New Roman"/>
          <w:bCs w:val="false"/>
          <w:iCs/>
          <w:sz w:val="24"/>
          <w:szCs w:val="24"/>
        </w:rPr>
        <w:t xml:space="preserve"> before any promotion is considered. Pinning a judge version is the decision to keep that option alive.</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3.3  Exercise Rule</w:t>
      </w:r>
    </w:p>
    <w:p>
      <w:pPr>
        <w:spacing w:after="0" w:before="0" w:line="480" w:lineRule="auto"/>
        <w:ind w:firstLine="720"/>
        <w:jc w:val="left"/>
      </w:pPr>
      <w:r>
        <w:rPr>
          <w:rFonts w:ascii="Times New Roman" w:cs="Times New Roman" w:eastAsia="Times New Roman" w:hAnsi="Times New Roman"/>
          <w:bCs w:val="false"/>
          <w:iCs w:val="false"/>
          <w:sz w:val="24"/>
          <w:szCs w:val="24"/>
        </w:rPr>
        <w:t>The NPV rule that current practice follows is</w:t>
      </w:r>
    </w:p>
    <w:p>
      <w:pPr>
        <w:tabs>
          <w:tab w:val="right" w:pos="9360"/>
        </w:tabs>
        <w:spacing w:after="160" w:before="160" w:line="480" w:lineRule="auto"/>
        <w:jc w:val="center"/>
      </w:pPr>
      <w:r>
        <w:rPr>
          <w:rFonts w:ascii="Times New Roman" w:cs="Times New Roman" w:eastAsia="Times New Roman" w:hAnsi="Times New Roman"/>
          <w:b w:val="false"/>
          <w:bCs w:val="false"/>
          <w:i w:val="false"/>
          <w:iCs w:val="false"/>
          <w:sz w:val="24"/>
          <w:szCs w:val="24"/>
        </w:rPr>
        <w:t xml:space="preserve">promote if   </w:t>
      </w:r>
      <w:r>
        <w:rPr>
          <w:rFonts w:ascii="Times New Roman" w:cs="Times New Roman" w:eastAsia="Times New Roman" w:hAnsi="Times New Roman"/>
          <w:b w:val="false"/>
          <w:bCs w:val="false"/>
          <w:i/>
          <w:iCs/>
          <w:sz w:val="24"/>
          <w:szCs w:val="24"/>
        </w:rPr>
        <w:t xml:space="preserve">ΔĴ</w:t>
      </w:r>
      <w:r>
        <w:rPr>
          <w:rFonts w:ascii="Times New Roman" w:cs="Times New Roman" w:eastAsia="Times New Roman" w:hAnsi="Times New Roman"/>
          <w:b w:val="false"/>
          <w:bCs w:val="false"/>
          <w:i w:val="false"/>
          <w:iCs w:val="false"/>
          <w:sz w:val="24"/>
          <w:szCs w:val="24"/>
        </w:rPr>
        <w:t xml:space="preserve">  &gt;  0</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(3)</w:t>
      </w:r>
    </w:p>
    <w:p>
      <w:pPr>
        <w:spacing w:after="0" w:before="0" w:line="480" w:lineRule="auto"/>
        <w:ind w:firstLine="720"/>
        <w:jc w:val="left"/>
      </w:pPr>
      <w:r>
        <w:rPr>
          <w:rFonts w:ascii="Times New Roman" w:cs="Times New Roman" w:eastAsia="Times New Roman" w:hAnsi="Times New Roman"/>
          <w:bCs w:val="false"/>
          <w:iCs w:val="false"/>
          <w:sz w:val="24"/>
          <w:szCs w:val="24"/>
        </w:rPr>
        <w:t>Sometimes a cost is acknowledged, in which case the rule becomes ΔĴ &gt; c. Both versions treat J as if it were V.</w:t>
      </w:r>
    </w:p>
    <w:p>
      <w:pPr>
        <w:spacing w:after="0" w:before="0" w:line="480" w:lineRule="auto"/>
        <w:ind w:firstLine="720"/>
        <w:jc w:val="left"/>
      </w:pPr>
      <w:r>
        <w:rPr>
          <w:rFonts w:ascii="Times New Roman" w:cs="Times New Roman" w:eastAsia="Times New Roman" w:hAnsi="Times New Roman"/>
          <w:bCs w:val="false"/>
          <w:iCs w:val="false"/>
          <w:sz w:val="24"/>
          <w:szCs w:val="24"/>
        </w:rPr>
        <w:t>By contrast, the options rule is</w:t>
      </w:r>
    </w:p>
    <w:p>
      <w:pPr>
        <w:tabs>
          <w:tab w:val="right" w:pos="9360"/>
        </w:tabs>
        <w:spacing w:after="160" w:before="160" w:line="480" w:lineRule="auto"/>
        <w:jc w:val="center"/>
      </w:pPr>
      <w:r>
        <w:rPr>
          <w:rFonts w:ascii="Times New Roman" w:cs="Times New Roman" w:eastAsia="Times New Roman" w:hAnsi="Times New Roman"/>
          <w:b w:val="false"/>
          <w:bCs w:val="false"/>
          <w:i/>
          <w:iCs/>
          <w:sz w:val="24"/>
          <w:szCs w:val="24"/>
        </w:rPr>
        <w:t xml:space="preserve">promote if   E[V | J, G] − I  ≥  F(J, G, σ</w:t>
      </w:r>
      <w:r>
        <w:rPr>
          <w:rFonts w:ascii="Times New Roman" w:cs="Times New Roman" w:eastAsia="Times New Roman" w:hAnsi="Times New Roman"/>
          <w:b w:val="false"/>
          <w:bCs w:val="false"/>
          <w:i/>
          <w:iCs/>
          <w:sz w:val="24"/>
          <w:szCs w:val="24"/>
          <w:vertAlign w:val="subscript"/>
        </w:rPr>
        <w:t xml:space="preserve">J|V</w:t>
      </w:r>
      <w:r>
        <w:rPr>
          <w:rFonts w:ascii="Times New Roman" w:cs="Times New Roman" w:eastAsia="Times New Roman" w:hAnsi="Times New Roman"/>
          <w:b w:val="false"/>
          <w:bCs w:val="false"/>
          <w:i/>
          <w:iCs/>
          <w:sz w:val="24"/>
          <w:szCs w:val="24"/>
        </w:rPr>
        <w:t xml:space="preserve">, π</w:t>
      </w:r>
      <w:r>
        <w:rPr>
          <w:rFonts w:ascii="Times New Roman" w:cs="Times New Roman" w:eastAsia="Times New Roman" w:hAnsi="Times New Roman"/>
          <w:b w:val="false"/>
          <w:bCs w:val="false"/>
          <w:i/>
          <w:iCs/>
          <w:sz w:val="24"/>
          <w:szCs w:val="24"/>
          <w:vertAlign w:val="subscript"/>
        </w:rPr>
        <w:t xml:space="preserve">jump</w:t>
      </w:r>
      <w:r>
        <w:rPr>
          <w:rFonts w:ascii="Times New Roman" w:cs="Times New Roman" w:eastAsia="Times New Roman" w:hAnsi="Times New Roman"/>
          <w:b w:val="false"/>
          <w:bCs w:val="false"/>
          <w:i/>
          <w:iCs/>
          <w:sz w:val="24"/>
          <w:szCs w:val="24"/>
        </w:rPr>
        <w:t xml:space="preserv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(4)</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Two features of this rule deserve attention. First,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enters the expectation, so a rise in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xml:space="preserve"> that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contradicts does not raise E[</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enough to cover </w:t>
      </w:r>
      <w:r>
        <w:rPr>
          <w:rFonts w:ascii="Times New Roman" w:cs="Times New Roman" w:eastAsia="Times New Roman" w:hAnsi="Times New Roman"/>
          <w:bCs w:val="false"/>
          <w:i/>
          <w:iCs w:val="false"/>
          <w:sz w:val="24"/>
          <w:szCs w:val="24"/>
        </w:rPr>
        <w:t>I</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F</w:t>
      </w:r>
      <w:r>
        <w:rPr>
          <w:rFonts w:ascii="Times New Roman" w:cs="Times New Roman" w:eastAsia="Times New Roman" w:hAnsi="Times New Roman"/>
          <w:bCs w:val="false"/>
          <w:iCs w:val="false"/>
          <w:sz w:val="24"/>
          <w:szCs w:val="24"/>
        </w:rPr>
        <w:t xml:space="preserve">. Second, </w:t>
      </w:r>
      <w:r>
        <w:rPr>
          <w:rFonts w:ascii="Times New Roman" w:cs="Times New Roman" w:eastAsia="Times New Roman" w:hAnsi="Times New Roman"/>
          <w:bCs w:val="false"/>
          <w:i/>
          <w:iCs w:val="false"/>
          <w:sz w:val="24"/>
          <w:szCs w:val="24"/>
        </w:rPr>
        <w:t>F</w:t>
      </w:r>
      <w:r>
        <w:rPr>
          <w:rFonts w:ascii="Times New Roman" w:cs="Times New Roman" w:eastAsia="Times New Roman" w:hAnsi="Times New Roman"/>
          <w:bCs w:val="false"/>
          <w:iCs w:val="false"/>
          <w:sz w:val="24"/>
          <w:szCs w:val="24"/>
        </w:rPr>
        <w:t xml:space="preserve"> increases with judge noise and with jump risk; the noisier or less pinned the ruler, the higher the bar rather than the lower.</w:t>
      </w:r>
    </w:p>
    <w:p>
      <w:pPr>
        <w:spacing w:after="0" w:before="0" w:line="480" w:lineRule="auto"/>
        <w:ind w:firstLine="720"/>
        <w:jc w:val="left"/>
      </w:pPr>
      <w:r>
        <w:rPr>
          <w:rFonts w:ascii="Times New Roman" w:cs="Times New Roman" w:eastAsia="Times New Roman" w:hAnsi="Times New Roman"/>
          <w:bCs w:val="false"/>
          <w:iCs w:val="false"/>
          <w:sz w:val="24"/>
          <w:szCs w:val="24"/>
        </w:rPr>
        <w:t>When G is unavailable, the organization is not licensed to fall back on Equation 3. It should instead raise F and invest in creating some form of G, whether human review, schema checks, or shadow deployments. An uninformative J combined with the absence of G is a reason to freeze promotion, not a reason to automate it.</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3.4  Propositions</w:t>
      </w:r>
    </w:p>
    <w:p>
      <w:pPr>
        <w:spacing w:after="0" w:before="0" w:line="480" w:lineRule="auto"/>
        <w:ind w:firstLine="720"/>
        <w:jc w:val="left"/>
      </w:pPr>
      <w:r>
        <w:rPr>
          <w:rFonts w:ascii="Times New Roman" w:cs="Times New Roman" w:eastAsia="Times New Roman" w:hAnsi="Times New Roman"/>
          <w:bCs w:val="false"/>
          <w:iCs w:val="false"/>
          <w:sz w:val="24"/>
          <w:szCs w:val="24"/>
        </w:rPr>
        <w:t>The model yields five propositions. These are theoretical claims; the laboratory that follows is an illustration rather than a statistical test.</w:t>
      </w:r>
    </w:p>
    <w:p>
      <w:pPr>
        <w:spacing w:after="0" w:before="0" w:line="480" w:lineRule="auto"/>
        <w:ind w:firstLine="720"/>
        <w:jc w:val="left"/>
      </w:pPr>
      <w:r>
        <w:rPr>
          <w:rFonts w:ascii="Times New Roman" w:cs="Times New Roman" w:eastAsia="Times New Roman" w:hAnsi="Times New Roman"/>
          <w:b/>
          <w:bCs/>
          <w:iCs w:val="false"/>
          <w:sz w:val="24"/>
          <w:szCs w:val="24"/>
        </w:rPr>
        <w:t>Proposition 1 (NPV-on-judge).</w:t>
      </w:r>
      <w:r>
        <w:rPr>
          <w:rFonts w:ascii="Times New Roman" w:cs="Times New Roman" w:eastAsia="Times New Roman" w:hAnsi="Times New Roman"/>
          <w:bCs/>
          <w:iCs w:val="false"/>
          <w:sz w:val="24"/>
          <w:szCs w:val="24"/>
        </w:rPr>
        <w:t xml:space="preserve"> As optimization pressure on J increases, the probability that Equation 3 selects a candidate with lower V than the incumbent also increases.</w:t>
      </w:r>
    </w:p>
    <w:p>
      <w:pPr>
        <w:spacing w:after="0" w:before="0" w:line="480" w:lineRule="auto"/>
        <w:ind w:firstLine="720"/>
        <w:jc w:val="left"/>
      </w:pPr>
      <w:r>
        <w:rPr>
          <w:rFonts w:ascii="Times New Roman" w:cs="Times New Roman" w:eastAsia="Times New Roman" w:hAnsi="Times New Roman"/>
          <w:bCs w:val="false"/>
          <w:iCs w:val="false"/>
          <w:sz w:val="24"/>
          <w:szCs w:val="24"/>
        </w:rPr>
        <w:t>Search turns J from a tape into an objective. Candidates that raise b</w:t>
      </w:r>
      <w:r>
        <w:rPr>
          <w:rFonts w:ascii="Times New Roman" w:cs="Times New Roman" w:eastAsia="Times New Roman" w:hAnsi="Times New Roman"/>
          <w:bCs w:val="false"/>
          <w:iCs w:val="false"/>
          <w:sz w:val="24"/>
          <w:szCs w:val="24"/>
          <w:vertAlign w:val="subscript"/>
        </w:rPr>
        <w:t>t</w:t>
      </w:r>
      <w:r>
        <w:rPr>
          <w:rFonts w:ascii="Times New Roman" w:cs="Times New Roman" w:eastAsia="Times New Roman" w:hAnsi="Times New Roman"/>
          <w:bCs w:val="false"/>
          <w:iCs w:val="false"/>
          <w:sz w:val="24"/>
          <w:szCs w:val="24"/>
        </w:rPr>
        <w:t xml:space="preserve"> or exploit ε</w:t>
      </w:r>
      <w:r>
        <w:rPr>
          <w:rFonts w:ascii="Times New Roman" w:cs="Times New Roman" w:eastAsia="Times New Roman" w:hAnsi="Times New Roman"/>
          <w:bCs w:val="false"/>
          <w:iCs w:val="false"/>
          <w:sz w:val="24"/>
          <w:szCs w:val="24"/>
          <w:vertAlign w:val="subscript"/>
        </w:rPr>
        <w:t>t</w:t>
      </w:r>
      <w:r>
        <w:rPr>
          <w:rFonts w:ascii="Times New Roman" w:cs="Times New Roman" w:eastAsia="Times New Roman" w:hAnsi="Times New Roman"/>
          <w:bCs w:val="false"/>
          <w:iCs w:val="false"/>
          <w:sz w:val="24"/>
          <w:szCs w:val="24"/>
        </w:rPr>
        <w:t xml:space="preserve"> become available, and the NPV rule cannot distinguish them from candidates that raise V.</w:t>
      </w:r>
    </w:p>
    <w:p>
      <w:pPr>
        <w:spacing w:after="0" w:before="0" w:line="480" w:lineRule="auto"/>
        <w:ind w:firstLine="720"/>
        <w:jc w:val="left"/>
      </w:pPr>
      <w:r>
        <w:rPr>
          <w:rFonts w:ascii="Times New Roman" w:cs="Times New Roman" w:eastAsia="Times New Roman" w:hAnsi="Times New Roman"/>
          <w:b/>
          <w:bCs/>
          <w:iCs w:val="false"/>
          <w:sz w:val="24"/>
          <w:szCs w:val="24"/>
        </w:rPr>
        <w:t>Proposition 2 (holdout means).</w:t>
      </w:r>
      <w:r>
        <w:rPr>
          <w:rFonts w:ascii="Times New Roman" w:cs="Times New Roman" w:eastAsia="Times New Roman" w:hAnsi="Times New Roman"/>
          <w:bCs/>
          <w:iCs w:val="false"/>
          <w:sz w:val="24"/>
          <w:szCs w:val="24"/>
        </w:rPr>
        <w:t xml:space="preserve"> A rise in mean G on a mixed holdout is not sufficient for exercise when the mix contains items on which a suspected cheat happens to be correct.</w:t>
      </w:r>
    </w:p>
    <w:p>
      <w:pPr>
        <w:spacing w:after="0" w:before="0" w:line="480" w:lineRule="auto"/>
        <w:ind w:firstLine="720"/>
        <w:jc w:val="left"/>
      </w:pPr>
      <w:r>
        <w:rPr>
          <w:rFonts w:ascii="Times New Roman" w:cs="Times New Roman" w:eastAsia="Times New Roman" w:hAnsi="Times New Roman"/>
          <w:bCs w:val="false"/>
          <w:iCs w:val="false"/>
          <w:sz w:val="24"/>
          <w:szCs w:val="24"/>
        </w:rPr>
        <w:t>The mean can conceal the problem. Refund-always policies perform well on tickets that should be refunded, and averaging those tickets with refusal tickets can still beat a weak incumbent.</w:t>
      </w:r>
    </w:p>
    <w:p>
      <w:pPr>
        <w:spacing w:after="0" w:before="0" w:line="480" w:lineRule="auto"/>
        <w:ind w:firstLine="720"/>
        <w:jc w:val="left"/>
      </w:pPr>
      <w:r>
        <w:rPr>
          <w:rFonts w:ascii="Times New Roman" w:cs="Times New Roman" w:eastAsia="Times New Roman" w:hAnsi="Times New Roman"/>
          <w:b/>
          <w:bCs/>
          <w:iCs w:val="false"/>
          <w:sz w:val="24"/>
          <w:szCs w:val="24"/>
        </w:rPr>
        <w:t>Proposition 3 (inspection canaries).</w:t>
      </w:r>
      <w:r>
        <w:rPr>
          <w:rFonts w:ascii="Times New Roman" w:cs="Times New Roman" w:eastAsia="Times New Roman" w:hAnsi="Times New Roman"/>
          <w:bCs/>
          <w:iCs w:val="false"/>
          <w:sz w:val="24"/>
          <w:szCs w:val="24"/>
        </w:rPr>
        <w:t xml:space="preserve"> An inspection set constructed so that J and G disagree under the suspected cheat raises the probability that the abandon option is exercised against that cheat.</w:t>
      </w:r>
    </w:p>
    <w:p>
      <w:pPr>
        <w:spacing w:after="0" w:before="0" w:line="480" w:lineRule="auto"/>
        <w:ind w:firstLine="720"/>
        <w:jc w:val="left"/>
      </w:pPr>
      <w:r>
        <w:rPr>
          <w:rFonts w:ascii="Times New Roman" w:cs="Times New Roman" w:eastAsia="Times New Roman" w:hAnsi="Times New Roman"/>
          <w:bCs w:val="false"/>
          <w:iCs w:val="false"/>
          <w:sz w:val="24"/>
          <w:szCs w:val="24"/>
        </w:rPr>
        <w:t>A canary is not simply a hard example. It is an example designed to make the cheap quote and the expensive inspection conflict, so a perfect J on that example counts as evidence against exercise.</w:t>
      </w:r>
    </w:p>
    <w:p>
      <w:pPr>
        <w:spacing w:after="0" w:before="0" w:line="480" w:lineRule="auto"/>
        <w:ind w:firstLine="720"/>
        <w:jc w:val="left"/>
      </w:pPr>
      <w:r>
        <w:rPr>
          <w:rFonts w:ascii="Times New Roman" w:cs="Times New Roman" w:eastAsia="Times New Roman" w:hAnsi="Times New Roman"/>
          <w:b/>
          <w:bCs/>
          <w:iCs w:val="false"/>
          <w:sz w:val="24"/>
          <w:szCs w:val="24"/>
        </w:rPr>
        <w:t>Proposition 4 (noise raises the premium).</w:t>
      </w:r>
      <w:r>
        <w:rPr>
          <w:rFonts w:ascii="Times New Roman" w:cs="Times New Roman" w:eastAsia="Times New Roman" w:hAnsi="Times New Roman"/>
          <w:bCs/>
          <w:iCs w:val="false"/>
          <w:sz w:val="24"/>
          <w:szCs w:val="24"/>
        </w:rPr>
        <w:t xml:space="preserve"> An increase in σ</w:t>
      </w:r>
      <w:r>
        <w:rPr>
          <w:rFonts w:ascii="Times New Roman" w:cs="Times New Roman" w:eastAsia="Times New Roman" w:hAnsi="Times New Roman"/>
          <w:bCs/>
          <w:iCs w:val="false"/>
          <w:sz w:val="24"/>
          <w:szCs w:val="24"/>
          <w:vertAlign w:val="subscript"/>
        </w:rPr>
        <w:t>J|V</w:t>
      </w:r>
      <w:r>
        <w:rPr>
          <w:rFonts w:ascii="Times New Roman" w:cs="Times New Roman" w:eastAsia="Times New Roman" w:hAnsi="Times New Roman"/>
          <w:bCs/>
          <w:iCs w:val="false"/>
          <w:sz w:val="24"/>
          <w:szCs w:val="24"/>
        </w:rPr>
        <w:t>, including the extreme case of a collapsed judge whose range across policies is negligible, raises F and therefore the exercise threshold in Equation 4.</w:t>
      </w:r>
    </w:p>
    <w:p>
      <w:pPr>
        <w:spacing w:after="0" w:before="0" w:line="480" w:lineRule="auto"/>
        <w:ind w:firstLine="720"/>
        <w:jc w:val="left"/>
      </w:pPr>
      <w:r>
        <w:rPr>
          <w:rFonts w:ascii="Times New Roman" w:cs="Times New Roman" w:eastAsia="Times New Roman" w:hAnsi="Times New Roman"/>
          <w:bCs w:val="false"/>
          <w:iCs w:val="false"/>
          <w:sz w:val="24"/>
          <w:szCs w:val="24"/>
        </w:rPr>
        <w:t>In practice a collapsed judge is often described as conservative. The model instead treats it as uninformative. An uninformative quote still has an argmax, and the premium is what prevents the organization from shipping it.</w:t>
      </w:r>
    </w:p>
    <w:p>
      <w:pPr>
        <w:spacing w:after="0" w:before="0" w:line="480" w:lineRule="auto"/>
        <w:ind w:firstLine="720"/>
        <w:jc w:val="left"/>
      </w:pPr>
      <w:r>
        <w:rPr>
          <w:rFonts w:ascii="Times New Roman" w:cs="Times New Roman" w:eastAsia="Times New Roman" w:hAnsi="Times New Roman"/>
          <w:b/>
          <w:bCs/>
          <w:iCs w:val="false"/>
          <w:sz w:val="24"/>
          <w:szCs w:val="24"/>
        </w:rPr>
        <w:t>Proposition 5 (ruler jumps).</w:t>
      </w:r>
      <w:r>
        <w:rPr>
          <w:rFonts w:ascii="Times New Roman" w:cs="Times New Roman" w:eastAsia="Times New Roman" w:hAnsi="Times New Roman"/>
          <w:bCs/>
          <w:iCs w:val="false"/>
          <w:sz w:val="24"/>
          <w:szCs w:val="24"/>
        </w:rPr>
        <w:t xml:space="preserve"> A change in the judge version or rubric that is not accompanied by re-estimation of (a</w:t>
      </w:r>
      <w:r>
        <w:rPr>
          <w:rFonts w:ascii="Times New Roman" w:cs="Times New Roman" w:eastAsia="Times New Roman" w:hAnsi="Times New Roman"/>
          <w:bCs/>
          <w:iCs w:val="false"/>
          <w:sz w:val="24"/>
          <w:szCs w:val="24"/>
          <w:vertAlign w:val="subscript"/>
        </w:rPr>
        <w:t>t</w:t>
      </w:r>
      <w:r>
        <w:rPr>
          <w:rFonts w:ascii="Times New Roman" w:cs="Times New Roman" w:eastAsia="Times New Roman" w:hAnsi="Times New Roman"/>
          <w:bCs/>
          <w:iCs w:val="false"/>
          <w:sz w:val="24"/>
          <w:szCs w:val="24"/>
        </w:rPr>
        <w:t>, b</w:t>
      </w:r>
      <w:r>
        <w:rPr>
          <w:rFonts w:ascii="Times New Roman" w:cs="Times New Roman" w:eastAsia="Times New Roman" w:hAnsi="Times New Roman"/>
          <w:bCs/>
          <w:iCs w:val="false"/>
          <w:sz w:val="24"/>
          <w:szCs w:val="24"/>
          <w:vertAlign w:val="subscript"/>
        </w:rPr>
        <w:t>t</w:t>
      </w:r>
      <w:r>
        <w:rPr>
          <w:rFonts w:ascii="Times New Roman" w:cs="Times New Roman" w:eastAsia="Times New Roman" w:hAnsi="Times New Roman"/>
          <w:bCs/>
          <w:iCs w:val="false"/>
          <w:sz w:val="24"/>
          <w:szCs w:val="24"/>
        </w:rPr>
        <w:t>) against G makes historical J incomparable and, if ignored, biases exercise toward candidates favored by the new ruler.</w:t>
      </w:r>
    </w:p>
    <w:p>
      <w:pPr>
        <w:spacing w:after="0" w:before="0" w:line="480" w:lineRule="auto"/>
        <w:ind w:firstLine="720"/>
        <w:jc w:val="left"/>
      </w:pPr>
      <w:r>
        <w:rPr>
          <w:rFonts w:ascii="Times New Roman" w:cs="Times New Roman" w:eastAsia="Times New Roman" w:hAnsi="Times New Roman"/>
          <w:bCs w:val="false"/>
          <w:iCs w:val="false"/>
          <w:sz w:val="24"/>
          <w:szCs w:val="24"/>
        </w:rPr>
        <w:t>This is the distinctively IS claim. The risk is not only that V is hard to observe; the organization may also be comparing two different instruments and calling the difference a movement in quality.</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 xml:space="preserve">4  COMPUTATIONAL ILLUSTRATION</w:t>
      </w:r>
    </w:p>
    <w:p>
      <w:pPr>
        <w:spacing w:after="80" w:before="200" w:line="276" w:lineRule="auto"/>
        <w:ind w:firstLine="0"/>
        <w:jc w:val="left"/>
      </w:pPr>
      <w:r>
        <w:rPr>
          <w:rFonts w:ascii="Times New Roman" w:cs="Times New Roman" w:eastAsia="Times New Roman" w:hAnsi="Times New Roman"/>
          <w:b/>
          <w:bCs/>
          <w:i w:val="false"/>
          <w:iCs w:val="false"/>
          <w:sz w:val="22"/>
          <w:szCs w:val="22"/>
        </w:rPr>
        <w:t xml:space="preserve">Table 1. Laboratory Mapping from Options Objects to Measured Quantities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50"/>
        <w:gridCol w:w="1650"/>
        <w:gridCol w:w="1760"/>
        <w:gridCol w:w="2200"/>
      </w:tblGrid>
      <w:tr>
        <w:trPr>
          <w:cantSplit/>
        </w:trPr>
        <w:tc>
          <w:tcPr>
            <w:tcW w:type="dxa" w:w="210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Policy</w:t>
            </w:r>
          </w:p>
        </w:tc>
        <w:tc>
          <w:tcPr>
            <w:tcW w:type="dxa" w:w="165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G holdout</w:t>
            </w:r>
          </w:p>
        </w:tc>
        <w:tc>
          <w:tcPr>
            <w:tcW w:type="dxa" w:w="165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G canary</w:t>
            </w:r>
          </w:p>
        </w:tc>
        <w:tc>
          <w:tcPr>
            <w:tcW w:type="dxa" w:w="176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J rubric</w:t>
            </w:r>
          </w:p>
        </w:tc>
        <w:tc>
          <w:tcPr>
            <w:tcW w:type="dxa" w:w="220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Exercise</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Warm legal</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1.00</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1.00</w:t>
            </w:r>
          </w:p>
        </w:tc>
        <w:tc>
          <w:tcPr>
            <w:tcW w:type="dxa" w:w="17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0.48</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wait / allow</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Plain legal</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0.94</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1.00</w:t>
            </w:r>
          </w:p>
        </w:tc>
        <w:tc>
          <w:tcPr>
            <w:tcW w:type="dxa" w:w="17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0.40</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allow</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Always refund</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0.78</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0.55</w:t>
            </w:r>
          </w:p>
        </w:tc>
        <w:tc>
          <w:tcPr>
            <w:tcW w:type="dxa" w:w="17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0.92</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abandon</w:t>
            </w:r>
          </w:p>
        </w:tc>
      </w:tr>
      <w:tr>
        <w:trPr>
          <w:cantSplit/>
        </w:trPr>
        <w:tc>
          <w:tcPr>
            <w:tcW w:type="dxa" w:w="210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Redirect</w:t>
            </w:r>
          </w:p>
        </w:tc>
        <w:tc>
          <w:tcPr>
            <w:tcW w:type="dxa" w:w="165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0.55</w:t>
            </w:r>
          </w:p>
        </w:tc>
        <w:tc>
          <w:tcPr>
            <w:tcW w:type="dxa" w:w="165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0.55</w:t>
            </w:r>
          </w:p>
        </w:tc>
        <w:tc>
          <w:tcPr>
            <w:tcW w:type="dxa" w:w="176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0.08</w:t>
            </w:r>
          </w:p>
        </w:tc>
        <w:tc>
          <w:tcPr>
            <w:tcW w:type="dxa" w:w="220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abandon</w:t>
            </w:r>
          </w:p>
        </w:tc>
      </w:tr>
    </w:tbl>
    <w:p>
      <w:pPr>
        <w:spacing w:after="200" w:before="40" w:line="276" w:lineRule="auto"/>
        <w:jc w:val="left"/>
      </w:pPr>
      <w:r>
        <w:rPr>
          <w:rFonts w:ascii="Times New Roman" w:cs="Times New Roman" w:eastAsia="Times New Roman" w:hAnsi="Times New Roman"/>
          <w:b w:val="false"/>
          <w:bCs w:val="false"/>
          <w:i/>
          <w:iCs/>
          <w:sz w:val="20"/>
          <w:szCs w:val="20"/>
        </w:rPr>
        <w:t xml:space="preserve">Note: G is deterministic gold. J is the inspectable development rubric. Exercise follows Equation 4 with a canary floor of 0.70.</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4.1  Design</w:t>
      </w:r>
    </w:p>
    <w:p>
      <w:pPr>
        <w:spacing w:after="0" w:before="0" w:line="480" w:lineRule="auto"/>
        <w:ind w:firstLine="720"/>
        <w:jc w:val="left"/>
      </w:pPr>
      <w:r>
        <w:rPr>
          <w:rFonts w:ascii="Times New Roman" w:cs="Times New Roman" w:eastAsia="Times New Roman" w:hAnsi="Times New Roman"/>
          <w:bCs w:val="false"/>
          <w:iCs w:val="false"/>
          <w:sz w:val="24"/>
          <w:szCs w:val="24"/>
        </w:rPr>
        <w:t>The laboratory is a store support desk. Each ticket carries an order identifier and a correct act: refund, replace, refuse, or track. Gold quality G is a deterministic program that awards credit for taking the legal act, for naming the order, and for not inventing a tracking token. It makes no call to any model.</w:t>
      </w:r>
    </w:p>
    <w:p>
      <w:pPr>
        <w:spacing w:after="0" w:before="0" w:line="480" w:lineRule="auto"/>
        <w:ind w:firstLine="720"/>
        <w:jc w:val="left"/>
      </w:pPr>
      <w:r>
        <w:rPr>
          <w:rFonts w:ascii="Times New Roman" w:cs="Times New Roman" w:eastAsia="Times New Roman" w:hAnsi="Times New Roman"/>
          <w:bCs w:val="false"/>
          <w:iCs w:val="false"/>
          <w:sz w:val="24"/>
          <w:szCs w:val="24"/>
        </w:rPr>
        <w:t>The twenty-two tickets are divided into twelve development items that the search may see, eight frozen holdout items, and two canaries. The canaries are refuse-class requests written so that a rubric rewarding delight will favor an illegal grant of money. Eight named policies map onto four reply programs: redirect, plain legal, warm legal, and always refund. The last of these is the cheat.</w:t>
      </w:r>
    </w:p>
    <w:p>
      <w:pPr>
        <w:spacing w:after="0" w:before="0" w:line="480" w:lineRule="auto"/>
        <w:ind w:firstLine="720"/>
        <w:jc w:val="left"/>
      </w:pPr>
      <w:r>
        <w:rPr>
          <w:rFonts w:ascii="Times New Roman" w:cs="Times New Roman" w:eastAsia="Times New Roman" w:hAnsi="Times New Roman"/>
          <w:bCs w:val="false"/>
          <w:iCs w:val="false"/>
          <w:sz w:val="24"/>
          <w:szCs w:val="24"/>
        </w:rPr>
        <w:t>Two judges implement J. The first is an inspectable lexicon-and-length rubric, accompanied by a drifted variant that leans toward yes. The second is SmolLM2-135M-Instruct, scored by the log-likelihood of Yes versus No under the same rubric text. The small model is used only as a judge. It is not a competent policy generator for this task, which is itself a finding about employing undersized open models as workers rather than as scorers.</w:t>
      </w:r>
    </w:p>
    <w:p>
      <w:pPr>
        <w:spacing w:after="0" w:before="0" w:line="480" w:lineRule="auto"/>
        <w:ind w:firstLine="720"/>
        <w:jc w:val="left"/>
      </w:pPr>
      <w:r>
        <w:rPr>
          <w:rFonts w:ascii="Times New Roman" w:cs="Times New Roman" w:eastAsia="Times New Roman" w:hAnsi="Times New Roman"/>
          <w:bCs w:val="false"/>
          <w:iCs w:val="false"/>
          <w:sz w:val="24"/>
          <w:szCs w:val="24"/>
        </w:rPr>
        <w:t>The design is deliberately small, so that every ticket, policy, and score can be printed. Readers can run the companion repository on a laptop CPU.</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4.2  What the Ledger Shows</w:t>
      </w:r>
    </w:p>
    <w:p>
      <w:pPr>
        <w:spacing w:after="0" w:before="0" w:line="480" w:lineRule="auto"/>
        <w:ind w:firstLine="720"/>
        <w:jc w:val="left"/>
      </w:pPr>
      <w:r>
        <w:rPr>
          <w:rFonts w:ascii="Times New Roman" w:cs="Times New Roman" w:eastAsia="Times New Roman" w:hAnsi="Times New Roman"/>
          <w:bCs w:val="false"/>
          <w:iCs w:val="false"/>
          <w:sz w:val="24"/>
          <w:szCs w:val="24"/>
        </w:rPr>
        <w:t>Table 1 reports the objects named by the model.</w:t>
      </w:r>
    </w:p>
    <w:p>
      <w:pPr>
        <w:spacing w:after="0" w:before="0" w:line="480" w:lineRule="auto"/>
        <w:ind w:firstLine="720"/>
        <w:jc w:val="left"/>
      </w:pPr>
      <w:r>
        <w:rPr>
          <w:rFonts w:ascii="Times New Roman" w:cs="Times New Roman" w:eastAsia="Times New Roman" w:hAnsi="Times New Roman"/>
          <w:bCs w:val="false"/>
          <w:iCs w:val="false"/>
          <w:sz w:val="24"/>
          <w:szCs w:val="24"/>
        </w:rPr>
        <w:t>Applying Equation 3 to the development rubric selects always-refund, with J rising from 0.08 for redirect to 0.92. Its holdout G of 0.78 beats redirect, so Propositions 1 and 2 are both visible in the same row: the cheat is the NPV winner, and the mixed holdout does not protect the organization.</w:t>
      </w:r>
    </w:p>
    <w:p>
      <w:pPr>
        <w:spacing w:after="0" w:before="0" w:line="480" w:lineRule="auto"/>
        <w:ind w:firstLine="720"/>
        <w:jc w:val="left"/>
      </w:pPr>
      <w:r>
        <w:rPr>
          <w:rFonts w:ascii="Times New Roman" w:cs="Times New Roman" w:eastAsia="Times New Roman" w:hAnsi="Times New Roman"/>
          <w:bCs w:val="false"/>
          <w:iCs w:val="false"/>
          <w:sz w:val="24"/>
          <w:szCs w:val="24"/>
        </w:rPr>
        <w:t>Canary G is 0.55 for the cheat and 1.00 for the legal programs, whereas the rubric J on the same canaries is 0.92 for the cheat. Proposition 3 operates as the gate: a canary floor of 0.70, together with a rule that a very high J on a refuse canary counts as evidence of cheating, exercises the put.</w:t>
      </w:r>
    </w:p>
    <w:p>
      <w:pPr>
        <w:spacing w:after="0" w:before="0" w:line="480" w:lineRule="auto"/>
        <w:ind w:firstLine="720"/>
        <w:jc w:val="left"/>
      </w:pPr>
      <w:r>
        <w:rPr>
          <w:rFonts w:ascii="Times New Roman" w:cs="Times New Roman" w:eastAsia="Times New Roman" w:hAnsi="Times New Roman"/>
          <w:bCs w:val="false"/>
          <w:iCs w:val="false"/>
          <w:sz w:val="24"/>
          <w:szCs w:val="24"/>
        </w:rPr>
        <w:t>The open-weight Yes/No judge stays within [0.18, 0.26] across every unique reply, whereas the inspectable rubric spans [0.08, 0.92] on the same replies. This is the collapsed tape of Proposition 4. The small model is not conservative but nearly constant, and its argmax is still the cheat, by a few hundredths.</w:t>
      </w:r>
    </w:p>
    <w:p>
      <w:pPr>
        <w:spacing w:after="0" w:before="0" w:line="480" w:lineRule="auto"/>
        <w:ind w:firstLine="720"/>
        <w:jc w:val="left"/>
      </w:pPr>
      <w:r>
        <w:rPr>
          <w:rFonts w:ascii="Times New Roman" w:cs="Times New Roman" w:eastAsia="Times New Roman" w:hAnsi="Times New Roman"/>
          <w:bCs w:val="false"/>
          <w:iCs w:val="false"/>
          <w:sz w:val="24"/>
          <w:szCs w:val="24"/>
        </w:rPr>
        <w:t>A rubric edit toward unconditional yes does not change which policy ranks first, but it widens the gap: the cheat moves from 0.92 to 1.00 while G remains unchanged, because the replies are unchanged. This is the situation addressed by Proposition 5, a monitor that would raise an alert after a documentation change.</w:t>
      </w:r>
    </w:p>
    <w:p>
      <w:pPr>
        <w:spacing w:after="0" w:before="200" w:line="240" w:lineRule="auto"/>
      </w:pPr>
      <w:r>
        <w:rPr>
          <w:rFonts w:ascii="Times New Roman" w:cs="Times New Roman" w:eastAsia="Times New Roman" w:hAnsi="Times New Roman"/>
          <w:b w:val="false"/>
          <w:bCs w:val="false"/>
          <w:i w:val="false"/>
          <w:iCs w:val="false"/>
          <w:sz w:val="24"/>
          <w:szCs w:val="24"/>
        </w:rPr>
        <w:t xml:space="preserve"/>
      </w:r>
    </w:p>
    <w:p>
      <w:pPr>
        <w:spacing w:after="80" w:before="120" w:line="240" w:lineRule="auto"/>
        <w:jc w:val="center"/>
      </w:pPr>
      <w:r>
        <w:drawing>
          <wp:inline distT="0" distB="0" distL="0" distR="0">
            <wp:extent cx="5905500" cy="2952750"/>
            <wp:effectExtent t="0" r="0" b="0" l="0"/>
            <wp:docPr id="1" name="Judge search versus gold selection" descr="Grouped bar chart of development judge scores, holdout gold, and canary gold across four polici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52750"/>
                    </a:xfrm>
                    <a:prstGeom prst="rect">
                      <a:avLst/>
                    </a:prstGeom>
                  </pic:spPr>
                </pic:pic>
              </a:graphicData>
            </a:graphic>
          </wp:inline>
        </w:drawing>
      </w:r>
    </w:p>
    <w:p>
      <w:pPr>
        <w:spacing w:after="80" w:before="200" w:line="276" w:lineRule="auto"/>
        <w:ind w:firstLine="0"/>
        <w:jc w:val="left"/>
      </w:pPr>
      <w:r>
        <w:rPr>
          <w:rFonts w:ascii="Times New Roman" w:cs="Times New Roman" w:eastAsia="Times New Roman" w:hAnsi="Times New Roman"/>
          <w:b/>
          <w:bCs/>
          <w:i w:val="false"/>
          <w:iCs w:val="false"/>
          <w:sz w:val="22"/>
          <w:szCs w:val="22"/>
        </w:rPr>
        <w:t xml:space="preserve">Figure 1. Judge Search versus Gold Selection</w:t>
      </w:r>
    </w:p>
    <w:p>
      <w:pPr>
        <w:spacing w:after="200" w:before="40" w:line="276" w:lineRule="auto"/>
        <w:jc w:val="left"/>
      </w:pPr>
      <w:r>
        <w:rPr>
          <w:rFonts w:ascii="Times New Roman" w:cs="Times New Roman" w:eastAsia="Times New Roman" w:hAnsi="Times New Roman"/>
          <w:b w:val="false"/>
          <w:bCs w:val="false"/>
          <w:i/>
          <w:iCs/>
          <w:sz w:val="20"/>
          <w:szCs w:val="20"/>
        </w:rPr>
        <w:t xml:space="preserve">Note: The development judge is the quote visible to search. Holdout gold and canary gold are inspections the optimizer cannot train on. The dashed line marks the canary floor used to exercise the abandon option.</w:t>
      </w:r>
    </w:p>
    <w:p>
      <w:pPr>
        <w:spacing w:after="0" w:before="0" w:line="480" w:lineRule="auto"/>
        <w:ind w:firstLine="720"/>
        <w:jc w:val="left"/>
      </w:pPr>
      <w:r>
        <w:rPr>
          <w:rFonts w:ascii="Times New Roman" w:cs="Times New Roman" w:eastAsia="Times New Roman" w:hAnsi="Times New Roman"/>
          <w:bCs w:val="false"/>
          <w:iCs w:val="false"/>
          <w:sz w:val="24"/>
          <w:szCs w:val="24"/>
        </w:rPr>
        <w:t>Figure 1 plots the selection contrast. The bar visible to the optimizer rises under judge search, but the bars it is not shown, holdout gold and canary gold, do not follow.</w:t>
      </w:r>
    </w:p>
    <w:p>
      <w:pPr>
        <w:spacing w:after="0" w:before="0" w:line="480" w:lineRule="auto"/>
        <w:ind w:firstLine="720"/>
        <w:jc w:val="left"/>
      </w:pPr>
      <w:r>
        <w:rPr>
          <w:rFonts w:ascii="Times New Roman" w:cs="Times New Roman" w:eastAsia="Times New Roman" w:hAnsi="Times New Roman"/>
          <w:bCs w:val="false"/>
          <w:iCs w:val="false"/>
          <w:sz w:val="24"/>
          <w:szCs w:val="24"/>
        </w:rPr>
        <w:t>None of these numbers estimates F in closed form. They show only the sign pattern that the propositions require: NPV-on-judge exercises, inspection-on-canary does not, and a jumping rubric would have exercised with even greater confidence.</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 xml:space="preserve">5  TOWARD A FIELD TEST</w:t>
      </w:r>
    </w:p>
    <w:p>
      <w:pPr>
        <w:spacing w:after="0" w:before="0" w:line="480" w:lineRule="auto"/>
        <w:ind w:firstLine="720"/>
        <w:jc w:val="left"/>
      </w:pPr>
      <w:r>
        <w:rPr>
          <w:rFonts w:ascii="Times New Roman" w:cs="Times New Roman" w:eastAsia="Times New Roman" w:hAnsi="Times New Roman"/>
          <w:bCs w:val="false"/>
          <w:iCs w:val="false"/>
          <w:sz w:val="24"/>
          <w:szCs w:val="24"/>
        </w:rPr>
        <w:t>The laboratory shows that the sign pattern in the propositions can occur, but it cannot show whether organizations actually keep the corresponding ledger. A twenty-two-ticket grid is not evidence about firms. The empirical companion is a field study of promotion reviews in organizations that already use a language-model judge to maintain a generative system.</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5.1  Research Setting and Sampling</w:t>
      </w:r>
    </w:p>
    <w:p>
      <w:pPr>
        <w:spacing w:after="0" w:before="0" w:line="480" w:lineRule="auto"/>
        <w:ind w:firstLine="720"/>
        <w:jc w:val="left"/>
      </w:pPr>
      <w:r>
        <w:rPr>
          <w:rFonts w:ascii="Times New Roman" w:cs="Times New Roman" w:eastAsia="Times New Roman" w:hAnsi="Times New Roman"/>
          <w:bCs w:val="false"/>
          <w:iCs w:val="false"/>
          <w:sz w:val="24"/>
          <w:szCs w:val="24"/>
        </w:rPr>
        <w:t>The unit of analysis is the promotion episode, defined as a dated decision to ship, shadow, hold, or revert a prompt, adapter, retrieval change, or judge version. Eligible settings are firms that (i) run at least one generative system in production, (ii) score that system with an LLM-as-a-judge or an equivalent model-based rubric, and (iii) hold a recognizable review in which someone is allowed to say no.</w:t>
      </w:r>
    </w:p>
    <w:p>
      <w:pPr>
        <w:spacing w:after="0" w:before="0" w:line="480" w:lineRule="auto"/>
        <w:ind w:firstLine="720"/>
        <w:jc w:val="left"/>
      </w:pPr>
      <w:r>
        <w:rPr>
          <w:rFonts w:ascii="Times New Roman" w:cs="Times New Roman" w:eastAsia="Times New Roman" w:hAnsi="Times New Roman"/>
          <w:bCs w:val="false"/>
          <w:iCs w:val="false"/>
          <w:sz w:val="24"/>
          <w:szCs w:val="24"/>
        </w:rPr>
        <w:t>A purposive sample is appropriate at this stage because the theory is new and the phenomenon is unevenly distributed. Three strata are enough to generate contrast.</w:t>
      </w:r>
    </w:p>
    <w:p>
      <w:pPr>
        <w:spacing w:after="0" w:before="0" w:line="480" w:lineRule="auto"/>
        <w:ind w:firstLine="720"/>
        <w:jc w:val="left"/>
      </w:pPr>
      <w:r>
        <w:rPr>
          <w:rFonts w:ascii="Times New Roman" w:cs="Times New Roman" w:eastAsia="Times New Roman" w:hAnsi="Times New Roman"/>
          <w:b/>
          <w:bCs/>
          <w:iCs w:val="false"/>
          <w:sz w:val="24"/>
          <w:szCs w:val="24"/>
        </w:rPr>
        <w:t>Stratum A: product platforms.</w:t>
      </w:r>
      <w:r>
        <w:rPr>
          <w:rFonts w:ascii="Times New Roman" w:cs="Times New Roman" w:eastAsia="Times New Roman" w:hAnsi="Times New Roman"/>
          <w:bCs/>
          <w:iCs w:val="false"/>
          <w:sz w:val="24"/>
          <w:szCs w:val="24"/>
        </w:rPr>
        <w:t xml:space="preserve"> Consumer or SaaS teams that ship prompt changes weekly and already have an evaluation harness.</w:t>
      </w:r>
    </w:p>
    <w:p>
      <w:pPr>
        <w:spacing w:after="0" w:before="0" w:line="480" w:lineRule="auto"/>
        <w:ind w:firstLine="720"/>
        <w:jc w:val="left"/>
      </w:pPr>
      <w:r>
        <w:rPr>
          <w:rFonts w:ascii="Times New Roman" w:cs="Times New Roman" w:eastAsia="Times New Roman" w:hAnsi="Times New Roman"/>
          <w:b/>
          <w:bCs/>
          <w:iCs w:val="false"/>
          <w:sz w:val="24"/>
          <w:szCs w:val="24"/>
        </w:rPr>
        <w:t>Stratum B: regulated operators.</w:t>
      </w:r>
      <w:r>
        <w:rPr>
          <w:rFonts w:ascii="Times New Roman" w:cs="Times New Roman" w:eastAsia="Times New Roman" w:hAnsi="Times New Roman"/>
          <w:bCs/>
          <w:iCs w:val="false"/>
          <w:sz w:val="24"/>
          <w:szCs w:val="24"/>
        </w:rPr>
        <w:t xml:space="preserve"> Banks, insurers, and public agencies for which refusal quality and an audit trail are first-order constraints.</w:t>
      </w:r>
    </w:p>
    <w:p>
      <w:pPr>
        <w:spacing w:after="0" w:before="0" w:line="480" w:lineRule="auto"/>
        <w:ind w:firstLine="720"/>
        <w:jc w:val="left"/>
      </w:pPr>
      <w:r>
        <w:rPr>
          <w:rFonts w:ascii="Times New Roman" w:cs="Times New Roman" w:eastAsia="Times New Roman" w:hAnsi="Times New Roman"/>
          <w:b/>
          <w:bCs/>
          <w:iCs w:val="false"/>
          <w:sz w:val="24"/>
          <w:szCs w:val="24"/>
        </w:rPr>
        <w:t>Stratum C: internal IT.</w:t>
      </w:r>
      <w:r>
        <w:rPr>
          <w:rFonts w:ascii="Times New Roman" w:cs="Times New Roman" w:eastAsia="Times New Roman" w:hAnsi="Times New Roman"/>
          <w:bCs/>
          <w:iCs w:val="false"/>
          <w:sz w:val="24"/>
          <w:szCs w:val="24"/>
        </w:rPr>
        <w:t xml:space="preserve"> Enterprise copilots whose users are employees, so that the cost of a bad promotion is lost work rather than a public incident.</w:t>
      </w:r>
    </w:p>
    <w:p>
      <w:pPr>
        <w:spacing w:after="0" w:before="0" w:line="480" w:lineRule="auto"/>
        <w:ind w:firstLine="720"/>
        <w:jc w:val="left"/>
      </w:pPr>
      <w:r>
        <w:rPr>
          <w:rFonts w:ascii="Times New Roman" w:cs="Times New Roman" w:eastAsia="Times New Roman" w:hAnsi="Times New Roman"/>
          <w:bCs w:val="false"/>
          <w:iCs w:val="false"/>
          <w:sz w:val="24"/>
          <w:szCs w:val="24"/>
        </w:rPr>
        <w:t>Eight to twelve organizations, with two to four promotion episodes coded in each, would yield a corpus of roughly twenty-five to forty episodes. This is a theory-building sample rather than a test of prevalence. Interviews should include the person who owns the judge, the person who owns the policy, and, where such a role exists, the person who can block a release.</w:t>
      </w:r>
    </w:p>
    <w:p>
      <w:pPr>
        <w:pageBreakBefore/>
        <w:spacing w:after="80" w:before="200" w:line="276" w:lineRule="auto"/>
        <w:jc w:val="left"/>
      </w:pPr>
      <w:r>
        <w:rPr>
          <w:rFonts w:ascii="Times New Roman" w:cs="Times New Roman" w:eastAsia="Times New Roman" w:hAnsi="Times New Roman"/>
          <w:b/>
          <w:bCs/>
          <w:i w:val="false"/>
          <w:iCs w:val="false"/>
          <w:sz w:val="22"/>
          <w:szCs w:val="22"/>
        </w:rPr>
        <w:t xml:space="preserve">Table 2. Field Codes Mapped to Theoretical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cantSplit/>
        </w:trPr>
        <w:tc>
          <w:tcPr>
            <w:tcW w:type="dxa" w:w="240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Code</w:t>
            </w:r>
          </w:p>
        </w:tc>
        <w:tc>
          <w:tcPr>
            <w:tcW w:type="dxa" w:w="456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Observable</w:t>
            </w:r>
          </w:p>
        </w:tc>
        <w:tc>
          <w:tcPr>
            <w:tcW w:type="dxa" w:w="240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Proposition</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Quote used</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Judge score cited as the reason to ship</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Inspection present</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Held-out items or humans the search cannot see</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2, 3</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Canary logic</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Cases where a high judge score is treated as suspicious</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Pilot before expand</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Shadow or percent rollout before 100%</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timing</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Abandon after green J</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Candidate killed despite a rising judge</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1, 3</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Ruler pin</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Dated judge snapshot; rubric version in the repo</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5</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Ruler jump incident</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Dashboard move on the day of a judge or rubric diff</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5</w:t>
            </w:r>
          </w:p>
        </w:tc>
      </w:tr>
      <w:tr>
        <w:trPr>
          <w:cantSplit/>
        </w:trPr>
        <w:tc>
          <w:tcPr>
            <w:tcW w:type="dxa" w:w="240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Wait talk</w:t>
            </w:r>
          </w:p>
        </w:tc>
        <w:tc>
          <w:tcPr>
            <w:tcW w:type="dxa" w:w="456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Explicit argument that the quote is too noisy to exercise</w:t>
            </w:r>
          </w:p>
        </w:tc>
        <w:tc>
          <w:tcPr>
            <w:tcW w:type="dxa" w:w="240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w:t>
            </w:r>
          </w:p>
        </w:tc>
      </w:tr>
    </w:tbl>
    <w:p>
      <w:pPr>
        <w:spacing w:after="200" w:before="40" w:line="276" w:lineRule="auto"/>
        <w:jc w:val="left"/>
      </w:pPr>
      <w:r>
        <w:rPr>
          <w:rFonts w:ascii="Times New Roman" w:cs="Times New Roman" w:eastAsia="Times New Roman" w:hAnsi="Times New Roman"/>
          <w:b w:val="false"/>
          <w:bCs w:val="false"/>
          <w:i/>
          <w:iCs/>
          <w:sz w:val="20"/>
          <w:szCs w:val="20"/>
        </w:rPr>
        <w:t xml:space="preserve">Note: Codes are closed on theoretical objects and open on surrounding organizational talk.</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5.2  Data</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Three traces are collected for each episode.</w:t>
      </w:r>
    </w:p>
    <w:p>
      <w:pPr>
        <w:spacing w:after="0" w:before="0" w:line="480" w:lineRule="auto"/>
        <w:ind w:firstLine="720"/>
        <w:jc w:val="left"/>
      </w:pPr>
      <w:r>
        <w:rPr>
          <w:rFonts w:ascii="Times New Roman" w:cs="Times New Roman" w:eastAsia="Times New Roman" w:hAnsi="Times New Roman"/>
          <w:bCs w:val="false"/>
          <w:iCs w:val="false"/>
          <w:sz w:val="24"/>
          <w:szCs w:val="24"/>
        </w:rPr>
        <w:t>The first is a semi-structured interview. The protocol in Appendix A asks what moved, which number licensed the move, whether anyone could see a slice that the optimizer could not, and what would have happened had the judge been wrong. Interviews are recorded, transcribed, and anonymized at the firm and product level.</w:t>
      </w:r>
    </w:p>
    <w:p>
      <w:pPr>
        <w:spacing w:after="0" w:before="0" w:line="480" w:lineRule="auto"/>
        <w:ind w:firstLine="720"/>
        <w:jc w:val="left"/>
      </w:pPr>
      <w:r>
        <w:rPr>
          <w:rFonts w:ascii="Times New Roman" w:cs="Times New Roman" w:eastAsia="Times New Roman" w:hAnsi="Times New Roman"/>
          <w:bCs w:val="false"/>
          <w:iCs w:val="false"/>
          <w:sz w:val="24"/>
          <w:szCs w:val="24"/>
        </w:rPr>
        <w:t>The second is an artifact pack for the same episode. It contains the rubric text and its diff, the judge identifier and whether it is pinned, the evaluation-set inventory (development, holdout, canary), dashboards or review tickets, and the decision record (ship, shadow, hold, revert).</w:t>
      </w:r>
    </w:p>
    <w:p>
      <w:pPr>
        <w:spacing w:after="0" w:before="0" w:line="480" w:lineRule="auto"/>
        <w:ind w:firstLine="720"/>
        <w:jc w:val="left"/>
      </w:pPr>
      <w:r>
        <w:rPr>
          <w:rFonts w:ascii="Times New Roman" w:cs="Times New Roman" w:eastAsia="Times New Roman" w:hAnsi="Times New Roman"/>
          <w:bCs w:val="false"/>
          <w:iCs w:val="false"/>
          <w:sz w:val="24"/>
          <w:szCs w:val="24"/>
        </w:rPr>
        <w:t>The third, where the firm permits it, is a short observation of the review meeting itself. Talk in that meeting is the closest available observation of F, namely whether anyone argues for waiting after the judge has turned green.</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5.3  Coding</w:t>
      </w:r>
    </w:p>
    <w:p>
      <w:pPr>
        <w:spacing w:after="0" w:before="0" w:line="480" w:lineRule="auto"/>
        <w:ind w:firstLine="720"/>
        <w:jc w:val="left"/>
      </w:pPr>
      <w:r>
        <w:rPr>
          <w:rFonts w:ascii="Times New Roman" w:cs="Times New Roman" w:eastAsia="Times New Roman" w:hAnsi="Times New Roman"/>
          <w:bCs w:val="false"/>
          <w:iCs w:val="false"/>
          <w:sz w:val="24"/>
          <w:szCs w:val="24"/>
        </w:rPr>
        <w:t>Episodes are coded on the objects that the model names. The codebook is closed on those objects and open on the organizational talk surrounding them.</w:t>
      </w:r>
    </w:p>
    <w:p>
      <w:pPr>
        <w:spacing w:after="0" w:before="0" w:line="480" w:lineRule="auto"/>
        <w:ind w:firstLine="720"/>
        <w:jc w:val="left"/>
      </w:pPr>
      <w:r>
        <w:rPr>
          <w:rFonts w:ascii="Times New Roman" w:cs="Times New Roman" w:eastAsia="Times New Roman" w:hAnsi="Times New Roman"/>
          <w:bCs w:val="false"/>
          <w:iCs w:val="false"/>
          <w:sz w:val="24"/>
          <w:szCs w:val="24"/>
        </w:rPr>
        <w:t>Two coders score each episode, and disagreements are resolved by returning to the artifact pack. A promotion that cites only J, has no canary logic, and ships to all traffic is coded as an NPV-on-judge episode (Proposition 1). A promotion that is held after a green judge because the canary battery failed is an inspection episode (Proposition 3). A dashboard incident that the firm labeled a quality regression, but that the artifact pack dates to a rubric diff, is a ruler-jump episode (Proposition 5).</w:t>
      </w:r>
    </w:p>
    <w:p>
      <w:pPr>
        <w:spacing w:after="0" w:before="0" w:line="480" w:lineRule="auto"/>
        <w:ind w:firstLine="720"/>
        <w:jc w:val="left"/>
      </w:pPr>
      <w:r>
        <w:rPr>
          <w:rFonts w:ascii="Times New Roman" w:cs="Times New Roman" w:eastAsia="Times New Roman" w:hAnsi="Times New Roman"/>
          <w:bCs w:val="false"/>
          <w:iCs w:val="false"/>
          <w:sz w:val="24"/>
          <w:szCs w:val="24"/>
        </w:rPr>
        <w:t>The analysis aims at explanation building rather than coefficient estimation. Within-episode process traces are compared with the exercise rule in Equation 4, and cross-episode comparison asks whether the strata differ in the options they actually hold. Regulated operators are predicted to hold richer inspection options but still, in some episodes, to promote on J when the canary set is informal. Product platforms are predicted to have more automation and a thinner F. These predictions could turn out to be wrong, and the design is built so that they can be shown to be.</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5.4  What Would Count as Support</w:t>
      </w:r>
    </w:p>
    <w:p>
      <w:pPr>
        <w:spacing w:after="0" w:before="0" w:line="480" w:lineRule="auto"/>
        <w:ind w:firstLine="720"/>
        <w:jc w:val="left"/>
      </w:pPr>
      <w:r>
        <w:rPr>
          <w:rFonts w:ascii="Times New Roman" w:cs="Times New Roman" w:eastAsia="Times New Roman" w:hAnsi="Times New Roman"/>
          <w:bCs w:val="false"/>
          <w:iCs w:val="false"/>
          <w:sz w:val="24"/>
          <w:szCs w:val="24"/>
        </w:rPr>
        <w:t>The field study would support the theory if three patterns appear.</w:t>
      </w:r>
    </w:p>
    <w:p>
      <w:pPr>
        <w:spacing w:after="0" w:before="0" w:line="480" w:lineRule="auto"/>
        <w:ind w:firstLine="720"/>
        <w:jc w:val="left"/>
      </w:pPr>
      <w:r>
        <w:rPr>
          <w:rFonts w:ascii="Times New Roman" w:cs="Times New Roman" w:eastAsia="Times New Roman" w:hAnsi="Times New Roman"/>
          <w:bCs w:val="false"/>
          <w:iCs w:val="false"/>
          <w:sz w:val="24"/>
          <w:szCs w:val="24"/>
        </w:rPr>
        <w:t>First, NPV-on-judge episodes exist and are not confined to unsophisticated teams, since Proposition 1 concerns pressure rather than incompetence.</w:t>
      </w:r>
    </w:p>
    <w:p>
      <w:pPr>
        <w:spacing w:after="0" w:before="0" w:line="480" w:lineRule="auto"/>
        <w:ind w:firstLine="720"/>
        <w:jc w:val="left"/>
      </w:pPr>
      <w:r>
        <w:rPr>
          <w:rFonts w:ascii="Times New Roman" w:cs="Times New Roman" w:eastAsia="Times New Roman" w:hAnsi="Times New Roman"/>
          <w:bCs w:val="false"/>
          <w:iCs w:val="false"/>
          <w:sz w:val="24"/>
          <w:szCs w:val="24"/>
        </w:rPr>
        <w:t>Second, where inspection exists, it is often a mixed holdout rather than a canary battery. Propositions 2 and 3 distinguish these two objects, and if every firm with an evaluation set already has canaries in the sense defined here, the laboratory overstates the organizational problem.</w:t>
      </w:r>
    </w:p>
    <w:p>
      <w:pPr>
        <w:spacing w:after="0" w:before="0" w:line="480" w:lineRule="auto"/>
        <w:ind w:firstLine="720"/>
        <w:jc w:val="left"/>
      </w:pPr>
      <w:r>
        <w:rPr>
          <w:rFonts w:ascii="Times New Roman" w:cs="Times New Roman" w:eastAsia="Times New Roman" w:hAnsi="Times New Roman"/>
          <w:bCs w:val="false"/>
          <w:iCs w:val="false"/>
          <w:sz w:val="24"/>
          <w:szCs w:val="24"/>
        </w:rPr>
        <w:t>Third, at least some dashboard incidents that firms narrate as policy drift turn out, in the artifact pack, to be ruler jumps. Proposition 5 would fail if rubric and judge versioning were already universal and incidents never coincided with diffs.</w:t>
      </w:r>
    </w:p>
    <w:p>
      <w:pPr>
        <w:spacing w:after="0" w:before="0" w:line="480" w:lineRule="auto"/>
        <w:ind w:firstLine="720"/>
        <w:jc w:val="left"/>
      </w:pPr>
      <w:r>
        <w:rPr>
          <w:rFonts w:ascii="Times New Roman" w:cs="Times New Roman" w:eastAsia="Times New Roman" w:hAnsi="Times New Roman"/>
          <w:bCs w:val="false"/>
          <w:iCs w:val="false"/>
          <w:sz w:val="24"/>
          <w:szCs w:val="24"/>
        </w:rPr>
        <w:t>The study would not estimate F in monetary terms. It would instead establish whether the option menu describes work that already happens, work that happens only in some strata, or work that almost no coded episode follows. Benaroch et al. (2006) asked a parallel question of IT risk plans and found the mapping in use. The analogous finding here would be that some teams already keep an options ledger under other names; the analogous non-finding would be that judge-based promotion has short-circuited a discipline that IT organizations had previously learned.</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5.5  Ethics and Access</w:t>
      </w:r>
    </w:p>
    <w:p>
      <w:pPr>
        <w:spacing w:after="0" w:before="0" w:line="480" w:lineRule="auto"/>
        <w:ind w:firstLine="720"/>
        <w:jc w:val="left"/>
      </w:pPr>
      <w:r>
        <w:rPr>
          <w:rFonts w:ascii="Times New Roman" w:cs="Times New Roman" w:eastAsia="Times New Roman" w:hAnsi="Times New Roman"/>
          <w:bCs w:val="false"/>
          <w:iCs w:val="false"/>
          <w:sz w:val="24"/>
          <w:szCs w:val="24"/>
        </w:rPr>
        <w:t>Promotion reviews contain prompts, user text, and vendor contracts. The protocol therefore collects decision structure rather than raw user logs wherever possible. Firms are offered a site report that maps their coded episodes onto the ledger without publishing identifiers, and interviews proceed under informed consent. The laboratory remains the only place where tickets are reproduced in full.</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5.6  A Worked Coding Vignette</w:t>
      </w:r>
    </w:p>
    <w:p>
      <w:pPr>
        <w:spacing w:after="0" w:before="0" w:line="480" w:lineRule="auto"/>
        <w:ind w:firstLine="720"/>
        <w:jc w:val="left"/>
      </w:pPr>
      <w:r>
        <w:rPr>
          <w:rFonts w:ascii="Times New Roman" w:cs="Times New Roman" w:eastAsia="Times New Roman" w:hAnsi="Times New Roman"/>
          <w:bCs w:val="false"/>
          <w:iCs w:val="false"/>
          <w:sz w:val="24"/>
          <w:szCs w:val="24"/>
        </w:rPr>
        <w:t>To make the codebook inspectable, consider a reconstructed episode of the kind the protocol is designed to capture. The vignette is synthetic and is written so that a second coder could assign the same codes.</w:t>
      </w:r>
    </w:p>
    <w:p>
      <w:pPr>
        <w:spacing w:after="0" w:before="0" w:line="480" w:lineRule="auto"/>
        <w:ind w:firstLine="720"/>
        <w:jc w:val="left"/>
      </w:pPr>
      <w:r>
        <w:rPr>
          <w:rFonts w:ascii="Times New Roman" w:cs="Times New Roman" w:eastAsia="Times New Roman" w:hAnsi="Times New Roman"/>
          <w:bCs w:val="false"/>
          <w:iCs w:val="false"/>
          <w:sz w:val="24"/>
          <w:szCs w:val="24"/>
        </w:rPr>
        <w:t>A consumer-support team proposes a new system prompt after a week of judge-maximizing search. The review ticket reports a development-set judge gain of twelve points and a holdout gain of four. There is no separate canary list, and the judge identifier in the ticket is an undated vendor alias. The team ships to all traffic that same afternoon. Two days later the dashboard drops. The rubric file in the repository shows a commit made that morning, which added the sentence “prefer a helpful, yes-oriented tone.” The team labels the incident a model regression and rolls the prompt back.</w:t>
      </w:r>
    </w:p>
    <w:p>
      <w:pPr>
        <w:spacing w:after="0" w:before="0" w:line="480" w:lineRule="auto"/>
        <w:ind w:firstLine="720"/>
        <w:jc w:val="left"/>
      </w:pPr>
      <w:r>
        <w:rPr>
          <w:rFonts w:ascii="Times New Roman" w:cs="Times New Roman" w:eastAsia="Times New Roman" w:hAnsi="Times New Roman"/>
          <w:bCs w:val="false"/>
          <w:iCs w:val="false"/>
          <w:sz w:val="24"/>
          <w:szCs w:val="24"/>
        </w:rPr>
        <w:t>The coded values are as follows: quote used = yes; inspection present = mixed holdout only; canary logic = no; pilot before expand = no; abandon after green J = no on the ship, yes on the rollback; ruler pin = no; ruler-jump incident = yes; wait talk = no. The episode is NPV-on-judge at time t, followed by a ruler jump narrated as policy drift at t + 2. Equation 3 served as the decision rule, and Equation 4 was never consulted.</w:t>
      </w:r>
    </w:p>
    <w:p>
      <w:pPr>
        <w:spacing w:after="0" w:before="0" w:line="480" w:lineRule="auto"/>
        <w:ind w:firstLine="720"/>
        <w:jc w:val="left"/>
      </w:pPr>
      <w:r>
        <w:rPr>
          <w:rFonts w:ascii="Times New Roman" w:cs="Times New Roman" w:eastAsia="Times New Roman" w:hAnsi="Times New Roman"/>
          <w:bCs w:val="false"/>
          <w:iCs w:val="false"/>
          <w:sz w:val="24"/>
          <w:szCs w:val="24"/>
        </w:rPr>
        <w:t>A field corpus of thirty such memos, some of which will look nothing like this vignette, is what would allow the propositions to fail.</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5.7  Why These Strata</w:t>
      </w:r>
    </w:p>
    <w:p>
      <w:pPr>
        <w:spacing w:after="0" w:before="0" w:line="480" w:lineRule="auto"/>
        <w:ind w:firstLine="720"/>
        <w:jc w:val="left"/>
      </w:pPr>
      <w:r>
        <w:rPr>
          <w:rFonts w:ascii="Times New Roman" w:cs="Times New Roman" w:eastAsia="Times New Roman" w:hAnsi="Times New Roman"/>
          <w:bCs w:val="false"/>
          <w:iCs w:val="false"/>
          <w:sz w:val="24"/>
          <w:szCs w:val="24"/>
        </w:rPr>
        <w:t>The three strata are not a convenience sample labeled after the fact. They vary both the cost of a bad exercise and the political value of a green judge.</w:t>
      </w:r>
    </w:p>
    <w:p>
      <w:pPr>
        <w:spacing w:after="0" w:before="0" w:line="480" w:lineRule="auto"/>
        <w:ind w:firstLine="720"/>
        <w:jc w:val="left"/>
      </w:pPr>
      <w:r>
        <w:rPr>
          <w:rFonts w:ascii="Times New Roman" w:cs="Times New Roman" w:eastAsia="Times New Roman" w:hAnsi="Times New Roman"/>
          <w:bCs w:val="false"/>
          <w:iCs w:val="false"/>
          <w:sz w:val="24"/>
          <w:szCs w:val="24"/>
        </w:rPr>
        <w:t>In product platforms, shipping cadence is the binding constraint and I per episode looks small, so F is at risk of being treated as mere delay. The prediction is frequent NPV-on-judge episodes and rare abandonment after a green J.</w:t>
      </w:r>
    </w:p>
    <w:p>
      <w:pPr>
        <w:spacing w:after="0" w:before="0" w:line="480" w:lineRule="auto"/>
        <w:ind w:firstLine="720"/>
        <w:jc w:val="left"/>
      </w:pPr>
      <w:r>
        <w:rPr>
          <w:rFonts w:ascii="Times New Roman" w:cs="Times New Roman" w:eastAsia="Times New Roman" w:hAnsi="Times New Roman"/>
          <w:bCs w:val="false"/>
          <w:iCs w:val="false"/>
          <w:sz w:val="24"/>
          <w:szCs w:val="24"/>
        </w:rPr>
        <w:t>In regulated operators, I includes audit and harm, and inspection should be thicker. The interesting question is whether canary logic exists as a named practice or only as an informal habit of looking at a few ugly cases. Such informal cases are not the inspection option of the model; they are an unrecorded put.</w:t>
      </w:r>
    </w:p>
    <w:p>
      <w:pPr>
        <w:spacing w:after="0" w:before="0" w:line="480" w:lineRule="auto"/>
        <w:ind w:firstLine="720"/>
        <w:jc w:val="left"/>
      </w:pPr>
      <w:r>
        <w:rPr>
          <w:rFonts w:ascii="Times New Roman" w:cs="Times New Roman" w:eastAsia="Times New Roman" w:hAnsi="Times New Roman"/>
          <w:bCs w:val="false"/>
          <w:iCs w:val="false"/>
          <w:sz w:val="24"/>
          <w:szCs w:val="24"/>
        </w:rPr>
        <w:t>In internal IT, users cannot leave and bad promotions persist. The prediction is more wait talk and less instrumentation, and the codes will show whether waiting is a governed option or simply an absence of process.</w:t>
      </w:r>
    </w:p>
    <w:p>
      <w:pPr>
        <w:spacing w:after="0" w:before="0" w:line="480" w:lineRule="auto"/>
        <w:ind w:firstLine="720"/>
        <w:jc w:val="left"/>
      </w:pPr>
      <w:r>
        <w:rPr>
          <w:rFonts w:ascii="Times New Roman" w:cs="Times New Roman" w:eastAsia="Times New Roman" w:hAnsi="Times New Roman"/>
          <w:bCs w:val="false"/>
          <w:iCs w:val="false"/>
          <w:sz w:val="24"/>
          <w:szCs w:val="24"/>
        </w:rPr>
        <w:t>If the three strata produced the same codebook profile, the organizational comparative statics of the theory would be wrong. That would be a useful failure.</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 xml:space="preserve">6  DISCUSSION</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6.1  Theoretical Implications</w:t>
      </w:r>
    </w:p>
    <w:p>
      <w:pPr>
        <w:spacing w:after="0" w:before="0" w:line="480" w:lineRule="auto"/>
        <w:ind w:firstLine="720"/>
        <w:jc w:val="left"/>
      </w:pPr>
      <w:r>
        <w:rPr>
          <w:rFonts w:ascii="Times New Roman" w:cs="Times New Roman" w:eastAsia="Times New Roman" w:hAnsi="Times New Roman"/>
          <w:bCs w:val="false"/>
          <w:iCs w:val="false"/>
          <w:sz w:val="24"/>
          <w:szCs w:val="24"/>
        </w:rPr>
        <w:t>This paper extends real options research in IS in two directions.</w:t>
      </w:r>
    </w:p>
    <w:p>
      <w:pPr>
        <w:spacing w:after="0" w:before="0" w:line="480" w:lineRule="auto"/>
        <w:ind w:firstLine="720"/>
        <w:jc w:val="left"/>
      </w:pPr>
      <w:r>
        <w:rPr>
          <w:rFonts w:ascii="Times New Roman" w:cs="Times New Roman" w:eastAsia="Times New Roman" w:hAnsi="Times New Roman"/>
          <w:bCs w:val="false"/>
          <w:iCs w:val="false"/>
          <w:sz w:val="24"/>
          <w:szCs w:val="24"/>
        </w:rPr>
        <w:t>First, it moves the theory from project selection to system maintenance. The funding episode is the wrong unit when the digital object is a policy that can be promoted every week. The option being destroyed is not the chance to have built a different warehouse but the chance to have waited for an inspection before rewriting the log that trains next week’s policy. Compound options of the pilot-then-expand type are then not a metaphor for a two-stage R&amp;D program; they describe the release train itself.</w:t>
      </w:r>
    </w:p>
    <w:p>
      <w:pPr>
        <w:spacing w:after="0" w:before="0" w:line="480" w:lineRule="auto"/>
        <w:ind w:firstLine="720"/>
        <w:jc w:val="left"/>
      </w:pPr>
      <w:r>
        <w:rPr>
          <w:rFonts w:ascii="Times New Roman" w:cs="Times New Roman" w:eastAsia="Times New Roman" w:hAnsi="Times New Roman"/>
          <w:bCs w:val="false"/>
          <w:iCs w:val="false"/>
          <w:sz w:val="24"/>
          <w:szCs w:val="24"/>
        </w:rPr>
        <w:t>Second, it adds measurement-system risk to the option-based risk menu. Benaroch et al. (2006) mapped familiar IT risks onto familiar options. Judge drift is not technical performance risk, since the system may be unchanged, and it is not purely organizational risk, since the people may be unchanged. It is a jump in the instrument that the organization uses to know whether V has moved. An IS theory of generative maintenance that omits this jump will misclassify dashboard incidents and prescribe the wrong option. Recalibration against G after a ruler change is the switch option, and pinning is how that option is kept in the money.</w:t>
      </w:r>
    </w:p>
    <w:p>
      <w:pPr>
        <w:spacing w:after="0" w:before="0" w:line="480" w:lineRule="auto"/>
        <w:ind w:firstLine="720"/>
        <w:jc w:val="left"/>
      </w:pPr>
      <w:r>
        <w:rPr>
          <w:rFonts w:ascii="Times New Roman" w:cs="Times New Roman" w:eastAsia="Times New Roman" w:hAnsi="Times New Roman"/>
          <w:bCs w:val="false"/>
          <w:iCs w:val="false"/>
          <w:sz w:val="24"/>
          <w:szCs w:val="24"/>
        </w:rPr>
        <w:t>The propositions also bear on the literature on organizational control. A control that is cheap and used as an objective is a Goodhart instrument. Real options theory supplies the decision rule that control theory alone does not: when the instrument is compromised, the organization should raise F rather than automate harder.</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6.2  From Project Risk to Instrument Risk</w:t>
      </w:r>
    </w:p>
    <w:p>
      <w:pPr>
        <w:spacing w:after="0" w:before="0" w:line="480" w:lineRule="auto"/>
        <w:ind w:firstLine="720"/>
        <w:jc w:val="left"/>
      </w:pPr>
      <w:r>
        <w:rPr>
          <w:rFonts w:ascii="Times New Roman" w:cs="Times New Roman" w:eastAsia="Times New Roman" w:hAnsi="Times New Roman"/>
          <w:bCs w:val="false"/>
          <w:iCs w:val="false"/>
          <w:sz w:val="24"/>
          <w:szCs w:val="24"/>
        </w:rPr>
        <w:t>Table 3 restates the classical option-based IT risk mapping and locates the new object.</w:t>
      </w:r>
    </w:p>
    <w:p>
      <w:pPr>
        <w:spacing w:after="80" w:before="200" w:line="276" w:lineRule="auto"/>
        <w:ind w:firstLine="0"/>
        <w:jc w:val="left"/>
      </w:pPr>
      <w:r>
        <w:rPr>
          <w:rFonts w:ascii="Times New Roman" w:cs="Times New Roman" w:eastAsia="Times New Roman" w:hAnsi="Times New Roman"/>
          <w:b/>
          <w:bCs/>
          <w:i w:val="false"/>
          <w:iCs w:val="false"/>
          <w:sz w:val="22"/>
          <w:szCs w:val="22"/>
        </w:rPr>
        <w:t xml:space="preserve">Table 3. Classical IT Option Mappings and Added Measurement-System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cantSplit/>
        </w:trPr>
        <w:tc>
          <w:tcPr>
            <w:tcW w:type="dxa" w:w="240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Risk class</w:t>
            </w:r>
          </w:p>
        </w:tc>
        <w:tc>
          <w:tcPr>
            <w:tcW w:type="dxa" w:w="280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Classical option</w:t>
            </w:r>
          </w:p>
        </w:tc>
        <w:tc>
          <w:tcPr>
            <w:tcW w:type="dxa" w:w="416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In generative maintenance</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Technical performance</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Defer; pilot; abandon</w:t>
            </w:r>
          </w:p>
        </w:tc>
        <w:tc>
          <w:tcPr>
            <w:tcW w:type="dxa" w:w="41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Policy may be worse than J says; inspect G before expand</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Organizational</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Stage; change scale</w:t>
            </w:r>
          </w:p>
        </w:tc>
        <w:tc>
          <w:tcPr>
            <w:tcW w:type="dxa" w:w="41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Review rights: who may refuse a green judge</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Market / demand</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Defer; expand</w:t>
            </w:r>
          </w:p>
        </w:tc>
        <w:tc>
          <w:tcPr>
            <w:tcW w:type="dxa" w:w="41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Traffic mix shifts; holdout rot</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Competitive</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Speed-up; switch</w:t>
            </w:r>
          </w:p>
        </w:tc>
        <w:tc>
          <w:tcPr>
            <w:tcW w:type="dxa" w:w="41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Vendor judge changes behind a stable name</w:t>
            </w:r>
          </w:p>
        </w:tc>
      </w:tr>
      <w:tr>
        <w:trPr>
          <w:cantSplit/>
        </w:trPr>
        <w:tc>
          <w:tcPr>
            <w:tcW w:type="dxa" w:w="240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iCs/>
                <w:sz w:val="20"/>
                <w:szCs w:val="20"/>
              </w:rPr>
              <w:t xml:space="preserve">Measurement-system (this paper)</w:t>
            </w:r>
          </w:p>
        </w:tc>
        <w:tc>
          <w:tcPr>
            <w:tcW w:type="dxa" w:w="280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Pin; recalibrate; inspect</w:t>
            </w:r>
          </w:p>
        </w:tc>
        <w:tc>
          <w:tcPr>
            <w:tcW w:type="dxa" w:w="416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(at, bt) jumps; canaries where J and G fight</w:t>
            </w:r>
          </w:p>
        </w:tc>
      </w:tr>
    </w:tbl>
    <w:p>
      <w:pPr>
        <w:spacing w:after="200" w:before="40" w:line="276" w:lineRule="auto"/>
        <w:jc w:val="left"/>
      </w:pPr>
      <w:r>
        <w:rPr>
          <w:rFonts w:ascii="Times New Roman" w:cs="Times New Roman" w:eastAsia="Times New Roman" w:hAnsi="Times New Roman"/>
          <w:b w:val="false"/>
          <w:bCs w:val="false"/>
          <w:i/>
          <w:iCs/>
          <w:sz w:val="20"/>
          <w:szCs w:val="20"/>
        </w:rPr>
        <w:t xml:space="preserve">Note: The last row is the increment relative to the mapping in Benaroch et al. (2006).</w:t>
      </w:r>
    </w:p>
    <w:p>
      <w:pPr>
        <w:spacing w:after="0" w:before="0" w:line="480" w:lineRule="auto"/>
        <w:ind w:firstLine="720"/>
        <w:jc w:val="left"/>
      </w:pPr>
      <w:r>
        <w:rPr>
          <w:rFonts w:ascii="Times New Roman" w:cs="Times New Roman" w:eastAsia="Times New Roman" w:hAnsi="Times New Roman"/>
          <w:bCs w:val="false"/>
          <w:iCs w:val="false"/>
          <w:sz w:val="24"/>
          <w:szCs w:val="24"/>
        </w:rPr>
        <w:t>The last row is the increment. Classical mappings assume that when technical performance is in doubt, a pilot yields a better estimate of V. They do not assume that the estimate is produced by a second model that the same organization is also tuning. Once that is the case, a pilot scored only by J is not a pilot in the options sense; it is another exercise of Equation 3 on a smaller cohort. The inspection option must therefore be specified independently of the quote, or the compound option collapses back into NPV.</w:t>
      </w:r>
    </w:p>
    <w:p>
      <w:pPr>
        <w:spacing w:after="0" w:before="0" w:line="480" w:lineRule="auto"/>
        <w:ind w:firstLine="720"/>
        <w:jc w:val="left"/>
      </w:pPr>
      <w:r>
        <w:rPr>
          <w:rFonts w:ascii="Times New Roman" w:cs="Times New Roman" w:eastAsia="Times New Roman" w:hAnsi="Times New Roman"/>
          <w:bCs w:val="false"/>
          <w:iCs w:val="false"/>
          <w:sz w:val="24"/>
          <w:szCs w:val="24"/>
        </w:rPr>
        <w:t>For this reason the paper is offered as a conceptual contribution rather than as a design-science artifact with a single instantiated gate. The gate in the companion repository demonstrates that the ledger can be written in code, but the theoretical claim concerns the menu of options organizations should keep and a risk class that the prior menu did not name.</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6.3  Organizational Control and Performative Metrics</w:t>
      </w:r>
    </w:p>
    <w:p>
      <w:pPr>
        <w:spacing w:after="0" w:before="0" w:line="480" w:lineRule="auto"/>
        <w:ind w:firstLine="720"/>
        <w:jc w:val="left"/>
      </w:pPr>
      <w:r>
        <w:rPr>
          <w:rFonts w:ascii="Times New Roman" w:cs="Times New Roman" w:eastAsia="Times New Roman" w:hAnsi="Times New Roman"/>
          <w:bCs w:val="false"/>
          <w:iCs w:val="false"/>
          <w:sz w:val="24"/>
          <w:szCs w:val="24"/>
        </w:rPr>
        <w:t>Ouchi (1979) distinguished markets, bureaucracies, and clans as modes of control. A judge score resembles a bureaucratic output measure in being cheap, frequent, and comparable, yet under search it behaves like a market price that participants can move. This dual character helps explain why promotion reviews become confused: participants talk as though they were reading a quality statistic when they are often reading a price that they have themselves been paying to raise.</w:t>
      </w:r>
    </w:p>
    <w:p>
      <w:pPr>
        <w:spacing w:after="0" w:before="0" w:line="480" w:lineRule="auto"/>
        <w:ind w:firstLine="720"/>
        <w:jc w:val="left"/>
      </w:pPr>
      <w:r>
        <w:rPr>
          <w:rFonts w:ascii="Times New Roman" w:cs="Times New Roman" w:eastAsia="Times New Roman" w:hAnsi="Times New Roman"/>
          <w:bCs w:val="false"/>
          <w:iCs w:val="false"/>
          <w:sz w:val="24"/>
          <w:szCs w:val="24"/>
        </w:rPr>
        <w:t>Performative metrics are familiar in IS under other names, including utilization targets that raise utilization and destroy slack, service-level numbers that produce queue games, and model-accuracy dashboards that overfit the test set. What is distinctive here is speed. A prompt can be changed in an afternoon, and the metric that licenses the change can be queried the same afternoon, so the option premium F competes with a cycle time measured in hours. Field coding of wait talk is how the study would observe whether anyone still pays F when the cycle is that short.</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6.4  Implications for Practice</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Four commitments follow from the ledger.</w:t>
      </w:r>
    </w:p>
    <w:p>
      <w:pPr>
        <w:spacing w:after="0" w:before="0" w:line="480" w:lineRule="auto"/>
        <w:ind w:firstLine="720"/>
        <w:jc w:val="left"/>
      </w:pPr>
      <w:r>
        <w:rPr>
          <w:rFonts w:ascii="Times New Roman" w:cs="Times New Roman" w:eastAsia="Times New Roman" w:hAnsi="Times New Roman"/>
          <w:bCs w:val="false"/>
          <w:iCs w:val="false"/>
          <w:sz w:val="24"/>
          <w:szCs w:val="24"/>
        </w:rPr>
        <w:t>First, version the judge and the rubric as artifacts alongside the prompt. A quality movement that appears on the same day as a ruler diff should be treated as a Proposition 5 event until an inspection says otherwise.</w:t>
      </w:r>
    </w:p>
    <w:p>
      <w:pPr>
        <w:spacing w:after="0" w:before="0" w:line="480" w:lineRule="auto"/>
        <w:ind w:firstLine="720"/>
        <w:jc w:val="left"/>
      </w:pPr>
      <w:r>
        <w:rPr>
          <w:rFonts w:ascii="Times New Roman" w:cs="Times New Roman" w:eastAsia="Times New Roman" w:hAnsi="Times New Roman"/>
          <w:bCs w:val="false"/>
          <w:iCs w:val="false"/>
          <w:sz w:val="24"/>
          <w:szCs w:val="24"/>
        </w:rPr>
        <w:t>Second, split evaluation items into development, holdout, and canary sets before the search begins, and write the canaries so that the cheap quote and the expensive inspection conflict on the cheat the organization fears.</w:t>
      </w:r>
    </w:p>
    <w:p>
      <w:pPr>
        <w:spacing w:after="0" w:before="0" w:line="480" w:lineRule="auto"/>
        <w:ind w:firstLine="720"/>
        <w:jc w:val="left"/>
      </w:pPr>
      <w:r>
        <w:rPr>
          <w:rFonts w:ascii="Times New Roman" w:cs="Times New Roman" w:eastAsia="Times New Roman" w:hAnsi="Times New Roman"/>
          <w:bCs w:val="false"/>
          <w:iCs w:val="false"/>
          <w:sz w:val="24"/>
          <w:szCs w:val="24"/>
        </w:rPr>
        <w:t>Third, log J but gate on G, and buy inspections before buying GPUs. A larger judge that remains a quote is merely a more elaborate way of making the same exercise error, and the energy cost of that error includes the next fine-tune. Where G does not exist, a human sample and deterministic shape checks should be purchased before more judge calls.</w:t>
      </w:r>
    </w:p>
    <w:p>
      <w:pPr>
        <w:spacing w:after="0" w:before="0" w:line="480" w:lineRule="auto"/>
        <w:ind w:firstLine="720"/>
        <w:jc w:val="left"/>
      </w:pPr>
      <w:r>
        <w:rPr>
          <w:rFonts w:ascii="Times New Roman" w:cs="Times New Roman" w:eastAsia="Times New Roman" w:hAnsi="Times New Roman"/>
          <w:bCs w:val="false"/>
          <w:iCs w:val="false"/>
          <w:sz w:val="24"/>
          <w:szCs w:val="24"/>
        </w:rPr>
        <w:t>Fourth, ship a pilot first. Full promotion is a call exercise, and the quote that made the call look attractive should be the last input to decide it.</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6.5  Limitations and Future Research</w:t>
      </w:r>
    </w:p>
    <w:p>
      <w:pPr>
        <w:spacing w:after="0" w:before="0" w:line="480" w:lineRule="auto"/>
        <w:ind w:firstLine="720"/>
        <w:jc w:val="left"/>
      </w:pPr>
      <w:r>
        <w:rPr>
          <w:rFonts w:ascii="Times New Roman" w:cs="Times New Roman" w:eastAsia="Times New Roman" w:hAnsi="Times New Roman"/>
          <w:bCs w:val="false"/>
          <w:iCs w:val="false"/>
          <w:sz w:val="24"/>
          <w:szCs w:val="24"/>
        </w:rPr>
        <w:t>The laboratory is small by design. It cannot estimate option prices, recover β/(β − 1) thresholds, or speak to traffic at organizational scale. The field design above is the empirical companion, but it has not been executed. Until it is, the propositions are theoretically motivated and only computationally illustrated, which limits what the paper can say about how organizations actually behave.</w:t>
      </w:r>
    </w:p>
    <w:p>
      <w:pPr>
        <w:spacing w:after="0" w:before="0" w:line="480" w:lineRule="auto"/>
        <w:ind w:firstLine="720"/>
        <w:jc w:val="left"/>
      </w:pPr>
      <w:r>
        <w:rPr>
          <w:rFonts w:ascii="Times New Roman" w:cs="Times New Roman" w:eastAsia="Times New Roman" w:hAnsi="Times New Roman"/>
          <w:bCs w:val="false"/>
          <w:iCs w:val="false"/>
          <w:sz w:val="24"/>
          <w:szCs w:val="24"/>
        </w:rPr>
        <w:t>Access is the binding constraint. The firms that run the most mature judge loops are often the least willing to release rubric diffs and decision tickets. The protocol is written to work from structure rather than raw logs, but it will still fail in organizations that treat evaluation as a vendor secret. A second limitation is retrospection: episodes reconstructed from interviews will be tidier than the meetings themselves were. Observing live reviews would correct for this, but it is the part of the design that is hardest to negotiate.</w:t>
      </w:r>
    </w:p>
    <w:p>
      <w:pPr>
        <w:spacing w:after="0" w:before="0" w:line="480" w:lineRule="auto"/>
        <w:ind w:firstLine="720"/>
        <w:jc w:val="left"/>
      </w:pPr>
      <w:r>
        <w:rPr>
          <w:rFonts w:ascii="Times New Roman" w:cs="Times New Roman" w:eastAsia="Times New Roman" w:hAnsi="Times New Roman"/>
          <w:bCs w:val="false"/>
          <w:iCs w:val="false"/>
          <w:sz w:val="24"/>
          <w:szCs w:val="24"/>
        </w:rPr>
        <w:t>The model treats V as a scalar, whereas organizations care about several attributes at once, such as helpfulness, refusal quality, cost, and latency. A multi-attribute extension would make the abandon option attribute-specific and would clarify which canaries belong to which attribute.</w:t>
      </w:r>
    </w:p>
    <w:p>
      <w:pPr>
        <w:spacing w:after="0" w:before="0" w:line="480" w:lineRule="auto"/>
        <w:ind w:firstLine="720"/>
        <w:jc w:val="left"/>
      </w:pPr>
      <w:r>
        <w:rPr>
          <w:rFonts w:ascii="Times New Roman" w:cs="Times New Roman" w:eastAsia="Times New Roman" w:hAnsi="Times New Roman"/>
          <w:bCs w:val="false"/>
          <w:iCs w:val="false"/>
          <w:sz w:val="24"/>
          <w:szCs w:val="24"/>
        </w:rPr>
        <w:t>The model also treats the optimizer as a single agent. In firms, search is distributed across prompt engineers, vendor updates, and fine-tunes. Multi-agent contamination of G is an open governance problem, because holdout sets deteriorate when too many teams can see them.</w:t>
      </w:r>
    </w:p>
    <w:p>
      <w:pPr>
        <w:spacing w:after="0" w:before="0" w:line="480" w:lineRule="auto"/>
        <w:ind w:firstLine="720"/>
        <w:jc w:val="left"/>
      </w:pPr>
      <w:r>
        <w:rPr>
          <w:rFonts w:ascii="Times New Roman" w:cs="Times New Roman" w:eastAsia="Times New Roman" w:hAnsi="Times New Roman"/>
          <w:bCs w:val="false"/>
          <w:iCs w:val="false"/>
          <w:sz w:val="24"/>
          <w:szCs w:val="24"/>
        </w:rPr>
        <w:t>Finally, the paper does not claim that large judges solve the problem. Scale may reduce collapse (Proposition 4) while increasing the sophistication of hacks (Proposition 1). Inspection does not become optional merely because J looks more convincing.</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 xml:space="preserve">7  CONCLUSION</w:t>
      </w:r>
    </w:p>
    <w:p>
      <w:pPr>
        <w:spacing w:after="0" w:before="0" w:line="480" w:lineRule="auto"/>
        <w:ind w:firstLine="720"/>
        <w:jc w:val="left"/>
      </w:pPr>
      <w:r>
        <w:rPr>
          <w:rFonts w:ascii="Times New Roman" w:cs="Times New Roman" w:eastAsia="Times New Roman" w:hAnsi="Times New Roman"/>
          <w:bCs w:val="false"/>
          <w:iCs w:val="false"/>
          <w:sz w:val="24"/>
          <w:szCs w:val="24"/>
        </w:rPr>
        <w:t>Generative AI maintenance is an IT investment that recurs every week, and the instrument that appears to make the investment safe is itself a model. Real options theory, developed for irreversible action under uncertainty, already holds that a rising quote is not a close. This paper has specified what the quote, the inspection, the call, the pilot, and the put correspond to when one language model is used to maintain another, and it has shown in a small open laboratory that the NPV-on-judge rule exercises on a cheat that inspection refuses.</w:t>
      </w:r>
    </w:p>
    <w:p>
      <w:pPr>
        <w:spacing w:after="0" w:before="0" w:line="480" w:lineRule="auto"/>
        <w:ind w:firstLine="720"/>
        <w:jc w:val="left"/>
      </w:pPr>
      <w:r>
        <w:rPr>
          <w:rFonts w:ascii="Times New Roman" w:cs="Times New Roman" w:eastAsia="Times New Roman" w:hAnsi="Times New Roman"/>
          <w:bCs w:val="false"/>
          <w:iCs w:val="false"/>
          <w:sz w:val="24"/>
          <w:szCs w:val="24"/>
        </w:rPr>
        <w:t>The research implication is that measurement-system risk belongs in the IS option menu, and the practical implication is that promotion reviews should keep an options ledger rather than a single dashboard. The next empirical step is to execute the field design by coding promotion episodes against the ledger, in order to see whether judge-based maintenance has preserved the staging discipline that IS research has documented for other IT investments or whether the cheap quote has consumed the option. Until such a corpus exists, the conservative exercise rule is simple enough to state without a pricing kernel: if the inspection has not arrived, F remains on the table, and it should be spent before the foundation is.</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 xml:space="preserve">ACKNOWLEDGMENTS</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Acknowledgments, author identities, and institutional affiliations are omitted from this file to preserve double-anonymous review. They will be supplied on a separate title page at submission.</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 xml:space="preserve">REFERENCES</w:t>
      </w:r>
    </w:p>
    <w:p>
      <w:pPr>
        <w:spacing w:after="160" w:before="0" w:line="276" w:lineRule="auto"/>
        <w:ind w:left="720" w:hanging="720"/>
        <w:jc w:val="left"/>
      </w:pPr>
      <w:r>
        <w:rPr>
          <w:rFonts w:ascii="Times New Roman" w:cs="Times New Roman" w:eastAsia="Times New Roman" w:hAnsi="Times New Roman"/>
          <w:bCs w:val="false"/>
          <w:iCs w:val="false"/>
          <w:sz w:val="24"/>
          <w:szCs w:val="24"/>
        </w:rPr>
        <w:t xml:space="preserve">Benaroch M (2002) Managing information technology investment risk: A real options perspective. </w:t>
      </w:r>
      <w:r>
        <w:rPr>
          <w:rFonts w:ascii="Times New Roman" w:cs="Times New Roman" w:eastAsia="Times New Roman" w:hAnsi="Times New Roman"/>
          <w:bCs w:val="false"/>
          <w:i/>
          <w:iCs w:val="false"/>
          <w:sz w:val="24"/>
          <w:szCs w:val="24"/>
        </w:rPr>
        <w:t>Journal of Management Information Systems</w:t>
      </w:r>
      <w:r>
        <w:rPr>
          <w:rFonts w:ascii="Times New Roman" w:cs="Times New Roman" w:eastAsia="Times New Roman" w:hAnsi="Times New Roman"/>
          <w:bCs w:val="false"/>
          <w:iCs w:val="false"/>
          <w:sz w:val="24"/>
          <w:szCs w:val="24"/>
        </w:rPr>
        <w:t xml:space="preserve"> 19(2): 43–84.</w:t>
      </w:r>
    </w:p>
    <w:p>
      <w:pPr>
        <w:spacing w:after="160" w:before="0" w:line="276" w:lineRule="auto"/>
        <w:ind w:left="720" w:hanging="720"/>
        <w:jc w:val="left"/>
      </w:pPr>
      <w:r>
        <w:rPr>
          <w:rFonts w:ascii="Times New Roman" w:cs="Times New Roman" w:eastAsia="Times New Roman" w:hAnsi="Times New Roman"/>
          <w:bCs w:val="false"/>
          <w:iCs w:val="false"/>
          <w:sz w:val="24"/>
          <w:szCs w:val="24"/>
        </w:rPr>
        <w:t xml:space="preserve">Benaroch M, Lichtenstein Y and Robinson K (2006) Real options in information technology risk management: An empirical validation of risk-option relationships. </w:t>
      </w:r>
      <w:r>
        <w:rPr>
          <w:rFonts w:ascii="Times New Roman" w:cs="Times New Roman" w:eastAsia="Times New Roman" w:hAnsi="Times New Roman"/>
          <w:bCs w:val="false"/>
          <w:i/>
          <w:iCs w:val="false"/>
          <w:sz w:val="24"/>
          <w:szCs w:val="24"/>
        </w:rPr>
        <w:t>MIS Quarterly</w:t>
      </w:r>
      <w:r>
        <w:rPr>
          <w:rFonts w:ascii="Times New Roman" w:cs="Times New Roman" w:eastAsia="Times New Roman" w:hAnsi="Times New Roman"/>
          <w:bCs w:val="false"/>
          <w:iCs w:val="false"/>
          <w:sz w:val="24"/>
          <w:szCs w:val="24"/>
        </w:rPr>
        <w:t xml:space="preserve"> 30(4): 827–864.</w:t>
      </w:r>
    </w:p>
    <w:p>
      <w:pPr>
        <w:spacing w:after="160" w:before="0" w:line="276" w:lineRule="auto"/>
        <w:ind w:left="720" w:hanging="720"/>
        <w:jc w:val="left"/>
      </w:pPr>
      <w:r>
        <w:rPr>
          <w:rFonts w:ascii="Times New Roman" w:cs="Times New Roman" w:eastAsia="Times New Roman" w:hAnsi="Times New Roman"/>
          <w:bCs w:val="false"/>
          <w:iCs w:val="false"/>
          <w:sz w:val="24"/>
          <w:szCs w:val="24"/>
        </w:rPr>
        <w:t xml:space="preserve">Dixit AK and Pindyck RS (1994) </w:t>
      </w:r>
      <w:r>
        <w:rPr>
          <w:rFonts w:ascii="Times New Roman" w:cs="Times New Roman" w:eastAsia="Times New Roman" w:hAnsi="Times New Roman"/>
          <w:bCs w:val="false"/>
          <w:i/>
          <w:iCs w:val="false"/>
          <w:sz w:val="24"/>
          <w:szCs w:val="24"/>
        </w:rPr>
        <w:t>Investment under Uncertainty</w:t>
      </w:r>
      <w:r>
        <w:rPr>
          <w:rFonts w:ascii="Times New Roman" w:cs="Times New Roman" w:eastAsia="Times New Roman" w:hAnsi="Times New Roman"/>
          <w:bCs w:val="false"/>
          <w:iCs w:val="false"/>
          <w:sz w:val="24"/>
          <w:szCs w:val="24"/>
        </w:rPr>
        <w:t>. Princeton, NJ: Princeton University Press.</w:t>
      </w:r>
    </w:p>
    <w:p>
      <w:pPr>
        <w:spacing w:after="160" w:before="0" w:line="276" w:lineRule="auto"/>
        <w:ind w:left="720" w:hanging="720"/>
        <w:jc w:val="left"/>
      </w:pPr>
      <w:r>
        <w:rPr>
          <w:rFonts w:ascii="Times New Roman" w:cs="Times New Roman" w:eastAsia="Times New Roman" w:hAnsi="Times New Roman"/>
          <w:bCs w:val="false"/>
          <w:iCs w:val="false"/>
          <w:sz w:val="24"/>
          <w:szCs w:val="24"/>
        </w:rPr>
        <w:t xml:space="preserve">Fichman RG (2004) Real options and IT platform adoption: Implications for theory and practice. </w:t>
      </w:r>
      <w:r>
        <w:rPr>
          <w:rFonts w:ascii="Times New Roman" w:cs="Times New Roman" w:eastAsia="Times New Roman" w:hAnsi="Times New Roman"/>
          <w:bCs w:val="false"/>
          <w:i/>
          <w:iCs w:val="false"/>
          <w:sz w:val="24"/>
          <w:szCs w:val="24"/>
        </w:rPr>
        <w:t>Information Systems Research</w:t>
      </w:r>
      <w:r>
        <w:rPr>
          <w:rFonts w:ascii="Times New Roman" w:cs="Times New Roman" w:eastAsia="Times New Roman" w:hAnsi="Times New Roman"/>
          <w:bCs w:val="false"/>
          <w:iCs w:val="false"/>
          <w:sz w:val="24"/>
          <w:szCs w:val="24"/>
        </w:rPr>
        <w:t xml:space="preserve"> 15(2): 132–154.</w:t>
      </w:r>
    </w:p>
    <w:p>
      <w:pPr>
        <w:spacing w:after="160" w:before="0" w:line="276" w:lineRule="auto"/>
        <w:ind w:left="720" w:hanging="720"/>
        <w:jc w:val="left"/>
      </w:pPr>
      <w:r>
        <w:rPr>
          <w:rFonts w:ascii="Times New Roman" w:cs="Times New Roman" w:eastAsia="Times New Roman" w:hAnsi="Times New Roman"/>
          <w:bCs w:val="false"/>
          <w:iCs w:val="false"/>
          <w:sz w:val="24"/>
          <w:szCs w:val="24"/>
        </w:rPr>
        <w:t xml:space="preserve">Myers SC (1977) Determinants of corporate borrowing. </w:t>
      </w:r>
      <w:r>
        <w:rPr>
          <w:rFonts w:ascii="Times New Roman" w:cs="Times New Roman" w:eastAsia="Times New Roman" w:hAnsi="Times New Roman"/>
          <w:bCs w:val="false"/>
          <w:i/>
          <w:iCs w:val="false"/>
          <w:sz w:val="24"/>
          <w:szCs w:val="24"/>
        </w:rPr>
        <w:t>Journal of Financial Economics</w:t>
      </w:r>
      <w:r>
        <w:rPr>
          <w:rFonts w:ascii="Times New Roman" w:cs="Times New Roman" w:eastAsia="Times New Roman" w:hAnsi="Times New Roman"/>
          <w:bCs w:val="false"/>
          <w:iCs w:val="false"/>
          <w:sz w:val="24"/>
          <w:szCs w:val="24"/>
        </w:rPr>
        <w:t xml:space="preserve"> 5(2): 147–175.</w:t>
      </w:r>
    </w:p>
    <w:p>
      <w:pPr>
        <w:spacing w:after="160" w:before="0" w:line="276" w:lineRule="auto"/>
        <w:ind w:left="720" w:hanging="720"/>
        <w:jc w:val="left"/>
      </w:pPr>
      <w:r>
        <w:rPr>
          <w:rFonts w:ascii="Times New Roman" w:cs="Times New Roman" w:eastAsia="Times New Roman" w:hAnsi="Times New Roman"/>
          <w:bCs w:val="false"/>
          <w:iCs w:val="false"/>
          <w:sz w:val="24"/>
          <w:szCs w:val="24"/>
        </w:rPr>
        <w:t xml:space="preserve">Ouchi WG (1979) A conceptual framework for the design of organizational control mechanisms. </w:t>
      </w:r>
      <w:r>
        <w:rPr>
          <w:rFonts w:ascii="Times New Roman" w:cs="Times New Roman" w:eastAsia="Times New Roman" w:hAnsi="Times New Roman"/>
          <w:bCs w:val="false"/>
          <w:i/>
          <w:iCs w:val="false"/>
          <w:sz w:val="24"/>
          <w:szCs w:val="24"/>
        </w:rPr>
        <w:t>Management Science</w:t>
      </w:r>
      <w:r>
        <w:rPr>
          <w:rFonts w:ascii="Times New Roman" w:cs="Times New Roman" w:eastAsia="Times New Roman" w:hAnsi="Times New Roman"/>
          <w:bCs w:val="false"/>
          <w:iCs w:val="false"/>
          <w:sz w:val="24"/>
          <w:szCs w:val="24"/>
        </w:rPr>
        <w:t xml:space="preserve"> 25(9): 833–848.</w:t>
      </w:r>
    </w:p>
    <w:p>
      <w:pPr>
        <w:spacing w:after="160" w:before="0" w:line="276" w:lineRule="auto"/>
        <w:ind w:left="720" w:hanging="720"/>
        <w:jc w:val="left"/>
      </w:pPr>
      <w:r>
        <w:rPr>
          <w:rFonts w:ascii="Times New Roman" w:cs="Times New Roman" w:eastAsia="Times New Roman" w:hAnsi="Times New Roman"/>
          <w:bCs w:val="false"/>
          <w:iCs w:val="false"/>
          <w:sz w:val="24"/>
          <w:szCs w:val="24"/>
        </w:rPr>
        <w:t xml:space="preserve">Taudes A, Feurstein M and Mild A (2000) Options analysis of software platform decisions: A case study. </w:t>
      </w:r>
      <w:r>
        <w:rPr>
          <w:rFonts w:ascii="Times New Roman" w:cs="Times New Roman" w:eastAsia="Times New Roman" w:hAnsi="Times New Roman"/>
          <w:bCs w:val="false"/>
          <w:i/>
          <w:iCs w:val="false"/>
          <w:sz w:val="24"/>
          <w:szCs w:val="24"/>
        </w:rPr>
        <w:t>MIS Quarterly</w:t>
      </w:r>
      <w:r>
        <w:rPr>
          <w:rFonts w:ascii="Times New Roman" w:cs="Times New Roman" w:eastAsia="Times New Roman" w:hAnsi="Times New Roman"/>
          <w:bCs w:val="false"/>
          <w:iCs w:val="false"/>
          <w:sz w:val="24"/>
          <w:szCs w:val="24"/>
        </w:rPr>
        <w:t xml:space="preserve"> 24(2): 227–243.</w:t>
      </w:r>
    </w:p>
    <w:p>
      <w:pPr>
        <w:spacing w:after="160" w:before="0" w:line="276" w:lineRule="auto"/>
        <w:ind w:left="720" w:hanging="720"/>
        <w:jc w:val="left"/>
      </w:pPr>
      <w:r>
        <w:rPr>
          <w:rFonts w:ascii="Times New Roman" w:cs="Times New Roman" w:eastAsia="Times New Roman" w:hAnsi="Times New Roman"/>
          <w:bCs w:val="false"/>
          <w:iCs w:val="false"/>
          <w:sz w:val="24"/>
          <w:szCs w:val="24"/>
        </w:rPr>
        <w:t>Tewari G (2026) Pilot early, commit late: A real-options model of enterprise AI adoption under rapid technological progress. Working paper.</w:t>
      </w:r>
    </w:p>
    <w:p>
      <w:pPr>
        <w:spacing w:after="160" w:before="0" w:line="276" w:lineRule="auto"/>
        <w:ind w:left="720" w:hanging="720"/>
        <w:jc w:val="left"/>
      </w:pPr>
      <w:r>
        <w:rPr>
          <w:rFonts w:ascii="Times New Roman" w:cs="Times New Roman" w:eastAsia="Times New Roman" w:hAnsi="Times New Roman"/>
          <w:bCs w:val="false"/>
          <w:iCs w:val="false"/>
          <w:sz w:val="24"/>
          <w:szCs w:val="24"/>
        </w:rPr>
        <w:t xml:space="preserve">Trigeorgis L (1996) </w:t>
      </w:r>
      <w:r>
        <w:rPr>
          <w:rFonts w:ascii="Times New Roman" w:cs="Times New Roman" w:eastAsia="Times New Roman" w:hAnsi="Times New Roman"/>
          <w:bCs w:val="false"/>
          <w:i/>
          <w:iCs w:val="false"/>
          <w:sz w:val="24"/>
          <w:szCs w:val="24"/>
        </w:rPr>
        <w:t>Real Options</w:t>
      </w:r>
      <w:r>
        <w:rPr>
          <w:rFonts w:ascii="Times New Roman" w:cs="Times New Roman" w:eastAsia="Times New Roman" w:hAnsi="Times New Roman"/>
          <w:bCs w:val="false"/>
          <w:iCs w:val="false"/>
          <w:sz w:val="24"/>
          <w:szCs w:val="24"/>
        </w:rPr>
        <w:t>. Cambridge, MA: MIT Press.</w:t>
      </w:r>
    </w:p>
    <w:p>
      <w:pPr>
        <w:spacing w:after="160" w:before="0" w:line="276" w:lineRule="auto"/>
        <w:ind w:left="720" w:hanging="720"/>
        <w:jc w:val="left"/>
      </w:pPr>
      <w:r>
        <w:rPr>
          <w:rFonts w:ascii="Times New Roman" w:cs="Times New Roman" w:eastAsia="Times New Roman" w:hAnsi="Times New Roman"/>
          <w:bCs w:val="false"/>
          <w:iCs w:val="false"/>
          <w:sz w:val="24"/>
          <w:szCs w:val="24"/>
        </w:rPr>
        <w:t xml:space="preserve">Zheng L, Chiang W-L, Sheng Y, et al. (2023) Judging LLM-as-a-judge with MT-Bench and Chatbot Arena. In: </w:t>
      </w:r>
      <w:r>
        <w:rPr>
          <w:rFonts w:ascii="Times New Roman" w:cs="Times New Roman" w:eastAsia="Times New Roman" w:hAnsi="Times New Roman"/>
          <w:bCs w:val="false"/>
          <w:i/>
          <w:iCs w:val="false"/>
          <w:sz w:val="24"/>
          <w:szCs w:val="24"/>
        </w:rPr>
        <w:t>Proceedings of the 37th Conference on Neural Information Processing Systems</w:t>
      </w:r>
      <w:r>
        <w:rPr>
          <w:rFonts w:ascii="Times New Roman" w:cs="Times New Roman" w:eastAsia="Times New Roman" w:hAnsi="Times New Roman"/>
          <w:bCs w:val="false"/>
          <w:iCs w:val="false"/>
          <w:sz w:val="24"/>
          <w:szCs w:val="24"/>
        </w:rPr>
        <w:t>.</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 xml:space="preserve">APPENDIX A: INTERVIEW PROTOCOL</w:t>
      </w:r>
    </w:p>
    <w:p>
      <w:pPr>
        <w:spacing w:after="0" w:before="0" w:line="480" w:lineRule="auto"/>
        <w:ind w:firstLine="720"/>
        <w:jc w:val="left"/>
      </w:pPr>
      <w:r>
        <w:rPr>
          <w:rFonts w:ascii="Times New Roman" w:cs="Times New Roman" w:eastAsia="Times New Roman" w:hAnsi="Times New Roman"/>
          <w:bCs w:val="false"/>
          <w:iCs w:val="false"/>
          <w:sz w:val="24"/>
          <w:szCs w:val="24"/>
        </w:rPr>
        <w:t>Each interview lasts forty-five to sixty minutes. The questions are asked in the order below unless the respondent has already addressed them.</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1. Walk through the last time a generative policy was promoted or refused. What artifact changed?</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2. What number, if any, was treated as sufficient reason to ship?</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3. Who is allowed to say no after that number is green?</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4. Which evaluation items can the people or jobs that search over prompts see?</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5. Do you keep cases on which a very high judge score would worry you?</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6. When did the judge model or the rubric last change? How did you treat scores before and after that change?</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7. Have you shipped a shadow or a percent rollout? What would have made you not expand?</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8. Have you killed a candidate that the judge preferred? What was the other instrument?</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9. Tell me about a dashboard movement that you later decided was not a quality movement.</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10. If the judge were taken away for a month, what would you use instead, and what would you stop shipping?</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 xml:space="preserve">APPENDIX B: EPISODE CODEBOOK</w:t>
      </w:r>
    </w:p>
    <w:p>
      <w:pPr>
        <w:spacing w:after="0" w:before="0" w:line="480" w:lineRule="auto"/>
        <w:ind w:firstLine="720"/>
        <w:jc w:val="left"/>
      </w:pPr>
      <w:r>
        <w:rPr>
          <w:rFonts w:ascii="Times New Roman" w:cs="Times New Roman" w:eastAsia="Times New Roman" w:hAnsi="Times New Roman"/>
          <w:bCs w:val="false"/>
          <w:iCs w:val="false"/>
          <w:sz w:val="24"/>
          <w:szCs w:val="24"/>
        </w:rPr>
        <w:t>Each promotion episode receives a binary or short-text value on each code in Table 2. Coders also write a five-line process memo covering trigger, quote, inspection, decision, and aftermath. The memos feed explanation building, and the codes feed pattern matching across strata.</w:t>
      </w:r>
    </w:p>
    <w:p>
      <w:pPr>
        <w:spacing w:after="0" w:before="0" w:line="480" w:lineRule="auto"/>
        <w:ind w:firstLine="720"/>
        <w:jc w:val="left"/>
      </w:pPr>
      <w:r>
        <w:rPr>
          <w:rFonts w:ascii="Times New Roman" w:cs="Times New Roman" w:eastAsia="Times New Roman" w:hAnsi="Times New Roman"/>
          <w:bCs w:val="false"/>
          <w:iCs w:val="false"/>
          <w:sz w:val="24"/>
          <w:szCs w:val="24"/>
        </w:rPr>
        <w:t>A second coder scores a random half of the episodes, and Cohen’s κ is reported for the binary codes (inspection present, ruler pin, abandon after green J, ruler-jump incident). A κ below 0.60 on any code sends that code back for redefinition rather than to a third coder.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6"/>
      </w:pBdr>
      <w:spacing w:before="80"/>
      <w:jc w:val="center"/>
    </w:pPr>
    <w:r>
      <w:rPr>
        <w:rFonts w:ascii="Times New Roman" w:cs="Times New Roman" w:eastAsia="Times New Roman" w:hAnsi="Times New Roman"/>
        <w:b w:val="false"/>
        <w:bCs w:val="false"/>
        <w:i w:val="false"/>
        <w:iCs w:val="false"/>
        <w:sz w:val="18"/>
        <w:szCs w:val="18"/>
      </w:rPr>
      <w:t xml:space="preserve">Journal of Information Technology submission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spacing w:after="120"/>
      <w:jc w:val="right"/>
    </w:pPr>
    <w:r>
      <w:rPr>
        <w:rFonts w:ascii="Times New Roman" w:cs="Times New Roman" w:eastAsia="Times New Roman" w:hAnsi="Times New Roman"/>
        <w:b w:val="false"/>
        <w:bCs w:val="false"/>
        <w:i/>
        <w:iCs/>
        <w:sz w:val="18"/>
        <w:szCs w:val="18"/>
      </w:rPr>
      <w:t xml:space="preserve">Staging Commitment When the Ruler Can Move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line="480" w:lineRule="auto"/>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200" w:before="280" w:line="480" w:lineRule="auto"/>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60" w:before="240" w:line="480" w:lineRule="auto"/>
      <w:outlineLvl w:val="2"/>
    </w:pPr>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b2ba53fff709f0c95c06c8388c158b9e4de94ba.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2026-09-25T01:06:26.612Z</dcterms:created>
  <dcterms:modified xsi:type="dcterms:W3CDTF">2026-09-25T01:06:26.612Z</dcterms:modified>
</cp:coreProperties>
</file>

<file path=docProps/custom.xml><?xml version="1.0" encoding="utf-8"?>
<Properties xmlns="http://schemas.openxmlformats.org/officeDocument/2006/custom-properties" xmlns:vt="http://schemas.openxmlformats.org/officeDocument/2006/docPropsVTypes"/>
</file>