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Code, data pointers and analysis scripts: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Two simple heuristics, provisioning at the mean incident load and crediting each guardrail layer with its stand-alone effectiveness as if layers failed independently, are easy to apply but can be improved on. We describe the capacity requirement as a quantile of the daily count of human-handled incidents and replace a single Poisson description of all failures by typed classes: hallucinations as thinned, over-dispersed streams; provider incidents as seasonal, level-adjusted processes with at most weak self-excitation; serving failures as heavy-tailed episodes; and heavy-tailed human service. We show analytically that over-dispersion inflates required capacity, that positive association between layers makes the independence formula a lower bound on residual risk, and that, because capacity is integer-valued, cost is not unimodal in the number of layers. We evaluate the pipeline on the outputs of three small open LLMs that answered the same 300 SQuAD 2.0 questions (900 answers) through three executed guardrail layers with measured latency and failures; user arrivals are simulated and informed by public traces of an LLM service, of LLM providers' incidents and of company ticket systems, none of which is a hallucination log. A single task-specific verifier, adopted after an NLI classifier proved uninformative and evaluated on the same questions, reduced required capacity by 78-95% but blocked 15-71% of correct answers; a routed judge added a modest, model-dependent gain at about triple the latency. The share of hallucinations passing a two-layer cascade was 1.6-2.6 times the independence prediction without routing and 2.7-4.6 times with routing, with wide intervals. With mild burstiness (daily-rate CV 0.3-0.44) a Poisson-sized capacity plan was exceeded on 23-32% of days without guardrails and 7-16% with the best cascade, against a target of 5%; in public ticket streams the net-of-trend daily-rate CV was 0.25-0.41 and a causal Poisson plan was exceeded on about 10% of work days, whereas over-dispersion changed the 95% capacity by at most one or two units for low-rate streams (provider incidents, dated court cases). In an illustrative organisation, a typed superposition required 14-48% more daily capacity than a single Poisson on the total, with the gap driven by the assumed dispersion of the hallucination class and by how strongly over-dispersed the serving class is taken to be. Hallucination arrivals are simulated and, to our knowledge, no operator log of hallucinations is public; the models are small and the task is extractive question answering, so the numbers do not transfer to production, whereas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Two simple planning heuristics are easy to apply but can be improved on: provisioning triage capacity at the mean incident load, and crediting each additional guardrail layer with its stand-alone effectiveness as if layers failed independently. Provisioning at the mean leaves the system under-provisioned on roughly 30-50% of days in our measurements, and the independence product is, as we show, an optimistic bound.</w:t>
      </w:r>
    </w:p>
    <w:p>
      <w:pPr>
        <w:spacing w:after="120" w:line="300"/>
        <w:jc w:val="both"/>
      </w:pPr>
      <w:r>
        <w:rPr>
          <w:rFonts w:ascii="Times New Roman" w:cs="Times New Roman" w:eastAsia="Times New Roman" w:hAnsi="Times New Roman"/>
          <w:sz w:val="22"/>
          <w:szCs w:val="22"/>
        </w:rPr>
        <w:t xml:space="preserve">We make four contributions and are explicit about which parts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describe the capacity requirement for LLM incident handling as the quantile of the daily count of human-handled events (Section 3). The quantile rule and the over-dispersion correction are classical (Whitt, 2007; Cameron and Trivedi, 1998); our contribution is to apply them to this arrival stream, to derive how over-dispersion and thinning by guardrails enter the requirement (Propositions 2 and 3), and to check on public request, incident and ticket traces whether the counting-process assumptions hold on comparable real streams. None of these traces is a hallucination log, so hallucination arrivals themselves are assumed or simulated.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human triage with heavy-tailed service; with superposition and clustering results (Proposition 6) and public-data fits (Section 5.8).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cascade (Proposition 4). Dependence between guardrail layers has been measured on real defence stacks (Alotaibi et al., 2026) and the independence product is known to over-credit redundancy (Bhardwaj et al., 2026); we add a measurement on hallucination-grounding layers with uncertainty intervals and carry the correction through to the capacity decision. We also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with comparative statics in the labour-to-compute ratio (Proposition 5); this follows from the model structure and is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pipeline on real model outputs: three small open models answering the same 300 SQuAD 2.0 questions, three guardrail layers executed with measured latency and error behaviour, and traffic replayed through a non-homogeneous arrival process whose daily-rate variability is informed by public traces. Per-query hallucination outcomes, guardrail decisions, layer dependence and latency are measured; arrival times are simulated. To our knowledge, no earlier study combines measured guardrail performance, an incident-count model with dispersion and clustering, and a quantile-based capacity decision in one framework evaluated on real system outputs and public production traces; each ingredient has precedents (Section 2).</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evaluate the integrated pipeline on measured outputs and public traces.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hallucination</w:t>
      </w:r>
      <w:r>
        <w:rPr>
          <w:rFonts w:ascii="Times New Roman" w:cs="Times New Roman" w:eastAsia="Times New Roman" w:hAnsi="Times New Roman"/>
          <w:sz w:val="22"/>
          <w:szCs w:val="22"/>
        </w:rPr>
        <w:t xml:space="preserve"> (a wrong or ungrounded answer) with probability p₀, and the guardrail cascade blocks some of them. We assume that every hallucination that passes all guardrails is detected and becomes exactly one human-handled event that consumes one unit of triage capacity, and call such an event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let q ≤ p₀ be the probability that a query yields one.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 The detection assumption is strong: if only a fraction d of the surviving hallucinations is ever noticed and triaged, the event rate is dλ and, by Proposition 3, the dispersion index is 1 + dλc²; the capacities we report are therefore upper bounds that hold for d = 1, and detection itself is a further failure point that the model does not cover.</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property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If φ stays bounded as λ grows, k∗_mixed(α) = λ + z_α√(λφ) + O(1). If instead the multiplier has a fixed CV c, then φ = 1 + λc² grows with λ and k∗_mixed(α) = λ·F_M⁻¹(α) + O(√λ), where F_M is the distribution of M; in that regime λ + z_α√(λφ) understates the exact quantile by an amount that grows linearly in λ, and √φ is a lower guide for the inflation of the safety stock k∗ - λ, not an exact factor (e.g. for Gamma M at λ = 120.7 and c = 0.3 the exact ratio of the safety stock to its Poisson value is 3.8 against √φ = 3.4; at c = 0.44 it is 5.5 against 4.9). The exact negative-binomial quantile (Table 1) should be used for planning.</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For bounded φ the count is asymptotically normal with variance λφ. For fixed c, X_d/λ → M in distribution as λ → ∞, so the 95% quantile of X_d is asymptotically λF_M⁻¹(α) and the normal approximation fails.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Under independent thinning with constant p the multiplier M, and hence its CV c, is unchanged, so c (rather than φ) is the quantity that can be carried over between streams with different event rates; this transfer requires that p is constant and independent of M, which we assume but do not test for hallucinations.</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The number of layers is an outcome of the model, not a constant.</w:t>
      </w:r>
      <w:r>
        <w:rPr>
          <w:rFonts w:ascii="Times New Roman" w:cs="Times New Roman" w:eastAsia="Times New Roman" w:hAnsi="Times New Roman"/>
          <w:sz w:val="22"/>
          <w:szCs w:val="22"/>
        </w:rPr>
        <w:t xml:space="preserve"> Table 3 uses an illustrative parameter set (λ₀ = 10 events/day, a clearance of 0.63 per layer under independence, $150 per capacity unit, $25 per layer). With k_min = 0 the cost falls from N = 3 to N = 4, rises at N = 5 and falls again at N = 6, where k∗ reaches zero (λ₆ = 0.026 &lt; -ln 0.95), so the minimum is at N = 6; with a realistic floor of one on-call engineer (k_min = 1) the minimum is at N = 4. A fixed number of layers (for instance three) is therefore not implied by the cost model: the optimum depends on the cost ratio, the clearance rates, the dependence between layers and the latency constraint.</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4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residual isolated errors (not modelled)</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the fitted branching ratio is 0.11-0.22 with a constant level and 0.05-0.09 once a monthly level is allowed (Section 5.8), implying a long-window Fano factor of about 1.3-1.6 and 1.1-1.2 respectively, to be compared with stratified dispersion indices of 1.2-1.5 (Section 5.6); for serving-failure episodes α is 0.5-0.85 depending on the episode definition and the second-moment ratio E[X²]/E[X] of the episode sizes is in the thousands, so the Fano factor of failed-request counts is dominated by a few large episodes and a Poisson description of failed requests is inadequate by several orders of magnitude, also after conditioning on traffic volume.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One random sample of 300 questions (seed 0; 148 unanswerable) is drawn once and given to all three models, so the three runs are paired on the same questions and are not independent samples.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deterministic, classifier and semantic-judge architecture of the production literature,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 (extractive-QA verifier).</w:t>
      </w:r>
      <w:r>
        <w:rPr>
          <w:rFonts w:ascii="Times New Roman" w:cs="Times New Roman" w:eastAsia="Times New Roman" w:hAnsi="Times New Roman"/>
          <w:sz w:val="22"/>
          <w:szCs w:val="22"/>
        </w:rPr>
        <w:t xml:space="preserve"> A SQuAD 2.0-trained extractive-QA model (deepset/roberta-base-squad2) answers the question from the evidence passage; the score is the token-F1 between its span and the generator's answer (0 if it predicts "no answer"), and the output is blocked if the score is below 0.5 (a threshold we did not tune). The first implementation of L2 was an NLI cross-encoder (DeBERTa-v3-small; He et al., 2021) scoring P(passage entails "the answer to Q is A"); it was uninformative and was replaced after we had seen the results (Section 5.1). Llama Guard-type classifiers target safety-policy violations rather than factual grounding and were therefore not used.</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in every run) given the passage, question and answer, replying SUPPORTED or UNSUPPORTED (Zheng et al., 2023). It is invoked only when routed: when L2 is present, only if the L2 score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as scenario values. They lie in or near the range of 0.25-0.41 estimated net of trend from public human-handled ticket streams (Section 5.7); 0.44 is also the smallest coefficient of variation of any 14-day window of BurstGPT (Section 5.6), whose variability over the whole trace is much larger, so it is a floor for that trace and not a net-of-trend estimate comparable to the ticket values. Each arriving query replays a uniformly drawn example from the measured pool; it becomes a critical event (a hallucination that survives the cascade and is detected, Section 3.1)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Cascade selection and cost model</w:t>
      </w:r>
    </w:p>
    <w:p>
      <w:pPr>
        <w:spacing w:after="120" w:line="300"/>
        <w:jc w:val="both"/>
      </w:pPr>
      <w:r>
        <w:rPr>
          <w:rFonts w:ascii="Times New Roman" w:cs="Times New Roman" w:eastAsia="Times New Roman" w:hAnsi="Times New Roman"/>
          <w:sz w:val="22"/>
          <w:szCs w:val="22"/>
        </w:rPr>
        <w:t xml:space="preserve">The replay evaluates the cascades L1, L2, L3 and their combinations in the canonical order L1, L2, L3 (all subsets, including no guardrail). </w:t>
      </w:r>
      <w:r>
        <w:rPr>
          <w:rFonts w:ascii="Times New Roman" w:cs="Times New Roman" w:eastAsia="Times New Roman" w:hAnsi="Times New Roman"/>
          <w:b/>
          <w:bCs/>
          <w:sz w:val="22"/>
          <w:szCs w:val="22"/>
        </w:rPr>
        <w:t xml:space="preserve">Selection objective.</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best cascade</w:t>
      </w:r>
      <w:r>
        <w:rPr>
          <w:rFonts w:ascii="Times New Roman" w:cs="Times New Roman" w:eastAsia="Times New Roman" w:hAnsi="Times New Roman"/>
          <w:sz w:val="22"/>
          <w:szCs w:val="22"/>
        </w:rPr>
        <w:t xml:space="preserve"> is the one that minimises k∗ + 0.02·(mean added latency in ms) + (system failures per day) among cascades whose mean added latency is within the stated budget (100 ms, or 500 ms where indicated). The weights (1, 0.02 per ms, 1 per daily system failure) are arbitrary and are not tuned; they are used to produce one ranking for Sections 5.4 and 5.8 (L1+L2 under the 500 ms budget for all three generators). </w:t>
      </w:r>
      <w:r>
        <w:rPr>
          <w:rFonts w:ascii="Times New Roman" w:cs="Times New Roman" w:eastAsia="Times New Roman" w:hAnsi="Times New Roman"/>
          <w:b/>
          <w:bCs/>
          <w:sz w:val="22"/>
          <w:szCs w:val="22"/>
        </w:rPr>
        <w:t xml:space="preserve">Cost model.</w:t>
      </w:r>
      <w:r>
        <w:rPr>
          <w:rFonts w:ascii="Times New Roman" w:cs="Times New Roman" w:eastAsia="Times New Roman" w:hAnsi="Times New Roman"/>
          <w:sz w:val="22"/>
          <w:szCs w:val="22"/>
        </w:rPr>
        <w:t xml:space="preserve"> Daily cost is C_h·max(k_min, k∗) + compute + false-block cost + residual-harm cost, with C_h = $150 per capacity unit, compute $0.0001 per classifier call and $0.002 per judge call, false-block cost $1 per wrongly blocked answer and residual-harm cost $100 per hallucination reaching a user (illustrative scenario values, not estimates). The </w:t>
      </w:r>
      <w:r>
        <w:rPr>
          <w:rFonts w:ascii="Times New Roman" w:cs="Times New Roman" w:eastAsia="Times New Roman" w:hAnsi="Times New Roman"/>
          <w:i/>
          <w:iCs/>
          <w:sz w:val="22"/>
          <w:szCs w:val="22"/>
        </w:rPr>
        <w:t xml:space="preserve">minimum-dollar cascade</w:t>
      </w:r>
      <w:r>
        <w:rPr>
          <w:rFonts w:ascii="Times New Roman" w:cs="Times New Roman" w:eastAsia="Times New Roman" w:hAnsi="Times New Roman"/>
          <w:sz w:val="22"/>
          <w:szCs w:val="22"/>
        </w:rPr>
        <w:t xml:space="preserve"> of Section 5.5 minimises this cost; it can differ from the best cascade because it ignores latency and system failures. A sensitivity grid varies daily traffic (50, 200 and 800 queries), the false-block cost ($0, $1, $10) and the residual-harm cost ($0, $100, $1,000), i.e. 27 scenarios per generator. Uncertainty from the finite evaluation pool is quantified by pool-bootstrap intervals (resampling examples), including paired intervals for the cost differences between cascades.</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et al., 2018; 24,918 incidents in 2016-2017) and the help-desk log of an Italian software company (Verenich, 2016; 3,804 cases, 2010-2012). Filters: for the software company we keep tickets of type "Ticket", created in 2017 or later and resolved as "Done" (22,016 of 66,691 rows; 45,275 are of type Ticket, 23,871 of them created from 2017 on); the work week is detected from the data as the five busiest days of the week (Sunday-Thursday for this company, Monday-Friday for the others). The ServiceNow log has 98.9% of its incidents opened between 29 February and 1 June 2016, so its arrival analysis uses only the stationary middle weeks (7 March to 27 May 2016) and its concurrency is not analysed.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 For </w:t>
      </w:r>
      <w:r>
        <w:rPr>
          <w:rFonts w:ascii="Times New Roman" w:cs="Times New Roman" w:eastAsia="Times New Roman" w:hAnsi="Times New Roman"/>
          <w:b/>
          <w:bCs/>
          <w:sz w:val="22"/>
          <w:szCs w:val="22"/>
        </w:rPr>
        <w:t xml:space="preserve">dated hallucination incidents</w:t>
      </w:r>
      <w:r>
        <w:rPr>
          <w:rFonts w:ascii="Times New Roman" w:cs="Times New Roman" w:eastAsia="Times New Roman" w:hAnsi="Times New Roman"/>
          <w:sz w:val="22"/>
          <w:szCs w:val="22"/>
        </w:rPr>
        <w:t xml:space="preserve"> we analyse the Charlotin database of court decisions with AI-fabricated content (Charlotin, 2026): the decision date at day resolution for October 2025 to August 2026, work-day counts with the same stratified and local-mean analysis as for tickets. The Poisson plan is evaluated twice: against a two-sided local mean (in-sample, not a feasible forecast) and causally, with the trailing 20-workday mean and a coefficient of variation estimated on earlier days only (rolling origin).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400,000 simulated days, seed 0) by Monte Carlo to compare the 95% capacity of the typed superposition with a single Poisson on the total (Section 5.8); the hallucination class uses the measured rate of the L1+L2 cascade for Qwen2.5-0.5B and an assumed daily-rate CV in 0.3-0.45, the provider class the rate and stratified dispersion index of Section 5.6, and the serving class the episode rate over the 231 recorded days with the daily dispersion index under three treatments (two episode definitions and a volume-conditional value). All simulations and bootstrap draws are seeded and reproducible with the scripts of the repository.</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the same 300 SQuAD 2.0 questions given to each model (148 of them unanswerable), the hallucination rate is 60.3% (Qwen2.5-0.5B), 65.0% (SmolLM2-360M) and 47.0% (Qwen2.5-1.5B); 75-90% of the hallucinations are answers to unanswerable questions. Table 5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 The judge is Qwen2.5-1.5B-Instruct in every run, so the Qwen2.5-1.5B arm is judged by itself; we did not test for a self-judging effect.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an NLI cross-encoder.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a capacity reduction by itself does not distinguish a useful layer from a layer that blocks indiscriminately, which is why false-block rates are reported next to it. We replaced the NLI layer by an extractive-QA verifier (a SQuAD 2.0-trained RoBERTa model whose own answer span is compared with the generator's answer by token-F1; AUC 0.84-0.90) and re-ran all layers on the stored answers. This replacement was made after seeing the results and the verifier is evaluated on the same 300 questions; it is effectively a second solver of the task it verifies and it was trained on SQuAD, which flatters it relative to a generic classifier. All numbers below use it.</w:t>
      </w:r>
    </w:p>
    <w:p>
      <w:pPr>
        <w:keepNext/>
        <w:spacing w:after="60" w:before="160"/>
      </w:pPr>
      <w:r>
        <w:rPr>
          <w:rFonts w:ascii="Times New Roman" w:cs="Times New Roman" w:eastAsia="Times New Roman" w:hAnsi="Times New Roman"/>
          <w:b/>
          <w:bCs/>
          <w:sz w:val="20"/>
          <w:szCs w:val="20"/>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(denominators 119, 103 and 136).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associated (φ = 0.24, 0.17, 0.15 for the three generators; 95% bootstrap intervals [0.05, 0.43], [0.03, 0.28], [-0.03, 0.34]; chi-square p = 0.001, 0.017, 0.066), in the direction of Proposition 4; the interval of the Qwen2.5-1.5B arm includes zero, and since the three runs use the same questions they are not independent replications. L1 catches only 1-10 hallucinations per generator, so the L1 pairs (φ ≤ 0.09) are uninformative. The consequence for the residual rate is sizeable (Figure 1, left). For the L2+L3 cascade, the share of hallucinations that pass all layers is 1.1-3.9% under the independence formula (computed from the same sample's marginals), but 2.6-6.4% when both layers are run on every answer, i.e. 2.6, 2.3, 1.6 times higher (8, 5, 9 hallucinations pass; 95% pool-bootstrap intervals [1.3, 4.1], [1.3, 3.2], [0.9, 2.5]; for Qwen2.5-1.5B the excess is not distinguishable from 1). With dynamic routing of only low-agreement answers to the judge the ratios are 4.6, 2.7, 4.0 ([3.2, 7.0], [2.3, 3.4], [2.9, 5.9]), a consistently large excess. The absolute numbers of passing answers are small (8, 5, 9 without and 14, 6, 22 with routing), so the point estimates are imprecise and the independence-based ranking should not be taken as exact.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2; Proposition 2). Under the best cascade by the objective of Section 4.4 (L1+L2, λ ≈ 4-17/day) the effect is smaller in absolute capacity but the observed exceedance of the Poisson plan is still 10-11% (Table 6).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Data-informed scenario.</w:t>
      </w:r>
      <w:r>
        <w:rPr>
          <w:rFonts w:ascii="Times New Roman" w:cs="Times New Roman" w:eastAsia="Times New Roman" w:hAnsi="Times New Roman"/>
          <w:sz w:val="22"/>
          <w:szCs w:val="22"/>
        </w:rPr>
        <w:t xml:space="preserve"> The smallest coefficient of variation of any 14-day window of the BurstGPT trace is c = 0.44 (a floor for that trace, whose median window CV is 0.91; Section 5.6), and the daily-rate CV net of trend in public human-handled ticket streams is 0.25-0.41 (Section 5.7); c = 0.3 and c = 0.44 are scenario values in or near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best cascade by the objective of Section 4.4 within the 500 ms budget; it is not the minimum-dollar cascade of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follows Proposition 2 (for given c, φ = 1 + λc² is smaller when the event rate λ is smaller, and the Fano factor of the request stream is diluted by thinning, Proposition 3): over-dispersion inflates the safety stock less in absolute terms (about 5, 1, 8 extra units) although the exceedance probability stays two to three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7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task-specific verifier (L2)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a 100 ms budget only L1 and L2 (L2 takes about 90-100 ms here) are feasible and no judge layer fits; under 500 ms the routed judge fits on average but not at the 95th percentile (1.8-1.9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Selection and cost.</w:t>
      </w:r>
      <w:r>
        <w:rPr>
          <w:rFonts w:ascii="Times New Roman" w:cs="Times New Roman" w:eastAsia="Times New Roman" w:hAnsi="Times New Roman"/>
          <w:sz w:val="22"/>
          <w:szCs w:val="22"/>
        </w:rPr>
        <w:t xml:space="preserve"> The best cascade by the objective of Section 4.4 is L1+L2 for all three generators. At the scenario costs (C_h = $150 per capacity unit, $1 per falsely blocked answer, $100 per hallucination reaching a user; illustrative values) the minimum-dollar cascade is different for two of them: L1+L2+L3 for Qwen2.5-0.5B, L1+L2 for SmolLM2-360M, L1+L2+L3 for Qwen2.5-1.5B, because the judge lowers k∗ (19 to 15, 8 to 8, 24 to 21 for the three generators). The daily cost falls from $32,917, $35,350, $25,900 without guardrails to $3,201, $1,649, $4,639 at the minimum. Paired pool-bootstrap intervals for the daily saving from adding the routed judge to L1+L2 are $929 [274, 1,861]; $-2 [-5, -0]; $709 [130, 1,575] for the three generators, so the judge pays for itself for the two Qwen generators at these costs, through a reduction of k∗ by only 4 and 3 units, but not for SmolLM2-360M, whose classifier leaves only 6 of the 300 hallucinations for the judge to catch (none were caught). The generator dependence is therefore a statement about these three runs on the same questions, with small numbers of residual hallucinations (19, 6, 26), not a general finding; the 27-scenario grid of Section 4.4 varies cost parameters and does not reflect sampling error, so the ranking being stable across it does not make the choice robust.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counts are more variable than Poisson: the variance-to-mean ratio of counts per bin (Poisson = 1; median over hours with a mean of at least one request per bin, 919, 2477, 3984 and 4999 hours at the four scales) is 1.4 at 1 s, 5.3 at 10 s, 3.9 at 1 min and 5.1 at 10 min, i.e. requests are clustered at every scale from 1 s upward (mildly at 1 s, strongly from 10 s). By Proposition 3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and the robust log-standard deviation around a 15-day rolling median is 0.80. Net of the local level (day count over the mean of the 14 neighbouring days) the coefficient of variation is 1.13 in days 0-120 and 3.65 in days 225-334. The smallest coefficient of variation of any of the 163 14-day windows with all days above 1,000 requests is 0.44 (mean 140k requests/day; the median window has 0.91), so 0.44 is a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for the variability of this trace and not an estimate comparable to the net-of-trend values of Section 5.7. The variability reflects traffic growth, campaigns, regime shifts and possibly logging gaps and not only random fluctuation (the series also contains 7 near-duplicate day pairs, which we treat as a data artefact), so we use it as a stress test, not as an estimate of the dispersion of hallucination counts. As a stress test we replay the measured multipliers (rescaled to mean 1 so that λ is the true mean rate) on an event stream with mean λ = 10 and 120 events/day: the Poisson plan (15 and 138 units) is exceeded on 23% and 31% of days with the multipliers of days 0-120 (CV 1.2) and on 16% and 23% with those of days 225-334 (CV 2.8, inflated by regime shifts), against a target of 5%, and the empirical 95% quantiles of the replayed counts are 30, 332, 29, 334 units (λ = 10 and 120 in each period) instead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Part of this over-dispersion may come from a changing incident rate over the 18 months, which a weekday-stratified test does not remove (Section 5.8 adjusts the baseline for it).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remains modest (about 1.2-1.5 here, from the stratified indices)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The time-averaged number of concurrently open incidents is 0.11, which equals the M/G/∞ mean by Little's law and therefore is not a test; the more informative comparison is that the 95th percentile of the open count is 1, as for a Poisson occupancy with that mean (1), and that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spacing w:after="120" w:line="300"/>
        <w:jc w:val="both"/>
      </w:pPr>
      <w:r>
        <w:rPr>
          <w:rFonts w:ascii="Times New Roman" w:cs="Times New Roman" w:eastAsia="Times New Roman" w:hAnsi="Times New Roman"/>
          <w:b/>
          <w:bCs/>
          <w:sz w:val="22"/>
          <w:szCs w:val="22"/>
        </w:rPr>
        <w:t xml:space="preserve">Dated hallucination cases (court decisions).</w:t>
      </w:r>
      <w:r>
        <w:rPr>
          <w:rFonts w:ascii="Times New Roman" w:cs="Times New Roman" w:eastAsia="Times New Roman" w:hAnsi="Times New Roman"/>
          <w:sz w:val="22"/>
          <w:szCs w:val="22"/>
        </w:rPr>
        <w:t xml:space="preserve"> The only public, dated log of hallucination incidents we found is a curated database of court decisions in which a party relied on AI-fabricated content (Charlotin; 2,149 dated cases, 2023-04-14 to 2026-10-01). It is legal-domain only, the date is the decision date at day resolution, and detection and reporting bias is strong: counts grew from a handful per month to over a hundred in 2025, so only the flatter period from October 2025 to August 2026 (1,527 cases, 6.3 per weekday, weekend rate 0.04 of the weekday rate; the latest, incomplete month is excluded) is analysed. In that period the weekday counts are over-dispersed relative to Poisson (day-of-week-stratified index 1.40, p = 1×10⁻4; daily-rate CV net of trend 0.24), but at this rate the effect on capacity is small: a Poisson plan against the local mean is exceeded on 6.3% of weekdays (5.6% with a causal trailing-mean plan) and a negative-binomial plan on 4.2%. This is consistent with Proposition 2 and with the other low-rate streams, and it is, to our knowledge, the only dispersion estimate for dated hallucination incidents that public data allow, with the caveats above.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family of public data concerns what happens after an incident is detected: how tickets arrive at, and are worked by, human teams in real organisations. The streams are customer-support and IT-incident tickets, not LLM incidents, but they are the best available public evidence on the arrival variability and the service-time distribution of human triage. The ServiceNow log is only useful for arrivals in its stationary middle weeks (98.9% of its incidents are opened between 29 February and 1 June 2016), so that stream is a 12-week segment.</w:t>
      </w:r>
    </w:p>
    <w:p>
      <w:pPr>
        <w:keepNext/>
        <w:spacing w:after="60" w:before="160"/>
      </w:pPr>
      <w:r>
        <w:rPr>
          <w:rFonts w:ascii="Times New Roman" w:cs="Times New Roman" w:eastAsia="Times New Roman" w:hAnsi="Times New Roman"/>
          <w:b/>
          <w:bCs/>
          <w:sz w:val="20"/>
          <w:szCs w:val="20"/>
        </w:rPr>
        <w:t xml:space="preserve">Table 8. Arrival structure of human-handled ticket streams (work days only; Poisson plan = 95% quantile of Poisson with the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250"/>
        <w:gridCol w:w="950"/>
        <w:gridCol w:w="1050"/>
        <w:gridCol w:w="91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(20 days)</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high-priority subset</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5,257 (3.5)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r>
    </w:tbl>
    <w:p>
      <w:pPr>
        <w:spacing w:after="160" w:before="40"/>
      </w:pPr>
      <w:r>
        <w:rPr>
          <w:rFonts w:ascii="Times New Roman" w:cs="Times New Roman" w:eastAsia="Times New Roman" w:hAnsi="Times New Roman"/>
          <w:i/>
          <w:iCs/>
          <w:sz w:val="18"/>
          <w:szCs w:val="18"/>
        </w:rPr>
        <w:t xml:space="preserve">Target exceedance is 5%. In-sample: the local mean is a two-sided leave-one-out mean of about 8 surrounding work days after removing the weekday effect, and c is estimated from the same days that are scored, so neither is a feasible forecast. Causal: trailing 20-work-day mean, c estimated on earlier days only, rolling origin. The software company works Sunday to Thursday (weekend = Friday and Saturday); the other work weeks are Monday to Friday.</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streams are strongly non-homogeneous over the week and the day (hour-of-week homogeneity rejected, p &lt; 10⁻¹⁰⁰; weekend ticket rates are 0.09, 0.12 and 0.04 of work-day rates), and arrivals are far from Poisson even after time-rescaling (p &lt; 10⁻⁹⁰ for the two long streams), because daily volumes vary beyond the weekly cycle. Net of slow trends and the weekday effect, the coefficient of variation of the daily rate is 0.32 (software company), 0.41 (Italian help desk) and 0.25 (ServiceNow segment), and 0.33 for the high-priority subset of the software company (3.5 tickets per work day); the dated hallucination cases of Section 5.6 give 0.24. These values are of similar size and close to the scenarios used in Section 5.4 (c = 0.3 and 0.44), which supports c of about 0.25-0.45 as a plausible range for human-handled incident streams, although all of them come from non-LLM or legal-domain streams. Because φ = 1 + λc², the effect on capacity depends on the rate: against the in-sample local mean, a Poisson-sized plan is exceeded on 9.0%, 7.5% and 35.0% of work days (about 13, 5 and 350 tickets per day) instead of 5%, and 4.9% for the high-priority subset at 3.5 per day. A causal plan (trailing mean and previous-days c, which is what an operator could actually use) is exceeded on 9.6% and 9.7% of days for the two long streams with the Poisson quantile and 1.9% and 2.9% with a negative-binomial quantile (conservative, because c is estimated on trend-contaminated early days). The negative-binomial results in the in-sample columns are a calibration check of Proposition 2 rather than an out-of-sample test, since c is estimated from the same days that are scored; the causal columns are the feasible comparison.</w:t>
      </w:r>
    </w:p>
    <w:p>
      <w:pPr>
        <w:keepNext/>
        <w:spacing w:after="60" w:before="160"/>
      </w:pPr>
      <w:r>
        <w:rPr>
          <w:rFonts w:ascii="Times New Roman" w:cs="Times New Roman" w:eastAsia="Times New Roman" w:hAnsi="Times New Roman"/>
          <w:b/>
          <w:bCs/>
          <w:sz w:val="20"/>
          <w:szCs w:val="20"/>
        </w:rPr>
        <w:t xml:space="preserve">Table 9.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in the "in progress" state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treat the service-time tail explicitly rather than through a mean-based utilisation. Second, in the one stream with handling-time data (the software company; workload = the in-progress hours of the tickets created that day, attributed to the creation day, work days only) the 95th percentile of the daily workload is 3.4 times its mean, against 2.0 for the daily ticket count (CVs 1.35 and 0.58); capacity measured in handling hours thus needs a larger multiple of the mean than capacity measured in arrivals, and the "unit of triage capacity" of Section 3.2 must be defined for a typical ticket with the workload tail added separately. The in-progress time is calendar time in a workflow state, not effort, and the comparison is not detrended, so the ratio is indicative only.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For the two steady streams the time-average number of open tickets is 290 (software company) and 34 (Italian help desk), with variance-to-mean ratios of 21 and 2.6 (Poisson occupancy has 1). The observed 95th percentile of open tickets is 384 and 51, against Poisson (M/G/∞) predictions with the same mean of 319 and 44: a Poisson-based backlog capacity is too small by 20% and 16%. The first and last 5% of time were removed to limit edge effects, and the ServiceNow log is not used here because it starts and stops abruptly.</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10.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and held fixed; second row of each stream: additionally multiplied by a monthly level estimated from the monthly counts. Exponential excitation kernel; bootstrap p from 200 parametric simulations under the corresponding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a drifting level and mild self-excitation.</w:t>
      </w:r>
      <w:r>
        <w:rPr>
          <w:rFonts w:ascii="Times New Roman" w:cs="Times New Roman" w:eastAsia="Times New Roman" w:hAnsi="Times New Roman"/>
          <w:sz w:val="22"/>
          <w:szCs w:val="22"/>
        </w:rPr>
        <w:t xml:space="preserve"> The incident rate was not constant over the 18 months: monthly counts were 11-27 in the first twelve months and 27-54 afterwards (homogeneity across months rejected, χ² = 87 on 17 df). With a fixed seasonal profile and a constant level, a self-exciting term improves the fit for every stream (AIC gains of 9-26; the bootstrap rejects the NHPP for all four streams; branching ratio 0.11-0.21), but part of this is the slowly changing level, which the self-excitation term can mimic. With the baseline multiplied by a monthly level, the estimated branching ratio falls to 0.05-0.09 (mean cluster 1.06-1.10 incidents, half-life 1.5-3.8 h), the AIC gains shrink to 2-4, the bootstrap p-values are 0.015-0.025, and the time-rescaling test no longer rejects the NHPP for the combined stream (p = 0.17), OpenAI and the major and critical subset, so a weekday/hour profile with a drifting level already describes most of the data. A weak residual self-excitation remains (roughly one incident in 11 to 18 followed by a clustered successor, with borderline evidence), and Anthropic's time-rescaling test still rejects the NHPP (p = 0.016). The implied long-window Fano factor of 1.15 (Proposition 6b) is below the stratified dispersion index of 1.30 of Section 5.6, so part of the measured over-dispersion is the drifting level. The conclusion for planning is modest: provider incidents need a seasonal, level-adjusted baseline; whether they also cluster is weakly supported and the effect is small at this rate.</w:t>
      </w:r>
    </w:p>
    <w:p>
      <w:pPr>
        <w:spacing w:after="120" w:line="300"/>
        <w:jc w:val="both"/>
      </w:pPr>
      <w:r>
        <w:rPr>
          <w:rFonts w:ascii="Times New Roman" w:cs="Times New Roman" w:eastAsia="Times New Roman" w:hAnsi="Times New Roman"/>
          <w:b/>
          <w:bCs/>
          <w:sz w:val="22"/>
          <w:szCs w:val="22"/>
        </w:rPr>
        <w:t xml:space="preserve">Serving failures: heavy-tailed episodes.</w:t>
      </w:r>
      <w:r>
        <w:rPr>
          <w:rFonts w:ascii="Times New Roman" w:cs="Times New Roman" w:eastAsia="Times New Roman" w:hAnsi="Times New Roman"/>
          <w:sz w:val="22"/>
          <w:szCs w:val="22"/>
        </w:rPr>
        <w:t xml:space="preserve"> In the BurstGPT trace, failed requests are concentrated: 3.6% of active minutes (outage-like episodes, defined as minutes with more than 20% failed requests and at least five failures, merged when ten minutes apart) contain 68.1% of all 487,629 failures (26-96% across the five definitions of Table 11). The 672 episodes have a median duration of 4 minutes (90th percentile 27, maximum 455) and heavy-tailed sizes: median 78 failed requests, mean 494, 99th percentile 10,419, maximum 27,908 (CV 4.7). A lognormal fit has σ = 1.70; the Hill estimator on the upper 20% gives a tail index of about 0.9, which at n = 672 cannot discriminate a Pareto tail with infinite variance from the lognormal, so we do not read it as evidence of an infinite variance. What matters for Proposition 6c is the second-moment ratio E[X²]/E[X] of the episode sizes, which is 11,374 empirically and 5,838 under the lognormal fit: the Fano factor of failed-request counts that arrive in such episodes is in the thousands. Because request volume itself ranges from 52 to 425,604 per day, we also condition on volume: the Pearson dispersion of daily failed-request counts given the daily request volume (expected count proportional to volume, 231 days) is 5,961, far from the value of about 1 of a Poisson-thinned stream, so a Poisson description of failed requests is wrong by several orders of magnitude even after allowing for traffic. The episodes themselves are not Poisson either: they average 2.9 per day; the daily dispersion index is 19.9 unconditionally and 16.3 given daily volume (123 days with an expected count of at least one); inter-arrival times have a coefficient of variation of 4.2; and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(p = 4×10⁻7 and 9×10⁻10). The branching ratio depends on how episodes are delimited (Table 11): it stays between 0.52 and 0.85 for five definitions and the heavy tail of sizes persists, but the unconditional daily dispersion index of episode counts ranges from 2.1 to 19.9, and a long outage may be split into several fragments, so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11.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with parameters taken from our estimates and independent classes: hallucinations after the classifier-only cascade L1+L2 (λ_H = 12.7 per day, Qwen2.5-0.5B run; the daily-rate CV c_H is assumed in the range 0.3-0.45, near the 0.32 and 0.41 estimated net of trend for the two steady ticket streams, so φ_H = 1 + λ_H c_H² = 2.14-3.57 by Proposition 2), provider incidents affecting the organisation (λ_P = 0.83, φ_P = 1.30 from the day-of-week-stratified index) and own serving-failure episodes (λ_S from the episode counts over the 231 recorded days; φ_S = 2.1 for the coarse definition, 19.9 for the fine one, and 16.3 when conditioned on volume). Treating the total as one Poisson stream gives a 95% capacity of 23 (fine definition) or 21 (coarse) units per day at c_H = 0.37; the typed superposition requires 33 and 25, and the single-Poisson plan is exceeded on 15.4% and 12.6% of days instead of 5% (Monte Carlo of 400,000 days; effective dispersion φ_eff = 2.6-5.7, Proposition 6a). Across the nine scenarios (c_H of 0.3, 0.37 and 0.45 × three treatments of the serving class) the required capacity is 24-34 units against a single-Poisson plan of 21-23, i.e. 14-48% more, with the single-Poisson plan exceeded on 10.5%-17.2% of days. The hallucination class alone, whose dispersion is assumed, accounts for a gap of 21% (23 rather than 19 units); the provider class adds little, and the serving class widens the gap substantially only when it is treated as strongly over-dispersed (fine definition or volume-conditional dispersion), while with the coarse definition the total gap is about that of the hallucination class. The scenario is therefore an illustration of the size of the single-Poisson error under stated assumptions, not evidence for the typed model: class means are not those of any real organisation, the comparator is a single Poisson (a negative-binomial plan on the total would close part of the gap), and a serving outage would plausibly raise the hallucination and ticket volumes at the same time, which would widen it.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failed on 28-49% of days across the configurations we measured. The Poisson quantile fixes this when daily counts are Poisson, but Proposition 2 and the burst experiments show that a modest day-to-day variation in demand (CV 0.3-0.44) raises the exceedance rate of a Poisson-sized plan from 5% to 23-28% (c = 0.3) and 30-32% (c = 0.44) without guardrails; real LLM request streams vary far more than that (a stress test, Section 5.6). Dispersion should be estimated from incident logs before the plan is fixed. Over-dispersion matters most for large incident streams (weak guardrails) and least for small ones (Propositions 2 and 3): provider outages at about 0.8 per day and dated hallucination cases at about 6 per weekday were statistically over-dispersed but changed the 95% capacity by at most one or two units, whereas the ServiceNow segment (about 350 tickets per work day) and the unprotected hallucination stream of 100+ events per day were affected strongly.</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task-specific verifier delivered most of the benefit (a 78-95% reduction in required capacity at the price of 15-71% of correct answers blocked), the deterministic layer was nearly inert, and the judge added a modest, model-dependent gain at about three times the latency. A fixed "three layers" prescription is not supported by these data;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with a drifting level and at most a weak clustering, serving failures arrive in heavy-tailed episodes (68.1% of failed requests fall in 3.6% of the active minutes), and human triage has heavy-tailed service. In our illustrative organisation a typed superposition required 14-48% more daily capacity than a single Poisson on the total across nine scenarios; the gap is driven by the assumed over-dispersion of the hallucination class and by how strongly over-dispersed the serving class is taken to be, so the example shows the size of the single-Poisson error under stated assumptions rather than a validated gain.</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public ticket streams the day-to-day coefficient of variation of the arrival rate was 0.25-0.41 net of trend, a Poisson-sized plan against the in-sample local mean was exceeded on 7-35% of work days instead of 5% (the two long streams: 9.6% and 9.7% with a causal plan), resolution times had coefficients of variation of 1.3-3.0 with decreasing hazards, and in the one stream with handling-time data the 95th percentile of the daily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the share of hallucinations passing the L2+L3 cascade was 2.7-4.6 times the independence prediction with routing against 1.6-2.6 times without it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 and 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operator log of hallucinations.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so the Poisson and time-rescaling checks of Section 5.3 verify the machinery and are partly by construction. The public traces we use (BurstGPT, the provider incident history, the ticket logs) are real production data but record request arrivals, service incidents and human tickets, not hallucinations. The only dated hallucination log we found is a curated database of court decisions (Section 5.6), which is domain-specific, at day resolution, and subject to strong detection and reporting bias. To our knowledge no public production log of hallucination incidents from an operator exists. The burstiness of the replay is therefore a scenario informed by, not estimated from, real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The detection assumption.</w:t>
      </w:r>
      <w:r>
        <w:rPr>
          <w:rFonts w:ascii="Times New Roman" w:cs="Times New Roman" w:eastAsia="Times New Roman" w:hAnsi="Times New Roman"/>
          <w:sz w:val="22"/>
          <w:szCs w:val="22"/>
        </w:rPr>
        <w:t xml:space="preserve"> The model assumes that every hallucination that passes the guardrails is detected and becomes exactly one human-handled event. In practice only a fraction is noticed or reported, and detection is a failure point of its own; the capacities we report are upper bounds that hold for full detection (Section 3.1).</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sample, shared questions, post-hoc layer change.</w:t>
      </w:r>
      <w:r>
        <w:rPr>
          <w:rFonts w:ascii="Times New Roman" w:cs="Times New Roman" w:eastAsia="Times New Roman" w:hAnsi="Times New Roman"/>
          <w:sz w:val="22"/>
          <w:szCs w:val="22"/>
        </w:rPr>
        <w:t xml:space="preserve"> The three generators answered the same 300 questions, so their results are paired and not independent replications, and each layer estimate rests on 141-195 hallucinations and a few to a few dozen residual ones. The extractive-QA verifier was introduced after the NLI classifier proved uninformative, so the L2 choice was made after seeing results on the same data; it is trained on SQuAD, which flatters it relative to a domain-agnostic classifier, and its threshold was not tuned. The judge is Qwen2.5-1.5B in every run, so one arm is self-judged.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Dependence estimates are imprecise.</w:t>
      </w:r>
      <w:r>
        <w:rPr>
          <w:rFonts w:ascii="Times New Roman" w:cs="Times New Roman" w:eastAsia="Times New Roman" w:hAnsi="Times New Roman"/>
          <w:sz w:val="22"/>
          <w:szCs w:val="22"/>
        </w:rPr>
        <w:t xml:space="preserve"> The positive association between L2 and L3 and the excess over the independence formula have wide bootstrap intervals, and for one generator the no-routing excess is not distinguishable from one; the independence prediction is computed from the same sample's marginals.</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11) and may split a long outage into fragments; the bootstrap p-values are bounded below by 1/(B + 1). The capacity comparison of Section 5.8 combines classes from different organisations and datasets under independence, with an assumed hallucination dispersion and a single Poisson as the comparator; common-cause dependence between classes would widen the gap.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ticket streams are customer-support and IT incidents; whether LLM-hallucination tickets share their arrival variability and service times is an assumption (plausible for the daily-rate CV, which is invariant to independent thinning with constant p, less so for service times, which depend on the verification task). Resolution times are calendar times that include waiting for customers or vendors and are not triage effort; the in-progress state time is a closer but still imperfect proxy. Ticket volumes in two of the logs change over their span, which we address by estimating variability against a local mean, the ServiceNow log can be used only for a 12-week segment, and the arrival-variability estimates of Section 5.7 rest on three streams.</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its smallest 14-day coefficient of variation as a floor,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 and cost parameters.</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and inflates the base rate. The cost parameters and selection weights are assumptions; only the labour-to-compute ratio and the sensitivity grid are informative, and the grid does not reflect sampling error.</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apart from the weekly profile, a local level and the Cox-type multiplier; long-run trends, holidays and sudden regime shifts are only handled through the local mean estimates.</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human-handled LLM incidents as a counting process turns guardrail performance into a staffing and cost decision. Under the stated assumptions, capacity should be sized from an over-dispersion-aware quantile of the daily count; the multiplicative guardrail formula is an optimistic bound whose gap must be measured; a single Poisson on all failures misdescribes every class (hallucinations are over-dispersed through demand variability, provider incidents are seasonal with a drifting level and weak clustering, serving failures are heavy-tailed episodes); and the cost-minimising number of layers depends on integer capacity effects, the floor on standing staff, latency, the labour-to-compute ratio and the measured clearance, and is not fixed at three. On measured outputs of three small open models answering the same 300 questions, a single task-specific verifier reduced the required capacity by 78-95% relative to no guardrails while blocking 15-71% of correct answers; a routed judge added a further modest reduction for two of the three generators at about triple the latency, and every cascade incurred false blocks and system failures. The share of hallucinations passing a two-layer cascade was 1.6-2.6 times the independence prediction without routing and 2.7-4.6 times with routing, with wide intervals. Mild burstiness (daily-rate CV of 0.3-0.44, a range informed by public ticket streams and a production trace) raised the exceedance rate of a Poisson-sized plan from 5% to roughly 23-32% without guardrails and 7-16% with the best cascade. Public production data corroborate the structure: an LLM request trace shows clustered arrivals from the 10-second scale upward, provider incident streams are strongly seasonal with a drifting level and over-dispersion that remains after weekday stratification, a log of dated hallucination cases shows the same mild over-dispersion at about six cases per weekday, and company ticket streams show a net-of-trend daily rate CV of 0.25-0.41 and heavy-tailed resolution times. Hallucination arrivals themselves are simulated and no operator log of hallucinations is public, so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Chen, Chhun, Jaramillo-Gutierrez, Mylius, Raaj, Slattery, and McGregor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Lozhkov, Bakouch, Blázquez, Penedo, Tunstall, Marafioti, Kydlíček, Piqueres Lajarín, Srivastav, Lochner, Fahlgren, Nguyen, Fourrier, Burtenshaw, Larcher, Zhao, Zakka, Morlon, Raffel, von Werra, and Wolf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Jabbar, Al-Azani, and Ahmed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and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Singh, and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Charlotin, D. (2026). AI Hallucination Cases database (court decisions with AI-fabricated content). https://www.damiencharlotin.com/hallucinations/ (CC BY 4.0; accessed 6 October 2026).</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Upasani, Chi, Rungta, Iyer, Mao, Tontchev, Hu, Fuller, Testuggine, and Khabsa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Lee, Frieske, Yu, Su, Xu, Ishii, Bang, Chen, Dai, Chan, Madotto, and Fung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Perez, Piktus, Petroni, Karpukhin, Goyal, Küttler, Lewis, Yih, Rocktäschel, Riedel, and Kiela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and Zhang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and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Chen, Li, Kang, Fang, Zhou, Zheng, Tang, He, Guo, Wang, Wang, Zhou, and Chu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Chiang, Sheng, Zhuang, Wu, Zhuang, Lin, Li, Li, Xing, Zhang, Gonzalez, and Stoica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2026-10-06T08:36:11.340Z</dcterms:created>
  <dcterms:modified xsi:type="dcterms:W3CDTF">2026-10-06T08:36:11.341Z</dcterms:modified>
</cp:coreProperties>
</file>

<file path=docProps/custom.xml><?xml version="1.0" encoding="utf-8"?>
<Properties xmlns="http://schemas.openxmlformats.org/officeDocument/2006/custom-properties" xmlns:vt="http://schemas.openxmlformats.org/officeDocument/2006/docPropsVTypes"/>
</file>