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Is</w:t>
      </w:r>
      <w:r>
        <w:t xml:space="preserve"> </w:t>
      </w:r>
      <w:r>
        <w:t xml:space="preserve">Adapter</w:t>
      </w:r>
      <w:r>
        <w:t xml:space="preserve"> </w:t>
      </w:r>
      <w:r>
        <w:t xml:space="preserve">Transfer</w:t>
      </w:r>
      <w:r>
        <w:t xml:space="preserve"> </w:t>
      </w:r>
      <w:r>
        <w:t xml:space="preserve">Worth</w:t>
      </w:r>
      <w:r>
        <w:t xml:space="preserve"> </w:t>
      </w:r>
      <w:r>
        <w:t xml:space="preserve">Its</w:t>
      </w:r>
      <w:r>
        <w:t xml:space="preserve"> </w:t>
      </w:r>
      <w:r>
        <w:t xml:space="preserve">Cost?</w:t>
      </w:r>
      <w:r>
        <w:t xml:space="preserve"> </w:t>
      </w:r>
      <w:r>
        <w:t xml:space="preserve">A</w:t>
      </w:r>
      <w:r>
        <w:t xml:space="preserve"> </w:t>
      </w:r>
      <w:r>
        <w:t xml:space="preserve">Decision</w:t>
      </w:r>
      <w:r>
        <w:t xml:space="preserve"> </w:t>
      </w:r>
      <w:r>
        <w:t xml:space="preserve">Model</w:t>
      </w:r>
      <w:r>
        <w:t xml:space="preserve"> </w:t>
      </w:r>
      <w:r>
        <w:t xml:space="preserve">for</w:t>
      </w:r>
      <w:r>
        <w:t xml:space="preserve"> </w:t>
      </w:r>
      <w:r>
        <w:t xml:space="preserve">Maintaining</w:t>
      </w:r>
      <w:r>
        <w:t xml:space="preserve"> </w:t>
      </w:r>
      <w:r>
        <w:t xml:space="preserve">Fine-Tuned</w:t>
      </w:r>
      <w:r>
        <w:t xml:space="preserve"> </w:t>
      </w:r>
      <w:r>
        <w:t xml:space="preserve">Language-Model</w:t>
      </w:r>
      <w:r>
        <w:t xml:space="preserve"> </w:t>
      </w:r>
      <w:r>
        <w:t xml:space="preserve">Adapters</w:t>
      </w:r>
      <w:r>
        <w:t xml:space="preserve"> </w:t>
      </w:r>
      <w:r>
        <w:t xml:space="preserve">Across</w:t>
      </w:r>
      <w:r>
        <w:t xml:space="preserve"> </w:t>
      </w:r>
      <w:r>
        <w:t xml:space="preserve">Foundation-Model</w:t>
      </w:r>
      <w:r>
        <w:t xml:space="preserve"> </w:t>
      </w:r>
      <w:r>
        <w:t xml:space="preserve">Upgrades</w:t>
      </w:r>
    </w:p>
    <w:p>
      <w:pPr>
        <w:pStyle w:val="Author"/>
      </w:pPr>
      <w:r>
        <w:t xml:space="preserve">Ook</w:t>
      </w:r>
      <w:r>
        <w:t xml:space="preserve"> </w:t>
      </w:r>
      <w:r>
        <w:t xml:space="preserve">Lee</w:t>
      </w:r>
      <w:r>
        <w:br/>
      </w:r>
      <w:r>
        <w:t xml:space="preserve">Department</w:t>
      </w:r>
      <w:r>
        <w:t xml:space="preserve"> </w:t>
      </w:r>
      <w:r>
        <w:t xml:space="preserve">of</w:t>
      </w:r>
      <w:r>
        <w:t xml:space="preserve"> </w:t>
      </w:r>
      <w:r>
        <w:t xml:space="preserve">Information</w:t>
      </w:r>
      <w:r>
        <w:t xml:space="preserve"> </w:t>
      </w:r>
      <w:r>
        <w:t xml:space="preserve">System,</w:t>
      </w:r>
      <w:r>
        <w:t xml:space="preserve"> </w:t>
      </w:r>
      <w:r>
        <w:t xml:space="preserve">Hanyang</w:t>
      </w:r>
      <w:r>
        <w:t xml:space="preserve"> </w:t>
      </w:r>
      <w:r>
        <w:t xml:space="preserve">University,</w:t>
      </w:r>
      <w:r>
        <w:t xml:space="preserve"> </w:t>
      </w:r>
      <w:r>
        <w:t xml:space="preserve">Seoul,</w:t>
      </w:r>
      <w:r>
        <w:t xml:space="preserve"> </w:t>
      </w:r>
      <w:r>
        <w:t xml:space="preserve">Republic</w:t>
      </w:r>
      <w:r>
        <w:t xml:space="preserve"> </w:t>
      </w:r>
      <w:r>
        <w:t xml:space="preserve">of</w:t>
      </w:r>
      <w:r>
        <w:t xml:space="preserve"> </w:t>
      </w:r>
      <w:r>
        <w:t xml:space="preserve">Korea</w:t>
      </w:r>
      <w:r>
        <w:br/>
      </w:r>
      <w:r>
        <w:t xml:space="preserve">Corresponding</w:t>
      </w:r>
      <w:r>
        <w:t xml:space="preserve"> </w:t>
      </w:r>
      <w:r>
        <w:t xml:space="preserve">author.</w:t>
      </w:r>
      <w:r>
        <w:t xml:space="preserve"> </w:t>
      </w:r>
      <w:r>
        <w:t xml:space="preserve">E-mail:</w:t>
      </w:r>
      <w:r>
        <w:t xml:space="preserve"> </w:t>
      </w:r>
      <w:r>
        <w:rPr>
          <w:bCs/>
          <w:b/>
        </w:rPr>
        <w:t xml:space="preserve">[to</w:t>
      </w:r>
      <w:r>
        <w:rPr>
          <w:bCs/>
          <w:b/>
        </w:rPr>
        <w:t xml:space="preserve"> </w:t>
      </w:r>
      <w:r>
        <w:rPr>
          <w:bCs/>
          <w:b/>
        </w:rPr>
        <w:t xml:space="preserve">be</w:t>
      </w:r>
      <w:r>
        <w:rPr>
          <w:bCs/>
          <w:b/>
        </w:rPr>
        <w:t xml:space="preserve"> </w:t>
      </w:r>
      <w:r>
        <w:rPr>
          <w:bCs/>
          <w:b/>
        </w:rPr>
        <w:t xml:space="preserve">added]</w:t>
      </w:r>
    </w:p>
    <w:p>
      <w:pPr>
        <w:pStyle w:val="AbstractTitle"/>
      </w:pPr>
      <w:r>
        <w:t xml:space="preserve">Abstract</w:t>
      </w:r>
    </w:p>
    <w:p>
      <w:pPr>
        <w:pStyle w:val="Abstract"/>
      </w:pPr>
      <w:r>
        <w:t xml:space="preserve">Organizations</w:t>
      </w:r>
      <w:r>
        <w:t xml:space="preserve"> </w:t>
      </w:r>
      <w:r>
        <w:t xml:space="preserve">that</w:t>
      </w:r>
      <w:r>
        <w:t xml:space="preserve"> </w:t>
      </w:r>
      <w:r>
        <w:t xml:space="preserve">build</w:t>
      </w:r>
      <w:r>
        <w:t xml:space="preserve"> </w:t>
      </w:r>
      <w:r>
        <w:t xml:space="preserve">on</w:t>
      </w:r>
      <w:r>
        <w:t xml:space="preserve"> </w:t>
      </w:r>
      <w:r>
        <w:t xml:space="preserve">foundation</w:t>
      </w:r>
      <w:r>
        <w:t xml:space="preserve"> </w:t>
      </w:r>
      <w:r>
        <w:t xml:space="preserve">models</w:t>
      </w:r>
      <w:r>
        <w:t xml:space="preserve"> </w:t>
      </w:r>
      <w:r>
        <w:t xml:space="preserve">they</w:t>
      </w:r>
      <w:r>
        <w:t xml:space="preserve"> </w:t>
      </w:r>
      <w:r>
        <w:t xml:space="preserve">do</w:t>
      </w:r>
      <w:r>
        <w:t xml:space="preserve"> </w:t>
      </w:r>
      <w:r>
        <w:t xml:space="preserve">not</w:t>
      </w:r>
      <w:r>
        <w:t xml:space="preserve"> </w:t>
      </w:r>
      <w:r>
        <w:t xml:space="preserve">control</w:t>
      </w:r>
      <w:r>
        <w:t xml:space="preserve"> </w:t>
      </w:r>
      <w:r>
        <w:t xml:space="preserve">must</w:t>
      </w:r>
      <w:r>
        <w:t xml:space="preserve"> </w:t>
      </w:r>
      <w:r>
        <w:t xml:space="preserve">decide,</w:t>
      </w:r>
      <w:r>
        <w:t xml:space="preserve"> </w:t>
      </w:r>
      <w:r>
        <w:t xml:space="preserve">after</w:t>
      </w:r>
      <w:r>
        <w:t xml:space="preserve"> </w:t>
      </w:r>
      <w:r>
        <w:t xml:space="preserve">every</w:t>
      </w:r>
      <w:r>
        <w:t xml:space="preserve"> </w:t>
      </w:r>
      <w:r>
        <w:t xml:space="preserve">provider</w:t>
      </w:r>
      <w:r>
        <w:t xml:space="preserve"> </w:t>
      </w:r>
      <w:r>
        <w:t xml:space="preserve">upgrade,</w:t>
      </w:r>
      <w:r>
        <w:t xml:space="preserve"> </w:t>
      </w:r>
      <w:r>
        <w:t xml:space="preserve">whether</w:t>
      </w:r>
      <w:r>
        <w:t xml:space="preserve"> </w:t>
      </w:r>
      <w:r>
        <w:t xml:space="preserve">to</w:t>
      </w:r>
      <w:r>
        <w:t xml:space="preserve"> </w:t>
      </w:r>
      <w:r>
        <w:t xml:space="preserve">retrain</w:t>
      </w:r>
      <w:r>
        <w:t xml:space="preserve"> </w:t>
      </w:r>
      <w:r>
        <w:t xml:space="preserve">the</w:t>
      </w:r>
      <w:r>
        <w:t xml:space="preserve"> </w:t>
      </w:r>
      <w:r>
        <w:t xml:space="preserve">adapters</w:t>
      </w:r>
      <w:r>
        <w:t xml:space="preserve"> </w:t>
      </w:r>
      <w:r>
        <w:t xml:space="preserve">that</w:t>
      </w:r>
      <w:r>
        <w:t xml:space="preserve"> </w:t>
      </w:r>
      <w:r>
        <w:t xml:space="preserve">hold</w:t>
      </w:r>
      <w:r>
        <w:t xml:space="preserve"> </w:t>
      </w:r>
      <w:r>
        <w:t xml:space="preserve">their</w:t>
      </w:r>
      <w:r>
        <w:t xml:space="preserve"> </w:t>
      </w:r>
      <w:r>
        <w:t xml:space="preserve">task</w:t>
      </w:r>
      <w:r>
        <w:t xml:space="preserve"> </w:t>
      </w:r>
      <w:r>
        <w:t xml:space="preserve">knowledge,</w:t>
      </w:r>
      <w:r>
        <w:t xml:space="preserve"> </w:t>
      </w:r>
      <w:r>
        <w:t xml:space="preserve">to</w:t>
      </w:r>
      <w:r>
        <w:t xml:space="preserve"> </w:t>
      </w:r>
      <w:r>
        <w:t xml:space="preserve">keep</w:t>
      </w:r>
      <w:r>
        <w:t xml:space="preserve"> </w:t>
      </w:r>
      <w:r>
        <w:t xml:space="preserve">reusing</w:t>
      </w:r>
      <w:r>
        <w:t xml:space="preserve"> </w:t>
      </w:r>
      <w:r>
        <w:t xml:space="preserve">them,</w:t>
      </w:r>
      <w:r>
        <w:t xml:space="preserve"> </w:t>
      </w:r>
      <w:r>
        <w:t xml:space="preserve">or</w:t>
      </w:r>
      <w:r>
        <w:t xml:space="preserve"> </w:t>
      </w:r>
      <w:r>
        <w:t xml:space="preserve">to</w:t>
      </w:r>
      <w:r>
        <w:t xml:space="preserve"> </w:t>
      </w:r>
      <w:r>
        <w:t xml:space="preserve">apply</w:t>
      </w:r>
      <w:r>
        <w:t xml:space="preserve"> </w:t>
      </w:r>
      <w:r>
        <w:t xml:space="preserve">a</w:t>
      </w:r>
      <w:r>
        <w:t xml:space="preserve"> </w:t>
      </w:r>
      <w:r>
        <w:t xml:space="preserve">cheaper</w:t>
      </w:r>
      <w:r>
        <w:t xml:space="preserve"> </w:t>
      </w:r>
      <w:r>
        <w:t xml:space="preserve">transfer</w:t>
      </w:r>
      <w:r>
        <w:t xml:space="preserve"> </w:t>
      </w:r>
      <w:r>
        <w:t xml:space="preserve">procedure.</w:t>
      </w:r>
      <w:r>
        <w:t xml:space="preserve"> </w:t>
      </w:r>
      <w:r>
        <w:t xml:space="preserve">We</w:t>
      </w:r>
      <w:r>
        <w:t xml:space="preserve"> </w:t>
      </w:r>
      <w:r>
        <w:t xml:space="preserve">formulate</w:t>
      </w:r>
      <w:r>
        <w:t xml:space="preserve"> </w:t>
      </w:r>
      <w:r>
        <w:t xml:space="preserve">this</w:t>
      </w:r>
      <w:r>
        <w:t xml:space="preserve"> </w:t>
      </w:r>
      <w:r>
        <w:t xml:space="preserve">problem</w:t>
      </w:r>
      <w:r>
        <w:t xml:space="preserve"> </w:t>
      </w:r>
      <w:r>
        <w:t xml:space="preserve">as</w:t>
      </w:r>
      <w:r>
        <w:t xml:space="preserve"> </w:t>
      </w:r>
      <w:r>
        <w:t xml:space="preserve">optimal</w:t>
      </w:r>
      <w:r>
        <w:t xml:space="preserve"> </w:t>
      </w:r>
      <w:r>
        <w:t xml:space="preserve">stopping</w:t>
      </w:r>
      <w:r>
        <w:t xml:space="preserve"> </w:t>
      </w:r>
      <w:r>
        <w:t xml:space="preserve">in</w:t>
      </w:r>
      <w:r>
        <w:t xml:space="preserve"> </w:t>
      </w:r>
      <w:r>
        <w:t xml:space="preserve">which</w:t>
      </w:r>
      <w:r>
        <w:t xml:space="preserve"> </w:t>
      </w:r>
      <w:r>
        <w:t xml:space="preserve">upgrades</w:t>
      </w:r>
      <w:r>
        <w:t xml:space="preserve"> </w:t>
      </w:r>
      <w:r>
        <w:t xml:space="preserve">arrive</w:t>
      </w:r>
      <w:r>
        <w:t xml:space="preserve"> </w:t>
      </w:r>
      <w:r>
        <w:t xml:space="preserve">stochastically,</w:t>
      </w:r>
      <w:r>
        <w:t xml:space="preserve"> </w:t>
      </w:r>
      <w:r>
        <w:t xml:space="preserve">the</w:t>
      </w:r>
      <w:r>
        <w:t xml:space="preserve"> </w:t>
      </w:r>
      <w:r>
        <w:t xml:space="preserve">value</w:t>
      </w:r>
      <w:r>
        <w:t xml:space="preserve"> </w:t>
      </w:r>
      <w:r>
        <w:t xml:space="preserve">at</w:t>
      </w:r>
      <w:r>
        <w:t xml:space="preserve"> </w:t>
      </w:r>
      <w:r>
        <w:t xml:space="preserve">stake</w:t>
      </w:r>
      <w:r>
        <w:t xml:space="preserve"> </w:t>
      </w:r>
      <w:r>
        <w:t xml:space="preserve">evolves</w:t>
      </w:r>
      <w:r>
        <w:t xml:space="preserve"> </w:t>
      </w:r>
      <w:r>
        <w:t xml:space="preserve">randomly,</w:t>
      </w:r>
      <w:r>
        <w:t xml:space="preserve"> </w:t>
      </w:r>
      <w:r>
        <w:t xml:space="preserve">and</w:t>
      </w:r>
      <w:r>
        <w:t xml:space="preserve"> </w:t>
      </w:r>
      <w:r>
        <w:t xml:space="preserve">a</w:t>
      </w:r>
      <w:r>
        <w:t xml:space="preserve"> </w:t>
      </w:r>
      <w:r>
        <w:t xml:space="preserve">transfer</w:t>
      </w:r>
      <w:r>
        <w:t xml:space="preserve"> </w:t>
      </w:r>
      <w:r>
        <w:t xml:space="preserve">method</w:t>
      </w:r>
      <w:r>
        <w:t xml:space="preserve"> </w:t>
      </w:r>
      <w:r>
        <w:t xml:space="preserve">is</w:t>
      </w:r>
      <w:r>
        <w:t xml:space="preserve"> </w:t>
      </w:r>
      <w:r>
        <w:t xml:space="preserve">characterized</w:t>
      </w:r>
      <w:r>
        <w:t xml:space="preserve"> </w:t>
      </w:r>
      <w:r>
        <w:t xml:space="preserve">by</w:t>
      </w:r>
      <w:r>
        <w:t xml:space="preserve"> </w:t>
      </w:r>
      <w:r>
        <w:t xml:space="preserve">the</w:t>
      </w:r>
      <w:r>
        <w:t xml:space="preserve"> </w:t>
      </w:r>
      <w:r>
        <w:t xml:space="preserve">share</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it</w:t>
      </w:r>
      <w:r>
        <w:t xml:space="preserve"> </w:t>
      </w:r>
      <w:r>
        <w:t xml:space="preserve">recovers</w:t>
      </w:r>
      <w:r>
        <w:t xml:space="preserve"> </w:t>
      </w:r>
      <w:r>
        <w:t xml:space="preserve">and</w:t>
      </w:r>
      <w:r>
        <w:t xml:space="preserve"> </w:t>
      </w:r>
      <w:r>
        <w:t xml:space="preserve">by</w:t>
      </w:r>
      <w:r>
        <w:t xml:space="preserve"> </w:t>
      </w:r>
      <w:r>
        <w:t xml:space="preserve">its</w:t>
      </w:r>
      <w:r>
        <w:t xml:space="preserve"> </w:t>
      </w:r>
      <w:r>
        <w:t xml:space="preserve">cost.</w:t>
      </w:r>
      <w:r>
        <w:t xml:space="preserve"> </w:t>
      </w:r>
      <w:r>
        <w:t xml:space="preserve">The</w:t>
      </w:r>
      <w:r>
        <w:t xml:space="preserve"> </w:t>
      </w:r>
      <w:r>
        <w:t xml:space="preserve">solution</w:t>
      </w:r>
      <w:r>
        <w:t xml:space="preserve"> </w:t>
      </w:r>
      <w:r>
        <w:t xml:space="preserve">is</w:t>
      </w:r>
      <w:r>
        <w:t xml:space="preserve"> </w:t>
      </w:r>
      <w:r>
        <w:t xml:space="preserve">a</w:t>
      </w:r>
      <w:r>
        <w:t xml:space="preserve"> </w:t>
      </w:r>
      <w:r>
        <w:t xml:space="preserve">closed-form</w:t>
      </w:r>
      <w:r>
        <w:t xml:space="preserve"> </w:t>
      </w:r>
      <w:r>
        <w:t xml:space="preserve">retraining</w:t>
      </w:r>
      <w:r>
        <w:t xml:space="preserve"> </w:t>
      </w:r>
      <w:r>
        <w:t xml:space="preserve">threshold</w:t>
      </w:r>
      <w:r>
        <w:t xml:space="preserve"> </w:t>
      </w:r>
      <w:r>
        <w:t xml:space="preserve">together</w:t>
      </w:r>
      <w:r>
        <w:t xml:space="preserve"> </w:t>
      </w:r>
      <w:r>
        <w:t xml:space="preserve">with</w:t>
      </w:r>
      <w:r>
        <w:t xml:space="preserve"> </w:t>
      </w:r>
      <w:r>
        <w:t xml:space="preserve">a</w:t>
      </w:r>
      <w:r>
        <w:t xml:space="preserve"> </w:t>
      </w:r>
      <w:r>
        <w:t xml:space="preserve">break-even</w:t>
      </w:r>
      <w:r>
        <w:t xml:space="preserve"> </w:t>
      </w:r>
      <w:r>
        <w:t xml:space="preserve">recovery</w:t>
      </w:r>
      <w:r>
        <w:t xml:space="preserve"> </w:t>
      </w:r>
      <w:r>
        <w:t xml:space="preserve">that</w:t>
      </w:r>
      <w:r>
        <w:t xml:space="preserve"> </w:t>
      </w:r>
      <w:r>
        <w:t xml:space="preserve">any</w:t>
      </w:r>
      <w:r>
        <w:t xml:space="preserve"> </w:t>
      </w:r>
      <w:r>
        <w:t xml:space="preserve">transfer</w:t>
      </w:r>
      <w:r>
        <w:t xml:space="preserve"> </w:t>
      </w:r>
      <w:r>
        <w:t xml:space="preserve">method</w:t>
      </w:r>
      <w:r>
        <w:t xml:space="preserve"> </w:t>
      </w:r>
      <w:r>
        <w:t xml:space="preserve">must</w:t>
      </w:r>
      <w:r>
        <w:t xml:space="preserve"> </w:t>
      </w:r>
      <w:r>
        <w:t xml:space="preserve">exceed</w:t>
      </w:r>
      <w:r>
        <w:t xml:space="preserve"> </w:t>
      </w:r>
      <w:r>
        <w:t xml:space="preserve">to</w:t>
      </w:r>
      <w:r>
        <w:t xml:space="preserve"> </w:t>
      </w:r>
      <w:r>
        <w:t xml:space="preserve">be</w:t>
      </w:r>
      <w:r>
        <w:t xml:space="preserve"> </w:t>
      </w:r>
      <w:r>
        <w:t xml:space="preserve">worth</w:t>
      </w:r>
      <w:r>
        <w:t xml:space="preserve"> </w:t>
      </w:r>
      <w:r>
        <w:t xml:space="preserve">its</w:t>
      </w:r>
      <w:r>
        <w:t xml:space="preserve"> </w:t>
      </w:r>
      <w:r>
        <w:t xml:space="preserve">price.</w:t>
      </w:r>
      <w:r>
        <w:t xml:space="preserve"> </w:t>
      </w:r>
      <w:r>
        <w:t xml:space="preserve">We</w:t>
      </w:r>
      <w:r>
        <w:t xml:space="preserve"> </w:t>
      </w:r>
      <w:r>
        <w:t xml:space="preserve">measure</w:t>
      </w:r>
      <w:r>
        <w:t xml:space="preserve"> </w:t>
      </w:r>
      <w:r>
        <w:t xml:space="preserve">recovery</w:t>
      </w:r>
      <w:r>
        <w:t xml:space="preserve"> </w:t>
      </w:r>
      <w:r>
        <w:t xml:space="preserve">on</w:t>
      </w:r>
      <w:r>
        <w:t xml:space="preserve"> </w:t>
      </w:r>
      <w:r>
        <w:t xml:space="preserve">open</w:t>
      </w:r>
      <w:r>
        <w:t xml:space="preserve"> </w:t>
      </w:r>
      <w:r>
        <w:t xml:space="preserve">model</w:t>
      </w:r>
      <w:r>
        <w:t xml:space="preserve"> </w:t>
      </w:r>
      <w:r>
        <w:t xml:space="preserve">pairs.</w:t>
      </w:r>
      <w:r>
        <w:t xml:space="preserve"> </w:t>
      </w:r>
      <w:r>
        <w:t xml:space="preserve">Within</w:t>
      </w:r>
      <w:r>
        <w:t xml:space="preserve"> </w:t>
      </w:r>
      <w:r>
        <w:t xml:space="preserve">one</w:t>
      </w:r>
      <w:r>
        <w:t xml:space="preserve"> </w:t>
      </w:r>
      <w:r>
        <w:t xml:space="preserve">model</w:t>
      </w:r>
      <w:r>
        <w:t xml:space="preserve"> </w:t>
      </w:r>
      <w:r>
        <w:t xml:space="preserve">family,</w:t>
      </w:r>
      <w:r>
        <w:t xml:space="preserve"> </w:t>
      </w:r>
      <w:r>
        <w:t xml:space="preserve">copying</w:t>
      </w:r>
      <w:r>
        <w:t xml:space="preserve"> </w:t>
      </w:r>
      <w:r>
        <w:t xml:space="preserve">the</w:t>
      </w:r>
      <w:r>
        <w:t xml:space="preserve"> </w:t>
      </w:r>
      <w:r>
        <w:t xml:space="preserve">old</w:t>
      </w:r>
      <w:r>
        <w:t xml:space="preserve"> </w:t>
      </w:r>
      <w:r>
        <w:t xml:space="preserve">adapter</w:t>
      </w:r>
      <w:r>
        <w:t xml:space="preserve"> </w:t>
      </w:r>
      <w:r>
        <w:t xml:space="preserve">restores</w:t>
      </w:r>
      <w:r>
        <w:t xml:space="preserve"> </w:t>
      </w:r>
      <w:r>
        <w:t xml:space="preserve">96</w:t>
      </w:r>
      <w:r>
        <w:t xml:space="preserve"> </w:t>
      </w:r>
      <w:r>
        <w:t xml:space="preserve">percent</w:t>
      </w:r>
      <w:r>
        <w:t xml:space="preserve"> </w:t>
      </w:r>
      <w:r>
        <w:t xml:space="preserve">of</w:t>
      </w:r>
      <w:r>
        <w:t xml:space="preserve"> </w:t>
      </w:r>
      <w:r>
        <w:t xml:space="preserve">the</w:t>
      </w:r>
      <w:r>
        <w:t xml:space="preserve"> </w:t>
      </w:r>
      <w:r>
        <w:t xml:space="preserve">retraining</w:t>
      </w:r>
      <w:r>
        <w:t xml:space="preserve"> </w:t>
      </w:r>
      <w:r>
        <w:t xml:space="preserve">benefit</w:t>
      </w:r>
      <w:r>
        <w:t xml:space="preserve"> </w:t>
      </w:r>
      <w:r>
        <w:t xml:space="preserve">after</w:t>
      </w:r>
      <w:r>
        <w:t xml:space="preserve"> </w:t>
      </w:r>
      <w:r>
        <w:t xml:space="preserve">a</w:t>
      </w:r>
      <w:r>
        <w:t xml:space="preserve"> </w:t>
      </w:r>
      <w:r>
        <w:t xml:space="preserve">small</w:t>
      </w:r>
      <w:r>
        <w:t xml:space="preserve"> </w:t>
      </w:r>
      <w:r>
        <w:t xml:space="preserve">upgrade,</w:t>
      </w:r>
      <w:r>
        <w:t xml:space="preserve"> </w:t>
      </w:r>
      <w:r>
        <w:t xml:space="preserve">55</w:t>
      </w:r>
      <w:r>
        <w:t xml:space="preserve"> </w:t>
      </w:r>
      <w:r>
        <w:t xml:space="preserve">percent</w:t>
      </w:r>
      <w:r>
        <w:t xml:space="preserve"> </w:t>
      </w:r>
      <w:r>
        <w:t xml:space="preserve">after</w:t>
      </w:r>
      <w:r>
        <w:t xml:space="preserve"> </w:t>
      </w:r>
      <w:r>
        <w:t xml:space="preserve">a</w:t>
      </w:r>
      <w:r>
        <w:t xml:space="preserve"> </w:t>
      </w:r>
      <w:r>
        <w:t xml:space="preserve">larger</w:t>
      </w:r>
      <w:r>
        <w:t xml:space="preserve"> </w:t>
      </w:r>
      <w:r>
        <w:t xml:space="preserve">one,</w:t>
      </w:r>
      <w:r>
        <w:t xml:space="preserve"> </w:t>
      </w:r>
      <w:r>
        <w:t xml:space="preserve">and</w:t>
      </w:r>
      <w:r>
        <w:t xml:space="preserve"> </w:t>
      </w:r>
      <w:r>
        <w:t xml:space="preserve">only</w:t>
      </w:r>
      <w:r>
        <w:t xml:space="preserve"> </w:t>
      </w:r>
      <w:r>
        <w:t xml:space="preserve">32</w:t>
      </w:r>
      <w:r>
        <w:t xml:space="preserve"> </w:t>
      </w:r>
      <w:r>
        <w:t xml:space="preserve">to</w:t>
      </w:r>
      <w:r>
        <w:t xml:space="preserve"> </w:t>
      </w:r>
      <w:r>
        <w:t xml:space="preserve">36</w:t>
      </w:r>
      <w:r>
        <w:t xml:space="preserve"> </w:t>
      </w:r>
      <w:r>
        <w:t xml:space="preserve">percent</w:t>
      </w:r>
      <w:r>
        <w:t xml:space="preserve"> </w:t>
      </w:r>
      <w:r>
        <w:t xml:space="preserve">after</w:t>
      </w:r>
      <w:r>
        <w:t xml:space="preserve"> </w:t>
      </w:r>
      <w:r>
        <w:t xml:space="preserve">the</w:t>
      </w:r>
      <w:r>
        <w:t xml:space="preserve"> </w:t>
      </w:r>
      <w:r>
        <w:t xml:space="preserve">largest</w:t>
      </w:r>
      <w:r>
        <w:t xml:space="preserve"> </w:t>
      </w:r>
      <w:r>
        <w:t xml:space="preserve">(two</w:t>
      </w:r>
      <w:r>
        <w:t xml:space="preserve"> </w:t>
      </w:r>
      <w:r>
        <w:t xml:space="preserve">seeds);</w:t>
      </w:r>
      <w:r>
        <w:t xml:space="preserve"> </w:t>
      </w:r>
      <w:r>
        <w:t xml:space="preserve">after</w:t>
      </w:r>
      <w:r>
        <w:t xml:space="preserve"> </w:t>
      </w:r>
      <w:r>
        <w:t xml:space="preserve">instruction</w:t>
      </w:r>
      <w:r>
        <w:t xml:space="preserve"> </w:t>
      </w:r>
      <w:r>
        <w:t xml:space="preserve">tuning</w:t>
      </w:r>
      <w:r>
        <w:t xml:space="preserve"> </w:t>
      </w:r>
      <w:r>
        <w:t xml:space="preserve">it</w:t>
      </w:r>
      <w:r>
        <w:t xml:space="preserve"> </w:t>
      </w:r>
      <w:r>
        <w:t xml:space="preserve">restores</w:t>
      </w:r>
      <w:r>
        <w:t xml:space="preserve"> </w:t>
      </w:r>
      <w:r>
        <w:t xml:space="preserve">71</w:t>
      </w:r>
      <w:r>
        <w:t xml:space="preserve"> </w:t>
      </w:r>
      <w:r>
        <w:t xml:space="preserve">percent.</w:t>
      </w:r>
      <w:r>
        <w:t xml:space="preserve"> </w:t>
      </w:r>
      <w:r>
        <w:t xml:space="preserve">A</w:t>
      </w:r>
      <w:r>
        <w:t xml:space="preserve"> </w:t>
      </w:r>
      <w:r>
        <w:t xml:space="preserve">label-free,</w:t>
      </w:r>
      <w:r>
        <w:t xml:space="preserve"> </w:t>
      </w:r>
      <w:r>
        <w:t xml:space="preserve">closed-form</w:t>
      </w:r>
      <w:r>
        <w:t xml:space="preserve"> </w:t>
      </w:r>
      <w:r>
        <w:t xml:space="preserve">transfer</w:t>
      </w:r>
      <w:r>
        <w:t xml:space="preserve"> </w:t>
      </w:r>
      <w:r>
        <w:t xml:space="preserve">method,</w:t>
      </w:r>
      <w:r>
        <w:t xml:space="preserve"> </w:t>
      </w:r>
      <w:r>
        <w:t xml:space="preserve">Anchored</w:t>
      </w:r>
      <w:r>
        <w:t xml:space="preserve"> </w:t>
      </w:r>
      <w:r>
        <w:t xml:space="preserve">Calibration</w:t>
      </w:r>
      <w:r>
        <w:t xml:space="preserve"> </w:t>
      </w:r>
      <w:r>
        <w:t xml:space="preserve">Transfer</w:t>
      </w:r>
      <w:r>
        <w:t xml:space="preserve"> </w:t>
      </w:r>
      <w:r>
        <w:t xml:space="preserve">(ACT),</w:t>
      </w:r>
      <w:r>
        <w:t xml:space="preserve"> </w:t>
      </w:r>
      <w:r>
        <w:t xml:space="preserve">improves</w:t>
      </w:r>
      <w:r>
        <w:t xml:space="preserve"> </w:t>
      </w:r>
      <w:r>
        <w:t xml:space="preserve">on</w:t>
      </w:r>
      <w:r>
        <w:t xml:space="preserve"> </w:t>
      </w:r>
      <w:r>
        <w:t xml:space="preserve">copying</w:t>
      </w:r>
      <w:r>
        <w:t xml:space="preserve"> </w:t>
      </w:r>
      <w:r>
        <w:t xml:space="preserve">by</w:t>
      </w:r>
      <w:r>
        <w:t xml:space="preserve"> </w:t>
      </w:r>
      <w:r>
        <w:t xml:space="preserve">an</w:t>
      </w:r>
      <w:r>
        <w:t xml:space="preserve"> </w:t>
      </w:r>
      <w:r>
        <w:t xml:space="preserve">amount</w:t>
      </w:r>
      <w:r>
        <w:t xml:space="preserve"> </w:t>
      </w:r>
      <w:r>
        <w:t xml:space="preserve">that</w:t>
      </w:r>
      <w:r>
        <w:t xml:space="preserve"> </w:t>
      </w:r>
      <w:r>
        <w:t xml:space="preserve">rises</w:t>
      </w:r>
      <w:r>
        <w:t xml:space="preserve"> </w:t>
      </w:r>
      <w:r>
        <w:t xml:space="preserve">steadily</w:t>
      </w:r>
      <w:r>
        <w:t xml:space="preserve"> </w:t>
      </w:r>
      <w:r>
        <w:t xml:space="preserve">with</w:t>
      </w:r>
      <w:r>
        <w:t xml:space="preserve"> </w:t>
      </w:r>
      <w:r>
        <w:t xml:space="preserve">the</w:t>
      </w:r>
      <w:r>
        <w:t xml:space="preserve"> </w:t>
      </w:r>
      <w:r>
        <w:t xml:space="preserve">size</w:t>
      </w:r>
      <w:r>
        <w:t xml:space="preserve"> </w:t>
      </w:r>
      <w:r>
        <w:t xml:space="preserve">of</w:t>
      </w:r>
      <w:r>
        <w:t xml:space="preserve"> </w:t>
      </w:r>
      <w:r>
        <w:t xml:space="preserve">the</w:t>
      </w:r>
      <w:r>
        <w:t xml:space="preserve"> </w:t>
      </w:r>
      <w:r>
        <w:t xml:space="preserve">upgrade.</w:t>
      </w:r>
      <w:r>
        <w:t xml:space="preserve"> </w:t>
      </w:r>
      <w:r>
        <w:t xml:space="preserve">After</w:t>
      </w:r>
      <w:r>
        <w:t xml:space="preserve"> </w:t>
      </w:r>
      <w:r>
        <w:t xml:space="preserve">the</w:t>
      </w:r>
      <w:r>
        <w:t xml:space="preserve"> </w:t>
      </w:r>
      <w:r>
        <w:t xml:space="preserve">largest</w:t>
      </w:r>
      <w:r>
        <w:t xml:space="preserve"> </w:t>
      </w:r>
      <w:r>
        <w:t xml:space="preserve">upgrade</w:t>
      </w:r>
      <w:r>
        <w:t xml:space="preserve"> </w:t>
      </w:r>
      <w:r>
        <w:t xml:space="preserve">it</w:t>
      </w:r>
      <w:r>
        <w:t xml:space="preserve"> </w:t>
      </w:r>
      <w:r>
        <w:t xml:space="preserve">restores</w:t>
      </w:r>
      <w:r>
        <w:t xml:space="preserve"> </w:t>
      </w:r>
      <w:r>
        <w:t xml:space="preserve">69</w:t>
      </w:r>
      <w:r>
        <w:t xml:space="preserve"> </w:t>
      </w:r>
      <w:r>
        <w:t xml:space="preserve">to</w:t>
      </w:r>
      <w:r>
        <w:t xml:space="preserve"> </w:t>
      </w:r>
      <w:r>
        <w:t xml:space="preserve">72</w:t>
      </w:r>
      <w:r>
        <w:t xml:space="preserve"> </w:t>
      </w:r>
      <w:r>
        <w:t xml:space="preserve">percent</w:t>
      </w:r>
      <w:r>
        <w:t xml:space="preserve"> </w:t>
      </w:r>
      <w:r>
        <w:t xml:space="preserve">at</w:t>
      </w:r>
      <w:r>
        <w:t xml:space="preserve"> </w:t>
      </w:r>
      <w:r>
        <w:t xml:space="preserve">about</w:t>
      </w:r>
      <w:r>
        <w:t xml:space="preserve"> </w:t>
      </w:r>
      <w:r>
        <w:t xml:space="preserve">a</w:t>
      </w:r>
      <w:r>
        <w:t xml:space="preserve"> </w:t>
      </w:r>
      <w:r>
        <w:t xml:space="preserve">third</w:t>
      </w:r>
      <w:r>
        <w:t xml:space="preserve"> </w:t>
      </w:r>
      <w:r>
        <w:t xml:space="preserve">of</w:t>
      </w:r>
      <w:r>
        <w:t xml:space="preserve"> </w:t>
      </w:r>
      <w:r>
        <w:t xml:space="preserve">the</w:t>
      </w:r>
      <w:r>
        <w:t xml:space="preserve"> </w:t>
      </w:r>
      <w:r>
        <w:t xml:space="preserve">retraining</w:t>
      </w:r>
      <w:r>
        <w:t xml:space="preserve"> </w:t>
      </w:r>
      <w:r>
        <w:t xml:space="preserve">compute</w:t>
      </w:r>
      <w:r>
        <w:t xml:space="preserve"> </w:t>
      </w:r>
      <w:r>
        <w:t xml:space="preserve">time,</w:t>
      </w:r>
      <w:r>
        <w:t xml:space="preserve"> </w:t>
      </w:r>
      <w:r>
        <w:t xml:space="preserve">which</w:t>
      </w:r>
      <w:r>
        <w:t xml:space="preserve"> </w:t>
      </w:r>
      <w:r>
        <w:t xml:space="preserve">makes</w:t>
      </w:r>
      <w:r>
        <w:t xml:space="preserve"> </w:t>
      </w:r>
      <w:r>
        <w:t xml:space="preserve">it</w:t>
      </w:r>
      <w:r>
        <w:t xml:space="preserve"> </w:t>
      </w:r>
      <w:r>
        <w:t xml:space="preserve">the</w:t>
      </w:r>
      <w:r>
        <w:t xml:space="preserve"> </w:t>
      </w:r>
      <w:r>
        <w:t xml:space="preserve">cost-minimizing</w:t>
      </w:r>
      <w:r>
        <w:t xml:space="preserve"> </w:t>
      </w:r>
      <w:r>
        <w:t xml:space="preserve">policy</w:t>
      </w:r>
      <w:r>
        <w:t xml:space="preserve"> </w:t>
      </w:r>
      <w:r>
        <w:t xml:space="preserve">for</w:t>
      </w:r>
      <w:r>
        <w:t xml:space="preserve"> </w:t>
      </w:r>
      <w:r>
        <w:t xml:space="preserve">adapters</w:t>
      </w:r>
      <w:r>
        <w:t xml:space="preserve"> </w:t>
      </w:r>
      <w:r>
        <w:t xml:space="preserve">whose</w:t>
      </w:r>
      <w:r>
        <w:t xml:space="preserve"> </w:t>
      </w:r>
      <w:r>
        <w:t xml:space="preserve">annual</w:t>
      </w:r>
      <w:r>
        <w:t xml:space="preserve"> </w:t>
      </w:r>
      <w:r>
        <w:t xml:space="preserve">value</w:t>
      </w:r>
      <w:r>
        <w:t xml:space="preserve"> </w:t>
      </w:r>
      <w:r>
        <w:t xml:space="preserve">is</w:t>
      </w:r>
      <w:r>
        <w:t xml:space="preserve"> </w:t>
      </w:r>
      <w:r>
        <w:t xml:space="preserve">roughly</w:t>
      </w:r>
      <w:r>
        <w:t xml:space="preserve"> </w:t>
      </w:r>
      <w:r>
        <w:t xml:space="preserve">1.8</w:t>
      </w:r>
      <w:r>
        <w:t xml:space="preserve"> </w:t>
      </w:r>
      <w:r>
        <w:t xml:space="preserve">to</w:t>
      </w:r>
      <w:r>
        <w:t xml:space="preserve"> </w:t>
      </w:r>
      <w:r>
        <w:t xml:space="preserve">4.4</w:t>
      </w:r>
      <w:r>
        <w:t xml:space="preserve"> </w:t>
      </w:r>
      <w:r>
        <w:t xml:space="preserve">times</w:t>
      </w:r>
      <w:r>
        <w:t xml:space="preserve"> </w:t>
      </w:r>
      <w:r>
        <w:t xml:space="preserve">the</w:t>
      </w:r>
      <w:r>
        <w:t xml:space="preserve"> </w:t>
      </w:r>
      <w:r>
        <w:t xml:space="preserve">retraining</w:t>
      </w:r>
      <w:r>
        <w:t xml:space="preserve"> </w:t>
      </w:r>
      <w:r>
        <w:t xml:space="preserve">cost.</w:t>
      </w:r>
      <w:r>
        <w:t xml:space="preserve"> </w:t>
      </w:r>
      <w:r>
        <w:t xml:space="preserve">The</w:t>
      </w:r>
      <w:r>
        <w:t xml:space="preserve"> </w:t>
      </w:r>
      <w:r>
        <w:t xml:space="preserve">pattern</w:t>
      </w:r>
      <w:r>
        <w:t xml:space="preserve"> </w:t>
      </w:r>
      <w:r>
        <w:t xml:space="preserve">repeats</w:t>
      </w:r>
      <w:r>
        <w:t xml:space="preserve"> </w:t>
      </w:r>
      <w:r>
        <w:t xml:space="preserve">at</w:t>
      </w:r>
      <w:r>
        <w:t xml:space="preserve"> </w:t>
      </w:r>
      <w:r>
        <w:t xml:space="preserve">70</w:t>
      </w:r>
      <w:r>
        <w:t xml:space="preserve"> </w:t>
      </w:r>
      <w:r>
        <w:t xml:space="preserve">and</w:t>
      </w:r>
      <w:r>
        <w:t xml:space="preserve"> </w:t>
      </w:r>
      <w:r>
        <w:t xml:space="preserve">410</w:t>
      </w:r>
      <w:r>
        <w:t xml:space="preserve"> </w:t>
      </w:r>
      <w:r>
        <w:t xml:space="preserve">million</w:t>
      </w:r>
      <w:r>
        <w:t xml:space="preserve"> </w:t>
      </w:r>
      <w:r>
        <w:t xml:space="preserve">parameters,</w:t>
      </w:r>
      <w:r>
        <w:t xml:space="preserve"> </w:t>
      </w:r>
      <w:r>
        <w:t xml:space="preserve">but</w:t>
      </w:r>
      <w:r>
        <w:t xml:space="preserve"> </w:t>
      </w:r>
      <w:r>
        <w:t xml:space="preserve">ACT’s</w:t>
      </w:r>
      <w:r>
        <w:t xml:space="preserve"> </w:t>
      </w:r>
      <w:r>
        <w:t xml:space="preserve">compute</w:t>
      </w:r>
      <w:r>
        <w:t xml:space="preserve"> </w:t>
      </w:r>
      <w:r>
        <w:t xml:space="preserve">time</w:t>
      </w:r>
      <w:r>
        <w:t xml:space="preserve"> </w:t>
      </w:r>
      <w:r>
        <w:t xml:space="preserve">relative</w:t>
      </w:r>
      <w:r>
        <w:t xml:space="preserve"> </w:t>
      </w:r>
      <w:r>
        <w:t xml:space="preserve">to</w:t>
      </w:r>
      <w:r>
        <w:t xml:space="preserve"> </w:t>
      </w:r>
      <w:r>
        <w:t xml:space="preserve">retraining</w:t>
      </w:r>
      <w:r>
        <w:t xml:space="preserve"> </w:t>
      </w:r>
      <w:r>
        <w:t xml:space="preserve">rises</w:t>
      </w:r>
      <w:r>
        <w:t xml:space="preserve"> </w:t>
      </w:r>
      <w:r>
        <w:t xml:space="preserve">from</w:t>
      </w:r>
      <w:r>
        <w:t xml:space="preserve"> </w:t>
      </w:r>
      <w:r>
        <w:t xml:space="preserve">0.14</w:t>
      </w:r>
      <w:r>
        <w:t xml:space="preserve"> </w:t>
      </w:r>
      <w:r>
        <w:t xml:space="preserve">to</w:t>
      </w:r>
      <w:r>
        <w:t xml:space="preserve"> </w:t>
      </w:r>
      <w:r>
        <w:t xml:space="preserve">0.70</w:t>
      </w:r>
      <w:r>
        <w:t xml:space="preserve"> </w:t>
      </w:r>
      <w:r>
        <w:t xml:space="preserve">in</w:t>
      </w:r>
      <w:r>
        <w:t xml:space="preserve"> </w:t>
      </w:r>
      <w:r>
        <w:t xml:space="preserve">our</w:t>
      </w:r>
      <w:r>
        <w:t xml:space="preserve"> </w:t>
      </w:r>
      <w:r>
        <w:t xml:space="preserve">implementation,</w:t>
      </w:r>
      <w:r>
        <w:t xml:space="preserve"> </w:t>
      </w:r>
      <w:r>
        <w:t xml:space="preserve">so</w:t>
      </w:r>
      <w:r>
        <w:t xml:space="preserve"> </w:t>
      </w:r>
      <w:r>
        <w:t xml:space="preserve">at</w:t>
      </w:r>
      <w:r>
        <w:t xml:space="preserve"> </w:t>
      </w:r>
      <w:r>
        <w:t xml:space="preserve">410</w:t>
      </w:r>
      <w:r>
        <w:t xml:space="preserve"> </w:t>
      </w:r>
      <w:r>
        <w:t xml:space="preserve">million</w:t>
      </w:r>
      <w:r>
        <w:t xml:space="preserve"> </w:t>
      </w:r>
      <w:r>
        <w:t xml:space="preserve">it</w:t>
      </w:r>
      <w:r>
        <w:t xml:space="preserve"> </w:t>
      </w:r>
      <w:r>
        <w:t xml:space="preserve">no</w:t>
      </w:r>
      <w:r>
        <w:t xml:space="preserve"> </w:t>
      </w:r>
      <w:r>
        <w:t xml:space="preserve">longer</w:t>
      </w:r>
      <w:r>
        <w:t xml:space="preserve"> </w:t>
      </w:r>
      <w:r>
        <w:t xml:space="preserve">pays.</w:t>
      </w:r>
      <w:r>
        <w:t xml:space="preserve"> </w:t>
      </w:r>
      <w:r>
        <w:t xml:space="preserve">After</w:t>
      </w:r>
      <w:r>
        <w:t xml:space="preserve"> </w:t>
      </w:r>
      <w:r>
        <w:t xml:space="preserve">smaller</w:t>
      </w:r>
      <w:r>
        <w:t xml:space="preserve"> </w:t>
      </w:r>
      <w:r>
        <w:t xml:space="preserve">upgrades</w:t>
      </w:r>
      <w:r>
        <w:t xml:space="preserve"> </w:t>
      </w:r>
      <w:r>
        <w:t xml:space="preserve">its</w:t>
      </w:r>
      <w:r>
        <w:t xml:space="preserve"> </w:t>
      </w:r>
      <w:r>
        <w:t xml:space="preserve">gain</w:t>
      </w:r>
      <w:r>
        <w:t xml:space="preserve"> </w:t>
      </w:r>
      <w:r>
        <w:t xml:space="preserve">does</w:t>
      </w:r>
      <w:r>
        <w:t xml:space="preserve"> </w:t>
      </w:r>
      <w:r>
        <w:t xml:space="preserve">not</w:t>
      </w:r>
      <w:r>
        <w:t xml:space="preserve"> </w:t>
      </w:r>
      <w:r>
        <w:t xml:space="preserve">cover</w:t>
      </w:r>
      <w:r>
        <w:t xml:space="preserve"> </w:t>
      </w:r>
      <w:r>
        <w:t xml:space="preserve">its</w:t>
      </w:r>
      <w:r>
        <w:t xml:space="preserve"> </w:t>
      </w:r>
      <w:r>
        <w:t xml:space="preserve">cost,</w:t>
      </w:r>
      <w:r>
        <w:t xml:space="preserve"> </w:t>
      </w:r>
      <w:r>
        <w:t xml:space="preserve">and</w:t>
      </w:r>
      <w:r>
        <w:t xml:space="preserve"> </w:t>
      </w:r>
      <w:r>
        <w:t xml:space="preserve">on</w:t>
      </w:r>
      <w:r>
        <w:t xml:space="preserve"> </w:t>
      </w:r>
      <w:r>
        <w:t xml:space="preserve">an</w:t>
      </w:r>
      <w:r>
        <w:t xml:space="preserve"> </w:t>
      </w:r>
      <w:r>
        <w:t xml:space="preserve">instruction-tuned</w:t>
      </w:r>
      <w:r>
        <w:t xml:space="preserve"> </w:t>
      </w:r>
      <w:r>
        <w:t xml:space="preserve">pair</w:t>
      </w:r>
      <w:r>
        <w:t xml:space="preserve"> </w:t>
      </w:r>
      <w:r>
        <w:t xml:space="preserve">it</w:t>
      </w:r>
      <w:r>
        <w:t xml:space="preserve"> </w:t>
      </w:r>
      <w:r>
        <w:t xml:space="preserve">gives</w:t>
      </w:r>
      <w:r>
        <w:t xml:space="preserve"> </w:t>
      </w:r>
      <w:r>
        <w:t xml:space="preserve">no</w:t>
      </w:r>
      <w:r>
        <w:t xml:space="preserve"> </w:t>
      </w:r>
      <w:r>
        <w:t xml:space="preserve">gain</w:t>
      </w:r>
      <w:r>
        <w:t xml:space="preserve"> </w:t>
      </w:r>
      <w:r>
        <w:t xml:space="preserve">at</w:t>
      </w:r>
      <w:r>
        <w:t xml:space="preserve"> </w:t>
      </w:r>
      <w:r>
        <w:t xml:space="preserve">all,</w:t>
      </w:r>
      <w:r>
        <w:t xml:space="preserve"> </w:t>
      </w:r>
      <w:r>
        <w:t xml:space="preserve">for</w:t>
      </w:r>
      <w:r>
        <w:t xml:space="preserve"> </w:t>
      </w:r>
      <w:r>
        <w:t xml:space="preserve">a</w:t>
      </w:r>
      <w:r>
        <w:t xml:space="preserve"> </w:t>
      </w:r>
      <w:r>
        <w:t xml:space="preserve">reason</w:t>
      </w:r>
      <w:r>
        <w:t xml:space="preserve"> </w:t>
      </w:r>
      <w:r>
        <w:t xml:space="preserve">we</w:t>
      </w:r>
      <w:r>
        <w:t xml:space="preserve"> </w:t>
      </w:r>
      <w:r>
        <w:t xml:space="preserve">could</w:t>
      </w:r>
      <w:r>
        <w:t xml:space="preserve"> </w:t>
      </w:r>
      <w:r>
        <w:t xml:space="preserve">not</w:t>
      </w:r>
      <w:r>
        <w:t xml:space="preserve"> </w:t>
      </w:r>
      <w:r>
        <w:t xml:space="preserve">identify.</w:t>
      </w:r>
      <w:r>
        <w:t xml:space="preserve"> </w:t>
      </w:r>
      <w:r>
        <w:t xml:space="preserve">Simulations</w:t>
      </w:r>
      <w:r>
        <w:t xml:space="preserve"> </w:t>
      </w:r>
      <w:r>
        <w:t xml:space="preserve">with</w:t>
      </w:r>
      <w:r>
        <w:t xml:space="preserve"> </w:t>
      </w:r>
      <w:r>
        <w:t xml:space="preserve">clustered</w:t>
      </w:r>
      <w:r>
        <w:t xml:space="preserve"> </w:t>
      </w:r>
      <w:r>
        <w:t xml:space="preserve">and</w:t>
      </w:r>
      <w:r>
        <w:t xml:space="preserve"> </w:t>
      </w:r>
      <w:r>
        <w:t xml:space="preserve">regular</w:t>
      </w:r>
      <w:r>
        <w:t xml:space="preserve"> </w:t>
      </w:r>
      <w:r>
        <w:t xml:space="preserve">release</w:t>
      </w:r>
      <w:r>
        <w:t xml:space="preserve"> </w:t>
      </w:r>
      <w:r>
        <w:t xml:space="preserve">schedules</w:t>
      </w:r>
      <w:r>
        <w:t xml:space="preserve"> </w:t>
      </w:r>
      <w:r>
        <w:t xml:space="preserve">and</w:t>
      </w:r>
      <w:r>
        <w:t xml:space="preserve"> </w:t>
      </w:r>
      <w:r>
        <w:t xml:space="preserve">with</w:t>
      </w:r>
      <w:r>
        <w:t xml:space="preserve"> </w:t>
      </w:r>
      <w:r>
        <w:t xml:space="preserve">jump</w:t>
      </w:r>
      <w:r>
        <w:t xml:space="preserve"> </w:t>
      </w:r>
      <w:r>
        <w:t xml:space="preserve">risk</w:t>
      </w:r>
      <w:r>
        <w:t xml:space="preserve"> </w:t>
      </w:r>
      <w:r>
        <w:t xml:space="preserve">show</w:t>
      </w:r>
      <w:r>
        <w:t xml:space="preserve"> </w:t>
      </w:r>
      <w:r>
        <w:t xml:space="preserve">that</w:t>
      </w:r>
      <w:r>
        <w:t xml:space="preserve"> </w:t>
      </w:r>
      <w:r>
        <w:t xml:space="preserve">the</w:t>
      </w:r>
      <w:r>
        <w:t xml:space="preserve"> </w:t>
      </w:r>
      <w:r>
        <w:t xml:space="preserve">policy</w:t>
      </w:r>
      <w:r>
        <w:t xml:space="preserve"> </w:t>
      </w:r>
      <w:r>
        <w:t xml:space="preserve">ranking</w:t>
      </w:r>
      <w:r>
        <w:t xml:space="preserve"> </w:t>
      </w:r>
      <w:r>
        <w:t xml:space="preserve">is</w:t>
      </w:r>
      <w:r>
        <w:t xml:space="preserve"> </w:t>
      </w:r>
      <w:r>
        <w:t xml:space="preserve">robust,</w:t>
      </w:r>
      <w:r>
        <w:t xml:space="preserve"> </w:t>
      </w:r>
      <w:r>
        <w:t xml:space="preserve">although</w:t>
      </w:r>
      <w:r>
        <w:t xml:space="preserve"> </w:t>
      </w:r>
      <w:r>
        <w:t xml:space="preserve">the</w:t>
      </w:r>
      <w:r>
        <w:t xml:space="preserve"> </w:t>
      </w:r>
      <w:r>
        <w:t xml:space="preserve">optimal</w:t>
      </w:r>
      <w:r>
        <w:t xml:space="preserve"> </w:t>
      </w:r>
      <w:r>
        <w:t xml:space="preserve">threshold</w:t>
      </w:r>
      <w:r>
        <w:t xml:space="preserve"> </w:t>
      </w:r>
      <w:r>
        <w:t xml:space="preserve">moves</w:t>
      </w:r>
      <w:r>
        <w:t xml:space="preserve"> </w:t>
      </w:r>
      <w:r>
        <w:t xml:space="preserve">by</w:t>
      </w:r>
      <w:r>
        <w:t xml:space="preserve"> </w:t>
      </w:r>
      <w:r>
        <w:t xml:space="preserve">20</w:t>
      </w:r>
      <w:r>
        <w:t xml:space="preserve"> </w:t>
      </w:r>
      <w:r>
        <w:t xml:space="preserve">percent</w:t>
      </w:r>
      <w:r>
        <w:t xml:space="preserve"> </w:t>
      </w:r>
      <w:r>
        <w:t xml:space="preserve">or</w:t>
      </w:r>
      <w:r>
        <w:t xml:space="preserve"> </w:t>
      </w:r>
      <w:r>
        <w:t xml:space="preserve">more.</w:t>
      </w:r>
      <w:r>
        <w:t xml:space="preserve"> </w:t>
      </w:r>
      <w:r>
        <w:t xml:space="preserve">The</w:t>
      </w:r>
      <w:r>
        <w:t xml:space="preserve"> </w:t>
      </w:r>
      <w:r>
        <w:t xml:space="preserve">model</w:t>
      </w:r>
      <w:r>
        <w:t xml:space="preserve"> </w:t>
      </w:r>
      <w:r>
        <w:t xml:space="preserve">gives</w:t>
      </w:r>
      <w:r>
        <w:t xml:space="preserve"> </w:t>
      </w:r>
      <w:r>
        <w:t xml:space="preserve">practitioners</w:t>
      </w:r>
      <w:r>
        <w:t xml:space="preserve"> </w:t>
      </w:r>
      <w:r>
        <w:t xml:space="preserve">a</w:t>
      </w:r>
      <w:r>
        <w:t xml:space="preserve"> </w:t>
      </w:r>
      <w:r>
        <w:t xml:space="preserve">checkable</w:t>
      </w:r>
      <w:r>
        <w:t xml:space="preserve"> </w:t>
      </w:r>
      <w:r>
        <w:t xml:space="preserve">rule</w:t>
      </w:r>
      <w:r>
        <w:t xml:space="preserve"> </w:t>
      </w:r>
      <w:r>
        <w:t xml:space="preserve">for</w:t>
      </w:r>
      <w:r>
        <w:t xml:space="preserve"> </w:t>
      </w:r>
      <w:r>
        <w:t xml:space="preserve">when</w:t>
      </w:r>
      <w:r>
        <w:t xml:space="preserve"> </w:t>
      </w:r>
      <w:r>
        <w:t xml:space="preserve">transfer</w:t>
      </w:r>
      <w:r>
        <w:t xml:space="preserve"> </w:t>
      </w:r>
      <w:r>
        <w:t xml:space="preserve">is</w:t>
      </w:r>
      <w:r>
        <w:t xml:space="preserve"> </w:t>
      </w:r>
      <w:r>
        <w:t xml:space="preserve">worth</w:t>
      </w:r>
      <w:r>
        <w:t xml:space="preserve"> </w:t>
      </w:r>
      <w:r>
        <w:t xml:space="preserve">buying.</w:t>
      </w:r>
    </w:p>
    <w:p>
      <w:pPr>
        <w:pStyle w:val="FirstParagraph"/>
      </w:pPr>
      <w:r>
        <w:rPr>
          <w:bCs/>
          <w:b/>
        </w:rPr>
        <w:t xml:space="preserve">Keywords:</w:t>
      </w:r>
      <w:r>
        <w:t xml:space="preserve"> </w:t>
      </w:r>
      <w:r>
        <w:t xml:space="preserve">AI asset management; foundation model upgrades; parameter-efficient fine-tuning; maintenance policy; optimal stopping; decision support</w:t>
      </w:r>
    </w:p>
    <w:bookmarkStart w:id="20" w:name="introduction"/>
    <w:p>
      <w:pPr>
        <w:pStyle w:val="Heading1"/>
      </w:pPr>
      <w:r>
        <w:t xml:space="preserve">1. Introduction</w:t>
      </w:r>
    </w:p>
    <w:p>
      <w:pPr>
        <w:pStyle w:val="FirstParagraph"/>
      </w:pPr>
      <w:r>
        <w:t xml:space="preserve">Most organizations that use large language models do not train them. They license a foundation model from a</w:t>
      </w:r>
      <w:r>
        <w:t xml:space="preserve"> </w:t>
      </w:r>
      <w:r>
        <w:t xml:space="preserve">provider and adapt it to their own tasks, increasingly with parameter-efficient methods such as low-rank adaptation</w:t>
      </w:r>
      <w:r>
        <w:t xml:space="preserve"> </w:t>
      </w:r>
      <w:r>
        <w:t xml:space="preserve">(LoRA; Hu et al., 2022), which store the adaptation as a small set of matrices attached to the frozen model.</w:t>
      </w:r>
      <w:r>
        <w:t xml:space="preserve"> </w:t>
      </w:r>
      <w:r>
        <w:t xml:space="preserve">These adapters are valuable assets, but they are tied to a specific version of a model that someone else controls.</w:t>
      </w:r>
      <w:r>
        <w:t xml:space="preserve"> </w:t>
      </w:r>
      <w:r>
        <w:t xml:space="preserve">When the provider releases a new version, the adapter’s parameters no longer fit the weights beneath it. The failure is</w:t>
      </w:r>
      <w:r>
        <w:t xml:space="preserve"> </w:t>
      </w:r>
      <w:r>
        <w:t xml:space="preserve">not a visible interface break, as in conventional software upgrades, but a quiet loss of task performance, and the</w:t>
      </w:r>
      <w:r>
        <w:t xml:space="preserve"> </w:t>
      </w:r>
      <w:r>
        <w:t xml:space="preserve">standard remedy, retraining the adapter on the new model, requires fresh compute, data, and revalidation.</w:t>
      </w:r>
    </w:p>
    <w:p>
      <w:pPr>
        <w:pStyle w:val="BodyText"/>
      </w:pPr>
      <w:r>
        <w:t xml:space="preserve">The resulting decision recurs with every release. After an upgrade, the organization can retrain immediately, keep</w:t>
      </w:r>
      <w:r>
        <w:t xml:space="preserve"> </w:t>
      </w:r>
      <w:r>
        <w:t xml:space="preserve">operating the old adapter on the new model, or apply a cheaper transfer procedure that recovers part of the lost</w:t>
      </w:r>
      <w:r>
        <w:t xml:space="preserve"> </w:t>
      </w:r>
      <w:r>
        <w:t xml:space="preserve">performance. Timing matters as much as the choice. An adapter that supports a low-stakes task can be left alone for</w:t>
      </w:r>
      <w:r>
        <w:t xml:space="preserve"> </w:t>
      </w:r>
      <w:r>
        <w:t xml:space="preserve">some time; one that supports a high-stakes task justifies prompt retraining; and a retraining investment may be</w:t>
      </w:r>
      <w:r>
        <w:t xml:space="preserve"> </w:t>
      </w:r>
      <w:r>
        <w:t xml:space="preserve">overtaken by the next release before it pays back. The decision is therefore a sequential problem under uncertainty about</w:t>
      </w:r>
      <w:r>
        <w:t xml:space="preserve"> </w:t>
      </w:r>
      <w:r>
        <w:t xml:space="preserve">both the arrival of upgrades and the value of the asset.</w:t>
      </w:r>
    </w:p>
    <w:p>
      <w:pPr>
        <w:pStyle w:val="BodyText"/>
      </w:pPr>
      <w:r>
        <w:t xml:space="preserve">Prior work offers little guidance on this decision. Research on IT maintenance, migration, and technical debt usually treats</w:t>
      </w:r>
      <w:r>
        <w:t xml:space="preserve"> </w:t>
      </w:r>
      <w:r>
        <w:t xml:space="preserve">the cost of an upgrade as given (Sculley et al., 2015), and the machine learning literature on adapter and model transfer</w:t>
      </w:r>
      <w:r>
        <w:t xml:space="preserve"> </w:t>
      </w:r>
      <w:r>
        <w:t xml:space="preserve">reports accuracy without asking when a given accuracy loss is worth paying to repair. What is missing is a link between a technical</w:t>
      </w:r>
      <w:r>
        <w:t xml:space="preserve"> </w:t>
      </w:r>
      <w:r>
        <w:t xml:space="preserve">property of a transfer method, namely the share of the retraining benefit it restores, and the quantity a manager actually needs, namely a rule</w:t>
      </w:r>
      <w:r>
        <w:t xml:space="preserve"> </w:t>
      </w:r>
      <w:r>
        <w:t xml:space="preserve">that says what to do and what a repair method is worth.</w:t>
      </w:r>
    </w:p>
    <w:p>
      <w:pPr>
        <w:pStyle w:val="BodyText"/>
      </w:pPr>
      <w:r>
        <w:t xml:space="preserve">We contribute the following.</w:t>
      </w:r>
    </w:p>
    <w:p>
      <w:pPr>
        <w:numPr>
          <w:ilvl w:val="0"/>
          <w:numId w:val="1001"/>
        </w:numPr>
      </w:pPr>
      <w:r>
        <w:rPr>
          <w:iCs/>
          <w:i/>
        </w:rPr>
        <w:t xml:space="preserve">A decision model.</w:t>
      </w:r>
      <w:r>
        <w:t xml:space="preserve"> </w:t>
      </w:r>
      <w:r>
        <w:t xml:space="preserve">We cast the maintenance problem as an optimal stopping problem with Poisson upgrades and geometric</w:t>
      </w:r>
      <w:r>
        <w:t xml:space="preserve"> </w:t>
      </w:r>
      <w:r>
        <w:t xml:space="preserve">Brownian motion (GBM) value, and derive the optimal retraining threshold in closed form (Propositions 1–3).</w:t>
      </w:r>
      <w:r>
        <w:t xml:space="preserve"> </w:t>
      </w:r>
      <w:r>
        <w:t xml:space="preserve">A transfer method with recovery</w:t>
      </w:r>
      <w:r>
        <w:t xml:space="preserve"> </w:t>
      </w:r>
      <m:oMath>
        <m:r>
          <m:t>R</m:t>
        </m:r>
      </m:oMath>
      <w:r>
        <w:t xml:space="preserve"> </w:t>
      </w:r>
      <w:r>
        <w:t xml:space="preserve">and cost</w:t>
      </w:r>
      <w:r>
        <w:t xml:space="preserve"> </w:t>
      </w:r>
      <m:oMath>
        <m:r>
          <m:t>C</m:t>
        </m:r>
      </m:oMath>
      <w:r>
        <w:t xml:space="preserve"> </w:t>
      </w:r>
      <w:r>
        <w:t xml:space="preserve">is worth adopting if and only if</w:t>
      </w:r>
      <w:r>
        <w:t xml:space="preserve"> </w:t>
      </w:r>
      <m:oMath>
        <m:r>
          <m:t>C</m:t>
        </m:r>
      </m:oMath>
      <w:r>
        <w:t xml:space="preserve"> </w:t>
      </w:r>
      <w:r>
        <w:t xml:space="preserve">is below an explicit bound</w:t>
      </w:r>
      <w:r>
        <w:t xml:space="preserve"> </w:t>
      </w:r>
      <m:oMath>
        <m:r>
          <m:t>Γ</m:t>
        </m:r>
      </m:oMath>
      <w:r>
        <w:t xml:space="preserve">. Equivalently, every method has a</w:t>
      </w:r>
      <w:r>
        <w:t xml:space="preserve"> </w:t>
      </w:r>
      <w:r>
        <w:t xml:space="preserve">break-even recovery that a team can check before buying it.</w:t>
      </w:r>
    </w:p>
    <w:p>
      <w:pPr>
        <w:numPr>
          <w:ilvl w:val="0"/>
          <w:numId w:val="1001"/>
        </w:numPr>
      </w:pPr>
      <w:r>
        <w:rPr>
          <w:iCs/>
          <w:i/>
        </w:rPr>
        <w:t xml:space="preserve">Recovery of naive reuse as a function of upgrade size.</w:t>
      </w:r>
      <w:r>
        <w:t xml:space="preserve"> </w:t>
      </w:r>
      <w:r>
        <w:t xml:space="preserve">On open model pairs, copying the old adapter recovers 96% of the retraining</w:t>
      </w:r>
      <w:r>
        <w:t xml:space="preserve"> </w:t>
      </w:r>
      <w:r>
        <w:t xml:space="preserve">benefit after a small upgrade, 55% after a larger one, and only 32% to 36% after the largest; after an instruction-tuning upgrade it recovers 71%. Through the model these numbers imply</w:t>
      </w:r>
      <w:r>
        <w:t xml:space="preserve"> </w:t>
      </w:r>
      <w:r>
        <w:t xml:space="preserve">retraining thresholds from about 4 to about 56 times the retraining cost, so the right policy depends strongly on how far the model moved.</w:t>
      </w:r>
    </w:p>
    <w:p>
      <w:pPr>
        <w:numPr>
          <w:ilvl w:val="0"/>
          <w:numId w:val="1001"/>
        </w:numPr>
      </w:pPr>
      <w:r>
        <w:rPr>
          <w:iCs/>
          <w:i/>
        </w:rPr>
        <w:t xml:space="preserve">A transfer method priced by the rule.</w:t>
      </w:r>
      <w:r>
        <w:t xml:space="preserve"> </w:t>
      </w:r>
      <w:r>
        <w:t xml:space="preserve">We propose Anchored Calibration Transfer (ACT), a closed-form, label-free correction of the adapter.</w:t>
      </w:r>
      <w:r>
        <w:t xml:space="preserve"> </w:t>
      </w:r>
      <w:r>
        <w:t xml:space="preserve">Its gain over copying rises steadily with the size of the upgrade, reaching 0.33 to 0.40 after the largest at 160 million parameters (two seeds), where it restores 69% to 72% of the retraining benefit at 30% to 36% of the retraining compute time and is the</w:t>
      </w:r>
      <w:r>
        <w:t xml:space="preserve"> </w:t>
      </w:r>
      <w:r>
        <w:t xml:space="preserve">cost-minimizing policy over a bounded range of adapter values. The gain also appears at 70 and 410 million parameters, but ACT’s compute time relative to retraining rises from 0.14 to 0.70 with model size in our implementation, so the same method stops paying at 410 million.</w:t>
      </w:r>
      <w:r>
        <w:t xml:space="preserve"> </w:t>
      </w:r>
      <w:r>
        <w:t xml:space="preserve">After smaller upgrades its gain does not cover its cost, and on the instruction-tuned pair it gives no gain, for a reason we could not identify.</w:t>
      </w:r>
    </w:p>
    <w:p>
      <w:pPr>
        <w:numPr>
          <w:ilvl w:val="0"/>
          <w:numId w:val="1001"/>
        </w:numPr>
      </w:pPr>
      <w:r>
        <w:rPr>
          <w:iCs/>
          <w:i/>
        </w:rPr>
        <w:t xml:space="preserve">Robustness of the rule.</w:t>
      </w:r>
      <w:r>
        <w:t xml:space="preserve"> </w:t>
      </w:r>
      <w:r>
        <w:t xml:space="preserve">We simulate clustered and regular release schedules and jump risk in value. The cost of using the</w:t>
      </w:r>
      <w:r>
        <w:t xml:space="preserve"> </w:t>
      </w:r>
      <w:r>
        <w:t xml:space="preserve">Poisson-calibrated threshold is below 2.5% in every scenario.</w:t>
      </w:r>
    </w:p>
    <w:p>
      <w:pPr>
        <w:pStyle w:val="FirstParagraph"/>
      </w:pPr>
      <w:r>
        <w:t xml:space="preserve">Section 2 reviews related work. Section 3 sets up the model and Section 4 derives the</w:t>
      </w:r>
      <w:r>
        <w:t xml:space="preserve"> </w:t>
      </w:r>
      <w:r>
        <w:t xml:space="preserve">decision rule. Section 5 presents ACT. Sections 6 and 7 report numerical results and experiments on open</w:t>
      </w:r>
      <w:r>
        <w:t xml:space="preserve"> </w:t>
      </w:r>
      <w:r>
        <w:t xml:space="preserve">model pairs, Section 8 asks where ACT helps and tests explanations for its exceptions, and Section 9 checks robustness.</w:t>
      </w:r>
      <w:r>
        <w:t xml:space="preserve"> </w:t>
      </w:r>
      <w:r>
        <w:t xml:space="preserve">Section 10 shows how a manager would apply the rule, and Section 11 concludes with limitations.</w:t>
      </w:r>
    </w:p>
    <w:bookmarkEnd w:id="20"/>
    <w:bookmarkStart w:id="21" w:name="related-literature"/>
    <w:p>
      <w:pPr>
        <w:pStyle w:val="Heading1"/>
      </w:pPr>
      <w:r>
        <w:t xml:space="preserve">2. Related Literature</w:t>
      </w:r>
    </w:p>
    <w:p>
      <w:pPr>
        <w:pStyle w:val="FirstParagraph"/>
      </w:pPr>
      <w:r>
        <w:rPr>
          <w:iCs/>
          <w:i/>
        </w:rPr>
        <w:t xml:space="preserve">IT investment and maintenance under uncertainty.</w:t>
      </w:r>
      <w:r>
        <w:t xml:space="preserve"> </w:t>
      </w:r>
      <w:r>
        <w:t xml:space="preserve">Option-based reasoning has been applied to IT investment</w:t>
      </w:r>
      <w:r>
        <w:t xml:space="preserve"> </w:t>
      </w:r>
      <w:r>
        <w:t xml:space="preserve">timing and staging (Benaroch and Kauffman, 1999; Benaroch, 2002), building on the economics of irreversible</w:t>
      </w:r>
      <w:r>
        <w:t xml:space="preserve"> </w:t>
      </w:r>
      <w:r>
        <w:t xml:space="preserve">investment (McDonald and Siegel, 1986; Dixit and Pindyck, 1994). We use the same optimal stopping machinery for a</w:t>
      </w:r>
      <w:r>
        <w:t xml:space="preserve"> </w:t>
      </w:r>
      <w:r>
        <w:t xml:space="preserve">different object: not the decision to start a project, but the recurring decision to repair an AI asset after an</w:t>
      </w:r>
      <w:r>
        <w:t xml:space="preserve"> </w:t>
      </w:r>
      <w:r>
        <w:t xml:space="preserve">external upgrade, where the repair itself is a choice among methods with different cost and quality.</w:t>
      </w:r>
    </w:p>
    <w:p>
      <w:pPr>
        <w:pStyle w:val="BodyText"/>
      </w:pPr>
      <w:r>
        <w:rPr>
          <w:iCs/>
          <w:i/>
        </w:rPr>
        <w:t xml:space="preserve">Technical debt and machine learning systems.</w:t>
      </w:r>
      <w:r>
        <w:t xml:space="preserve"> </w:t>
      </w:r>
      <w:r>
        <w:t xml:space="preserve">Sculley et al. (2015) document that ML systems accumulate</w:t>
      </w:r>
      <w:r>
        <w:t xml:space="preserve"> </w:t>
      </w:r>
      <w:r>
        <w:t xml:space="preserve">maintenance costs through entanglement with changing upstream components. Our model gives a quantitative version of</w:t>
      </w:r>
      <w:r>
        <w:t xml:space="preserve"> </w:t>
      </w:r>
      <w:r>
        <w:t xml:space="preserve">one such cost, the dependence of an adapter on a changing base model.</w:t>
      </w:r>
    </w:p>
    <w:p>
      <w:pPr>
        <w:pStyle w:val="BodyText"/>
      </w:pPr>
      <w:r>
        <w:rPr>
          <w:iCs/>
          <w:i/>
        </w:rPr>
        <w:t xml:space="preserve">Parameter-efficient fine-tuning and model reuse.</w:t>
      </w:r>
      <w:r>
        <w:t xml:space="preserve"> </w:t>
      </w:r>
      <w:r>
        <w:t xml:space="preserve">LoRA (Hu et al., 2022) and adapters (Houlsby et al., 2019)</w:t>
      </w:r>
      <w:r>
        <w:t xml:space="preserve"> </w:t>
      </w:r>
      <w:r>
        <w:t xml:space="preserve">make task adaptations small and portable. Work on combining and editing fine-tuned weights</w:t>
      </w:r>
      <w:r>
        <w:t xml:space="preserve"> </w:t>
      </w:r>
      <w:r>
        <w:t xml:space="preserve">(Ilharco et al., 2023) shows that weight-space updates can be reused, and Kirkpatrick et al. (2017)</w:t>
      </w:r>
      <w:r>
        <w:t xml:space="preserve"> </w:t>
      </w:r>
      <w:r>
        <w:t xml:space="preserve">address retention of earlier knowledge when weights change. This paper concerns the transfer of an adapter</w:t>
      </w:r>
      <w:r>
        <w:t xml:space="preserve"> </w:t>
      </w:r>
      <w:r>
        <w:rPr>
          <w:iCs/>
          <w:i/>
        </w:rPr>
        <w:t xml:space="preserve">across</w:t>
      </w:r>
      <w:r>
        <w:t xml:space="preserve"> </w:t>
      </w:r>
      <w:r>
        <w:t xml:space="preserve">base-model versions. ACT is a closed-form, label-free candidate method for that setting, and we evaluate it by the decision rule it would have to satisfy rather than by accuracy alone.</w:t>
      </w:r>
    </w:p>
    <w:p>
      <w:pPr>
        <w:pStyle w:val="BodyText"/>
      </w:pPr>
      <w:r>
        <w:rPr>
          <w:iCs/>
          <w:i/>
        </w:rPr>
        <w:t xml:space="preserve">Stochastic modeling choices.</w:t>
      </w:r>
      <w:r>
        <w:t xml:space="preserve"> </w:t>
      </w:r>
      <w:r>
        <w:t xml:space="preserve">Poisson arrivals and GBM are the standard baseline in optimal stopping. We relax</w:t>
      </w:r>
      <w:r>
        <w:t xml:space="preserve"> </w:t>
      </w:r>
      <w:r>
        <w:t xml:space="preserve">both: jump risk follows Merton (1976), and non-exponential release intervals are handled by simulation,</w:t>
      </w:r>
      <w:r>
        <w:t xml:space="preserve"> </w:t>
      </w:r>
      <w:r>
        <w:t xml:space="preserve">using the continuity correction of Broadie et al. (1997) for discretely monitored barriers.</w:t>
      </w:r>
    </w:p>
    <w:bookmarkEnd w:id="21"/>
    <w:bookmarkStart w:id="22" w:name="model"/>
    <w:p>
      <w:pPr>
        <w:pStyle w:val="Heading1"/>
      </w:pPr>
      <w:r>
        <w:t xml:space="preserve">3. Model</w:t>
      </w:r>
    </w:p>
    <w:p>
      <w:pPr>
        <w:pStyle w:val="FirstParagraph"/>
      </w:pPr>
      <w:r>
        <w:t xml:space="preserve">Time is continuous, and an</w:t>
      </w:r>
      <w:r>
        <w:t xml:space="preserve"> </w:t>
      </w:r>
      <w:r>
        <w:rPr>
          <w:iCs/>
          <w:i/>
        </w:rPr>
        <w:t xml:space="preserve">epoch</w:t>
      </w:r>
      <w:r>
        <w:t xml:space="preserve"> </w:t>
      </w:r>
      <w:r>
        <w:t xml:space="preserve">begins when the provider releases a new model version and ends at the next</w:t>
      </w:r>
      <w:r>
        <w:t xml:space="preserve"> </w:t>
      </w:r>
      <w:r>
        <w:t xml:space="preserve">release. The epoch length</w:t>
      </w:r>
      <w:r>
        <w:t xml:space="preserve"> </w:t>
      </w:r>
      <m:oMath>
        <m:r>
          <m:t>τ</m:t>
        </m:r>
      </m:oMath>
      <w:r>
        <w:t xml:space="preserve"> </w:t>
      </w:r>
      <w:r>
        <w:t xml:space="preserve">is exponential with rate</w:t>
      </w:r>
      <w:r>
        <w:t xml:space="preserve"> </w:t>
      </w:r>
      <m:oMath>
        <m:r>
          <m:t>μ</m:t>
        </m:r>
      </m:oMath>
      <w:r>
        <w:t xml:space="preserve"> </w:t>
      </w:r>
      <w:r>
        <w:t xml:space="preserve">(a Poisson release process), independent of</w:t>
      </w:r>
      <w:r>
        <w:t xml:space="preserve"> </w:t>
      </w:r>
      <w:r>
        <w:t xml:space="preserve">everything else; Section 9 relaxes this. Cash flows are discounted at rate</w:t>
      </w:r>
      <w:r>
        <w:t xml:space="preserve"> </w:t>
      </w:r>
      <m:oMath>
        <m:r>
          <m:t>ρ</m:t>
        </m:r>
      </m:oMath>
      <w:r>
        <w:t xml:space="preserve">.</w:t>
      </w:r>
    </w:p>
    <w:p>
      <w:pPr>
        <w:pStyle w:val="BodyText"/>
      </w:pPr>
      <w:r>
        <w:t xml:space="preserve">Let</w:t>
      </w:r>
      <w:r>
        <w:t xml:space="preserve"> </w:t>
      </w:r>
      <m:oMath>
        <m:sSub>
          <m:e>
            <m:r>
              <m:t>v</m:t>
            </m:r>
          </m:e>
          <m:sub>
            <m:r>
              <m:t>t</m:t>
            </m:r>
          </m:sub>
        </m:sSub>
        <m:r>
          <m:rPr>
            <m:sty m:val="p"/>
          </m:rPr>
          <m:t>&gt;</m:t>
        </m:r>
        <m:r>
          <m:t>0</m:t>
        </m:r>
      </m:oMath>
      <w:r>
        <w:t xml:space="preserve"> </w:t>
      </w:r>
      <w:r>
        <w:t xml:space="preserve">be the annual value at stake in the adapter’s task, with</w:t>
      </w:r>
      <w:r>
        <w:t xml:space="preserve"> </w:t>
      </w:r>
      <m:oMath>
        <m:r>
          <m:t>d</m:t>
        </m:r>
        <m:sSub>
          <m:e>
            <m:r>
              <m:t>v</m:t>
            </m:r>
          </m:e>
          <m:sub>
            <m:r>
              <m:t>t</m:t>
            </m:r>
          </m:sub>
        </m:sSub>
        <m:r>
          <m:rPr>
            <m:sty m:val="p"/>
          </m:rPr>
          <m:t>=</m:t>
        </m:r>
        <m:r>
          <m:t>g</m:t>
        </m:r>
        <m:r>
          <m:t> </m:t>
        </m:r>
        <m:sSub>
          <m:e>
            <m:r>
              <m:t>v</m:t>
            </m:r>
          </m:e>
          <m:sub>
            <m:r>
              <m:t>t</m:t>
            </m:r>
          </m:sub>
        </m:sSub>
        <m:r>
          <m:t> </m:t>
        </m:r>
        <m:r>
          <m:t>d</m:t>
        </m:r>
        <m:r>
          <m:t>t</m:t>
        </m:r>
        <m:r>
          <m:rPr>
            <m:sty m:val="p"/>
          </m:rPr>
          <m:t>+</m:t>
        </m:r>
        <m:r>
          <m:t>σ</m:t>
        </m:r>
        <m:r>
          <m:t> </m:t>
        </m:r>
        <m:sSub>
          <m:e>
            <m:r>
              <m:t>v</m:t>
            </m:r>
          </m:e>
          <m:sub>
            <m:r>
              <m:t>t</m:t>
            </m:r>
          </m:sub>
        </m:sSub>
        <m:r>
          <m:t> </m:t>
        </m:r>
        <m:r>
          <m:t>d</m:t>
        </m:r>
        <m:sSub>
          <m:e>
            <m:r>
              <m:t>B</m:t>
            </m:r>
          </m:e>
          <m:sub>
            <m:r>
              <m:t>t</m:t>
            </m:r>
          </m:sub>
        </m:sSub>
      </m:oMath>
      <w:r>
        <w:t xml:space="preserve">. An adapter operating at</w:t>
      </w:r>
      <w:r>
        <w:t xml:space="preserve"> </w:t>
      </w:r>
      <w:r>
        <w:rPr>
          <w:iCs/>
          <w:i/>
        </w:rPr>
        <w:t xml:space="preserve">recovery</w:t>
      </w:r>
      <w:r>
        <w:t xml:space="preserve"> </w:t>
      </w:r>
      <m:oMath>
        <m:r>
          <m:t>R</m:t>
        </m:r>
        <m:r>
          <m:rPr>
            <m:sty m:val="p"/>
          </m:rPr>
          <m:t>∈</m:t>
        </m:r>
        <m:r>
          <m:rPr>
            <m:sty m:val="p"/>
          </m:rPr>
          <m:t>[</m:t>
        </m:r>
        <m:r>
          <m:t>0</m:t>
        </m:r>
        <m:r>
          <m:rPr>
            <m:sty m:val="p"/>
          </m:rPr>
          <m:t>,</m:t>
        </m:r>
        <m:r>
          <m:t>1</m:t>
        </m:r>
        <m:r>
          <m:rPr>
            <m:sty m:val="p"/>
          </m:rPr>
          <m:t>)</m:t>
        </m:r>
      </m:oMath>
      <w:r>
        <w:t xml:space="preserve"> </w:t>
      </w:r>
      <w:r>
        <w:t xml:space="preserve">loses value at rate</w:t>
      </w:r>
      <w:r>
        <w:t xml:space="preserve"> </w:t>
      </w:r>
      <m:oMath>
        <m:d>
          <m:dPr>
            <m:begChr m:val="("/>
            <m:endChr m:val=")"/>
            <m:sepChr m:val=""/>
            <m:grow/>
          </m:dPr>
          <m:e>
            <m:r>
              <m:t>1</m:t>
            </m:r>
            <m:r>
              <m:rPr>
                <m:sty m:val="p"/>
              </m:rPr>
              <m:t>−</m:t>
            </m:r>
            <m:r>
              <m:t>R</m:t>
            </m:r>
          </m:e>
        </m:d>
        <m:sSub>
          <m:e>
            <m:r>
              <m:t>v</m:t>
            </m:r>
          </m:e>
          <m:sub>
            <m:r>
              <m:t>t</m:t>
            </m:r>
          </m:sub>
        </m:sSub>
      </m:oMath>
      <w:r>
        <w:t xml:space="preserve"> </w:t>
      </w:r>
      <w:r>
        <w:t xml:space="preserve">relative to a freshly retrained adapter, where</w:t>
      </w:r>
    </w:p>
    <w:p>
      <w:pPr>
        <w:pStyle w:val="BodyText"/>
      </w:pPr>
      <m:oMathPara>
        <m:oMathParaPr>
          <m:jc m:val="center"/>
        </m:oMathParaPr>
        <m:oMath>
          <m:r>
            <m:t>R</m:t>
          </m:r>
          <m:r>
            <m:rPr>
              <m:sty m:val="p"/>
            </m:rPr>
            <m:t>=</m:t>
          </m:r>
          <m:f>
            <m:fPr>
              <m:type m:val="bar"/>
            </m:fPr>
            <m:num>
              <m:sSub>
                <m:e>
                  <m:r>
                    <m:t>L</m:t>
                  </m:r>
                </m:e>
                <m:sub>
                  <m:r>
                    <m:rPr>
                      <m:nor/>
                      <m:sty m:val="p"/>
                    </m:rPr>
                    <m:t>none</m:t>
                  </m:r>
                </m:sub>
              </m:sSub>
              <m:r>
                <m:rPr>
                  <m:sty m:val="p"/>
                </m:rPr>
                <m:t>−</m:t>
              </m:r>
              <m:sSub>
                <m:e>
                  <m:r>
                    <m:t>L</m:t>
                  </m:r>
                </m:e>
                <m:sub>
                  <m:r>
                    <m:rPr>
                      <m:nor/>
                      <m:sty m:val="p"/>
                    </m:rPr>
                    <m:t>method</m:t>
                  </m:r>
                </m:sub>
              </m:sSub>
            </m:num>
            <m:den>
              <m:sSub>
                <m:e>
                  <m:r>
                    <m:t>L</m:t>
                  </m:r>
                </m:e>
                <m:sub>
                  <m:r>
                    <m:rPr>
                      <m:nor/>
                      <m:sty m:val="p"/>
                    </m:rPr>
                    <m:t>none</m:t>
                  </m:r>
                </m:sub>
              </m:sSub>
              <m:r>
                <m:rPr>
                  <m:sty m:val="p"/>
                </m:rPr>
                <m:t>−</m:t>
              </m:r>
              <m:sSub>
                <m:e>
                  <m:r>
                    <m:t>L</m:t>
                  </m:r>
                </m:e>
                <m:sub>
                  <m:r>
                    <m:rPr>
                      <m:nor/>
                      <m:sty m:val="p"/>
                    </m:rPr>
                    <m:t>retrain</m:t>
                  </m:r>
                </m:sub>
              </m:sSub>
            </m:den>
          </m:f>
        </m:oMath>
      </m:oMathPara>
    </w:p>
    <w:p>
      <w:pPr>
        <w:pStyle w:val="FirstParagraph"/>
      </w:pPr>
      <w:r>
        <w:t xml:space="preserve">and</w:t>
      </w:r>
      <w:r>
        <w:t xml:space="preserve"> </w:t>
      </w:r>
      <m:oMath>
        <m:r>
          <m:t>L</m:t>
        </m:r>
      </m:oMath>
      <w:r>
        <w:t xml:space="preserve"> </w:t>
      </w:r>
      <w:r>
        <w:t xml:space="preserve">denotes held-out loss;</w:t>
      </w:r>
      <w:r>
        <w:t xml:space="preserve"> </w:t>
      </w:r>
      <m:oMath>
        <m:sSub>
          <m:e>
            <m:r>
              <m:t>L</m:t>
            </m:r>
          </m:e>
          <m:sub>
            <m:r>
              <m:rPr>
                <m:nor/>
                <m:sty m:val="p"/>
              </m:rPr>
              <m:t>none</m:t>
            </m:r>
          </m:sub>
        </m:sSub>
      </m:oMath>
      <w:r>
        <w:t xml:space="preserve"> </w:t>
      </w:r>
      <w:r>
        <w:t xml:space="preserve">is the upgraded model with no adapter and</w:t>
      </w:r>
      <w:r>
        <w:t xml:space="preserve"> </w:t>
      </w:r>
      <m:oMath>
        <m:sSub>
          <m:e>
            <m:r>
              <m:t>L</m:t>
            </m:r>
          </m:e>
          <m:sub>
            <m:r>
              <m:rPr>
                <m:nor/>
                <m:sty m:val="p"/>
              </m:rPr>
              <m:t>retrain</m:t>
            </m:r>
          </m:sub>
        </m:sSub>
      </m:oMath>
      <w:r>
        <w:t xml:space="preserve"> </w:t>
      </w:r>
      <w:r>
        <w:t xml:space="preserve">the</w:t>
      </w:r>
      <w:r>
        <w:t xml:space="preserve"> </w:t>
      </w:r>
      <w:r>
        <w:t xml:space="preserve">adapter retrained on the upgraded model.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w:t>
      </w:r>
      <w:r>
        <w:t xml:space="preserve">for the rest of the epoch.</w:t>
      </w:r>
    </w:p>
    <w:p>
      <w:pPr>
        <w:pStyle w:val="BodyText"/>
      </w:pPr>
      <w:r>
        <w:t xml:space="preserve">At the start of an epoch the organization picks a method</w:t>
      </w:r>
      <w:r>
        <w:t xml:space="preserve"> </w:t>
      </w:r>
      <m:oMath>
        <m:r>
          <m:t>j</m:t>
        </m:r>
      </m:oMath>
      <w:r>
        <w:t xml:space="preserve"> </w:t>
      </w:r>
      <w:r>
        <w:t xml:space="preserve">with recovery</w:t>
      </w:r>
      <w:r>
        <w:t xml:space="preserve"> </w:t>
      </w:r>
      <m:oMath>
        <m:sSub>
          <m:e>
            <m:r>
              <m:t>R</m:t>
            </m:r>
          </m:e>
          <m:sub>
            <m:r>
              <m:t>j</m:t>
            </m:r>
          </m:sub>
        </m:sSub>
      </m:oMath>
      <w:r>
        <w:t xml:space="preserve"> </w:t>
      </w:r>
      <w:r>
        <w:t xml:space="preserve">and upfront cost</w:t>
      </w:r>
      <w:r>
        <w:t xml:space="preserve"> </w:t>
      </w:r>
      <m:oMath>
        <m:sSub>
          <m:e>
            <m:r>
              <m:t>C</m:t>
            </m:r>
          </m:e>
          <m:sub>
            <m:r>
              <m:t>j</m:t>
            </m:r>
          </m:sub>
        </m:sSub>
      </m:oMath>
      <w:r>
        <w:t xml:space="preserve">: naive copy</w:t>
      </w:r>
      <w:r>
        <w:t xml:space="preserve"> </w:t>
      </w:r>
      <w:r>
        <w:t xml:space="preserve">of the old adapter (</w:t>
      </w:r>
      <m:oMath>
        <m:sSub>
          <m:e>
            <m:r>
              <m:t>C</m:t>
            </m:r>
          </m:e>
          <m:sub>
            <m:r>
              <m:rPr>
                <m:nor/>
                <m:sty m:val="p"/>
              </m:rPr>
              <m:t>copy</m:t>
            </m:r>
          </m:sub>
        </m:sSub>
        <m:r>
          <m:rPr>
            <m:sty m:val="p"/>
          </m:rPr>
          <m:t>=</m:t>
        </m:r>
        <m:r>
          <m:t>0</m:t>
        </m:r>
      </m:oMath>
      <w:r>
        <w:t xml:space="preserve">, recovery</w:t>
      </w:r>
      <w:r>
        <w:t xml:space="preserve"> </w:t>
      </w:r>
      <m:oMath>
        <m:sSub>
          <m:e>
            <m:r>
              <m:t>R</m:t>
            </m:r>
          </m:e>
          <m:sub>
            <m:r>
              <m:t>C</m:t>
            </m:r>
          </m:sub>
        </m:sSub>
      </m:oMath>
      <w:r>
        <w:t xml:space="preserve">), ACT (cost</w:t>
      </w:r>
      <w:r>
        <w:t xml:space="preserve"> </w:t>
      </w:r>
      <m:oMath>
        <m:sSub>
          <m:e>
            <m:r>
              <m:t>C</m:t>
            </m:r>
          </m:e>
          <m:sub>
            <m:r>
              <m:t>A</m:t>
            </m:r>
          </m:sub>
        </m:sSub>
      </m:oMath>
      <w:r>
        <w:t xml:space="preserve">, recovery</w:t>
      </w:r>
      <w:r>
        <w:t xml:space="preserve"> </w:t>
      </w:r>
      <m:oMath>
        <m:sSub>
          <m:e>
            <m:r>
              <m:t>R</m:t>
            </m:r>
          </m:e>
          <m:sub>
            <m:r>
              <m:t>A</m:t>
            </m:r>
          </m:sub>
        </m:sSub>
      </m:oMath>
      <w:r>
        <w:t xml:space="preserve">), or immediate retraining.</w:t>
      </w:r>
      <w:r>
        <w:t xml:space="preserve"> </w:t>
      </w:r>
      <w:r>
        <w:t xml:space="preserve">After applying</w:t>
      </w:r>
      <w:r>
        <w:t xml:space="preserve"> </w:t>
      </w:r>
      <m:oMath>
        <m:r>
          <m:t>j</m:t>
        </m:r>
      </m:oMath>
      <w:r>
        <w:t xml:space="preserve"> </w:t>
      </w:r>
      <w:r>
        <w:t xml:space="preserve">it may retrain at any stopping time</w:t>
      </w:r>
      <w:r>
        <w:t xml:space="preserve"> </w:t>
      </w:r>
      <m:oMath>
        <m:r>
          <m:t>T</m:t>
        </m:r>
      </m:oMath>
      <w:r>
        <w:t xml:space="preserve">. The assumption</w:t>
      </w:r>
      <w:r>
        <w:t xml:space="preserve"> </w:t>
      </w:r>
      <m:oMath>
        <m:r>
          <m:t>ρ</m:t>
        </m:r>
        <m:r>
          <m:rPr>
            <m:sty m:val="p"/>
          </m:rPr>
          <m:t>+</m:t>
        </m:r>
        <m:r>
          <m:t>μ</m:t>
        </m:r>
        <m:r>
          <m:rPr>
            <m:sty m:val="p"/>
          </m:rPr>
          <m:t>&gt;</m:t>
        </m:r>
        <m:r>
          <m:t>g</m:t>
        </m:r>
      </m:oMath>
      <w:r>
        <w:t xml:space="preserve"> </w:t>
      </w:r>
      <w:r>
        <w:t xml:space="preserve">ensures finite values. Under</w:t>
      </w:r>
      <w:r>
        <w:t xml:space="preserve"> </w:t>
      </w:r>
      <w:r>
        <w:t xml:space="preserve">method</w:t>
      </w:r>
      <w:r>
        <w:t xml:space="preserve"> </w:t>
      </w:r>
      <m:oMath>
        <m:r>
          <m:t>j</m:t>
        </m:r>
      </m:oMath>
      <w:r>
        <w:t xml:space="preserve"> </w:t>
      </w:r>
      <w:r>
        <w:t xml:space="preserve">the expected discounted cost is</w:t>
      </w:r>
    </w:p>
    <w:p>
      <w:pPr>
        <w:pStyle w:val="BodyText"/>
      </w:pPr>
      <m:oMathPara>
        <m:oMathParaPr>
          <m:jc m:val="center"/>
        </m:oMathParaPr>
        <m:oMath>
          <m:sSub>
            <m:e>
              <m:r>
                <m:t>W</m:t>
              </m:r>
            </m:e>
            <m:sub>
              <m:r>
                <m:t>j</m:t>
              </m:r>
            </m:sub>
          </m:sSub>
          <m:d>
            <m:dPr>
              <m:begChr m:val="("/>
              <m:endChr m:val=")"/>
              <m:sepChr m:val=""/>
              <m:grow/>
            </m:dPr>
            <m:e>
              <m:r>
                <m:t>v</m:t>
              </m:r>
            </m:e>
          </m:d>
          <m:r>
            <m:rPr>
              <m:sty m:val="p"/>
            </m:rPr>
            <m:t>=</m:t>
          </m:r>
          <m:sSub>
            <m:e>
              <m:r>
                <m:t>C</m:t>
              </m:r>
            </m:e>
            <m:sub>
              <m:r>
                <m:t>j</m:t>
              </m:r>
            </m:sub>
          </m:sSub>
          <m:r>
            <m:rPr>
              <m:sty m:val="p"/>
            </m:rPr>
            <m:t>+</m:t>
          </m:r>
          <m:limLow>
            <m:e>
              <m:r>
                <m:rPr>
                  <m:sty m:val="p"/>
                </m:rPr>
                <m:t>inf</m:t>
              </m:r>
            </m:e>
            <m:lim>
              <m:r>
                <m:t>T</m:t>
              </m:r>
            </m:lim>
          </m:limLow>
          <m:r>
            <m:t> </m:t>
          </m:r>
          <m:r>
            <m:rPr>
              <m:sty m:val="p"/>
              <m:scr m:val="double-struck"/>
            </m:rPr>
            <m:t>E</m:t>
          </m:r>
          <m:d>
            <m:dPr>
              <m:begChr m:val="["/>
              <m:endChr m:val="]"/>
              <m:sepChr m:val=""/>
              <m:grow/>
            </m:dPr>
            <m:e>
              <m:nary>
                <m:naryPr>
                  <m:chr m:val="∫"/>
                  <m:limLoc m:val="subSup"/>
                  <m:subHide m:val="off"/>
                  <m:supHide m:val="off"/>
                </m:naryPr>
                <m:sub>
                  <m:r>
                    <m:t>0</m:t>
                  </m:r>
                </m:sub>
                <m:sup>
                  <m:r>
                    <m:t>T</m:t>
                  </m:r>
                  <m:r>
                    <m:rPr>
                      <m:sty m:val="p"/>
                    </m:rPr>
                    <m:t>∧</m:t>
                  </m:r>
                  <m:r>
                    <m:t>τ</m:t>
                  </m:r>
                </m:sup>
                <m:e>
                  <m:sSup>
                    <m:e>
                      <m:r>
                        <m:t>e</m:t>
                      </m:r>
                    </m:e>
                    <m:sup>
                      <m:r>
                        <m:rPr>
                          <m:sty m:val="p"/>
                        </m:rPr>
                        <m:t>−</m:t>
                      </m:r>
                      <m:r>
                        <m:t>ρ</m:t>
                      </m:r>
                      <m:r>
                        <m:t>t</m:t>
                      </m:r>
                    </m:sup>
                  </m:sSup>
                </m:e>
              </m:nary>
              <m:d>
                <m:dPr>
                  <m:begChr m:val="("/>
                  <m:endChr m:val=")"/>
                  <m:sepChr m:val=""/>
                  <m:grow/>
                </m:dPr>
                <m:e>
                  <m:r>
                    <m:t>1</m:t>
                  </m:r>
                  <m:r>
                    <m:rPr>
                      <m:sty m:val="p"/>
                    </m:rPr>
                    <m:t>−</m:t>
                  </m:r>
                  <m:sSub>
                    <m:e>
                      <m:r>
                        <m:t>R</m:t>
                      </m:r>
                    </m:e>
                    <m:sub>
                      <m:r>
                        <m:t>j</m:t>
                      </m:r>
                    </m:sub>
                  </m:sSub>
                </m:e>
              </m:d>
              <m:sSub>
                <m:e>
                  <m:r>
                    <m:t>v</m:t>
                  </m:r>
                </m:e>
                <m:sub>
                  <m:r>
                    <m:t>t</m:t>
                  </m:r>
                </m:sub>
              </m:sSub>
              <m:r>
                <m:t> </m:t>
              </m:r>
              <m:r>
                <m:t>d</m:t>
              </m:r>
              <m:r>
                <m:t>t</m:t>
              </m:r>
              <m:r>
                <m:rPr>
                  <m:sty m:val="p"/>
                </m:rPr>
                <m:t>+</m:t>
              </m:r>
              <m:sSup>
                <m:e>
                  <m:r>
                    <m:t>e</m:t>
                  </m:r>
                </m:e>
                <m:sup>
                  <m:r>
                    <m:rPr>
                      <m:sty m:val="p"/>
                    </m:rPr>
                    <m:t>−</m:t>
                  </m:r>
                  <m:r>
                    <m:t>ρ</m:t>
                  </m:r>
                  <m:r>
                    <m:t>T</m:t>
                  </m:r>
                </m:sup>
              </m:sSup>
              <m:sSub>
                <m:e>
                  <m:r>
                    <m:t>C</m:t>
                  </m:r>
                </m:e>
                <m:sub>
                  <m:r>
                    <m:t>N</m:t>
                  </m:r>
                </m:sub>
              </m:sSub>
              <m:r>
                <m:t> </m:t>
              </m:r>
              <m:r>
                <m:rPr>
                  <m:sty m:val="b"/>
                </m:rPr>
                <m:t>1</m:t>
              </m:r>
              <m:r>
                <m:rPr>
                  <m:sty m:val="p"/>
                </m:rPr>
                <m:t>{</m:t>
              </m:r>
              <m:r>
                <m:t>T</m:t>
              </m:r>
              <m:r>
                <m:rPr>
                  <m:sty m:val="p"/>
                </m:rPr>
                <m:t>&lt;</m:t>
              </m:r>
              <m:r>
                <m:t>τ</m:t>
              </m:r>
              <m:r>
                <m:rPr>
                  <m:sty m:val="p"/>
                </m:rPr>
                <m:t>}</m:t>
              </m:r>
            </m:e>
          </m:d>
          <m:r>
            <m:rPr>
              <m:sty m:val="p"/>
            </m:rPr>
            <m:t>.</m:t>
          </m:r>
        </m:oMath>
      </m:oMathPara>
    </w:p>
    <w:p>
      <w:pPr>
        <w:pStyle w:val="FirstParagraph"/>
      </w:pPr>
      <w:r>
        <w:t xml:space="preserve">Immediate retraining costs</w:t>
      </w:r>
      <w:r>
        <w:t xml:space="preserve"> </w:t>
      </w:r>
      <m:oMath>
        <m:sSub>
          <m:e>
            <m:r>
              <m:t>C</m:t>
            </m:r>
          </m:e>
          <m:sub>
            <m:r>
              <m:t>N</m:t>
            </m:r>
          </m:sub>
        </m:sSub>
      </m:oMath>
      <w:r>
        <w:t xml:space="preserve">.</w:t>
      </w:r>
    </w:p>
    <w:bookmarkEnd w:id="22"/>
    <w:bookmarkStart w:id="23" w:name="analysis"/>
    <w:p>
      <w:pPr>
        <w:pStyle w:val="Heading1"/>
      </w:pPr>
      <w:r>
        <w:t xml:space="preserve">4. Analysis</w:t>
      </w:r>
    </w:p>
    <w:p>
      <w:pPr>
        <w:pStyle w:val="FirstParagraph"/>
      </w:pPr>
      <w:r>
        <w:t xml:space="preserve">Define</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and let</w:t>
      </w:r>
      <w:r>
        <w:t xml:space="preserve"> </w:t>
      </w:r>
      <m:oMath>
        <m:r>
          <m:t>β</m:t>
        </m:r>
        <m:r>
          <m:rPr>
            <m:sty m:val="p"/>
          </m:rPr>
          <m:t>&gt;</m:t>
        </m:r>
        <m:r>
          <m:t>1</m:t>
        </m:r>
      </m:oMath>
      <w:r>
        <w:t xml:space="preserve"> </w:t>
      </w:r>
      <w:r>
        <w:t xml:space="preserve">be the positive root of</w:t>
      </w:r>
      <w:r>
        <w:t xml:space="preserve"> </w:t>
      </w:r>
      <m:oMath>
        <m:r>
          <m:t>Q</m:t>
        </m:r>
        <m:d>
          <m:dPr>
            <m:begChr m:val="("/>
            <m:endChr m:val=")"/>
            <m:sepChr m:val=""/>
            <m:grow/>
          </m:dPr>
          <m:e>
            <m:r>
              <m:t>β</m:t>
            </m:r>
          </m:e>
        </m:d>
        <m:r>
          <m:rPr>
            <m:sty m:val="p"/>
          </m:rPr>
          <m:t>=</m:t>
        </m:r>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Since</w:t>
      </w:r>
      <w:r>
        <w:t xml:space="preserve"> </w:t>
      </w:r>
      <m:oMath>
        <m:r>
          <m:t>Q</m:t>
        </m:r>
        <m:d>
          <m:dPr>
            <m:begChr m:val="("/>
            <m:endChr m:val=")"/>
            <m:sepChr m:val=""/>
            <m:grow/>
          </m:dPr>
          <m:e>
            <m:r>
              <m:t>1</m:t>
            </m:r>
          </m:e>
        </m:d>
        <m:r>
          <m:rPr>
            <m:sty m:val="p"/>
          </m:rPr>
          <m:t>=</m:t>
        </m:r>
        <m:r>
          <m:t>g</m:t>
        </m:r>
        <m:r>
          <m:rPr>
            <m:sty m:val="p"/>
          </m:rPr>
          <m:t>−</m:t>
        </m:r>
        <m:r>
          <m:t>ρ</m:t>
        </m:r>
        <m:r>
          <m:rPr>
            <m:sty m:val="p"/>
          </m:rPr>
          <m:t>−</m:t>
        </m:r>
        <m:r>
          <m:t>μ</m:t>
        </m:r>
        <m:r>
          <m:rPr>
            <m:sty m:val="p"/>
          </m:rPr>
          <m:t>&lt;</m:t>
        </m:r>
        <m:r>
          <m:t>0</m:t>
        </m:r>
      </m:oMath>
      <w:r>
        <w:t xml:space="preserve"> </w:t>
      </w:r>
      <w:r>
        <w:t xml:space="preserve">and</w:t>
      </w:r>
      <w:r>
        <w:t xml:space="preserve"> </w:t>
      </w:r>
      <m:oMath>
        <m:r>
          <m:t>Q</m:t>
        </m:r>
        <m:d>
          <m:dPr>
            <m:begChr m:val="("/>
            <m:endChr m:val=")"/>
            <m:sepChr m:val=""/>
            <m:grow/>
          </m:dPr>
          <m:e>
            <m:r>
              <m:t>β</m:t>
            </m:r>
          </m:e>
        </m:d>
        <m:r>
          <m:rPr>
            <m:sty m:val="p"/>
          </m:rPr>
          <m:t>→</m:t>
        </m:r>
        <m:r>
          <m:rPr>
            <m:sty m:val="p"/>
          </m:rPr>
          <m:t>∞</m:t>
        </m:r>
      </m:oMath>
      <w:r>
        <w:t xml:space="preserve">, the root exists and exceeds one.</w:t>
      </w:r>
    </w:p>
    <w:p>
      <w:pPr>
        <w:pStyle w:val="BodyText"/>
      </w:pPr>
      <w:r>
        <w:rPr>
          <w:bCs/>
          <w:b/>
        </w:rPr>
        <w:t xml:space="preserve">Proposition 1 (Retraining threshold).</w:t>
      </w:r>
      <w:r>
        <w:t xml:space="preserve"> </w:t>
      </w:r>
      <w:r>
        <w:t xml:space="preserve">Under method</w:t>
      </w:r>
      <w:r>
        <w:t xml:space="preserve"> </w:t>
      </w:r>
      <m:oMath>
        <m:r>
          <m:t>j</m:t>
        </m:r>
      </m:oMath>
      <w:r>
        <w:t xml:space="preserve"> </w:t>
      </w:r>
      <w:r>
        <w:t xml:space="preserve">the optimal policy retrains the first time</w:t>
      </w:r>
      <w:r>
        <w:t xml:space="preserve"> </w:t>
      </w:r>
      <m:oMath>
        <m:sSub>
          <m:e>
            <m:r>
              <m:t>v</m:t>
            </m:r>
          </m:e>
          <m:sub>
            <m:r>
              <m:t>t</m:t>
            </m:r>
          </m:sub>
        </m:sSub>
        <m:r>
          <m:rPr>
            <m:sty m:val="p"/>
          </m:rPr>
          <m:t>≥</m:t>
        </m:r>
        <m:sSup>
          <m:e>
            <m:r>
              <m:t>v</m:t>
            </m:r>
          </m:e>
          <m:sup>
            <m:r>
              <m:rPr>
                <m:sty m:val="p"/>
              </m:rPr>
              <m:t>*</m:t>
            </m:r>
          </m:sup>
        </m:sSup>
        <m:d>
          <m:dPr>
            <m:begChr m:val="("/>
            <m:endChr m:val=")"/>
            <m:sepChr m:val=""/>
            <m:grow/>
          </m:dPr>
          <m:e>
            <m:sSub>
              <m:e>
                <m:r>
                  <m:t>R</m:t>
                </m:r>
              </m:e>
              <m:sub>
                <m:r>
                  <m:t>j</m:t>
                </m:r>
              </m:sub>
            </m:sSub>
          </m:e>
        </m:d>
      </m:oMath>
      <w:r>
        <w:t xml:space="preserve">, where</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f>
            <m:fPr>
              <m:type m:val="bar"/>
            </m:fPr>
            <m:num>
              <m:sSub>
                <m:e>
                  <m:r>
                    <m:t>C</m:t>
                  </m:r>
                </m:e>
                <m:sub>
                  <m:r>
                    <m:t>N</m:t>
                  </m:r>
                </m:sub>
              </m:sSub>
              <m:r>
                <m:t> </m:t>
              </m:r>
              <m:r>
                <m:t>β</m:t>
              </m:r>
              <m:r>
                <m:t> </m:t>
              </m:r>
              <m:d>
                <m:dPr>
                  <m:begChr m:val="("/>
                  <m:endChr m:val=")"/>
                  <m:sepChr m:val=""/>
                  <m:grow/>
                </m:dPr>
                <m:e>
                  <m:r>
                    <m:t>g</m:t>
                  </m:r>
                  <m:r>
                    <m:rPr>
                      <m:sty m:val="p"/>
                    </m:rPr>
                    <m:t>+</m:t>
                  </m:r>
                  <m:f>
                    <m:fPr>
                      <m:type m:val="lin"/>
                    </m:fPr>
                    <m:num>
                      <m:r>
                        <m:t>1</m:t>
                      </m:r>
                    </m:num>
                    <m:den>
                      <m:r>
                        <m:t>2</m:t>
                      </m:r>
                    </m:den>
                  </m:f>
                  <m:sSup>
                    <m:e>
                      <m:r>
                        <m:t>σ</m:t>
                      </m:r>
                    </m:e>
                    <m:sup>
                      <m:r>
                        <m:t>2</m:t>
                      </m:r>
                    </m:sup>
                  </m:sSup>
                  <m:r>
                    <m:t>β</m:t>
                  </m:r>
                </m:e>
              </m:d>
            </m:num>
            <m:den>
              <m:r>
                <m:t>1</m:t>
              </m:r>
              <m:r>
                <m:rPr>
                  <m:sty m:val="p"/>
                </m:rPr>
                <m:t>−</m:t>
              </m:r>
              <m:r>
                <m:t>R</m:t>
              </m:r>
            </m:den>
          </m:f>
          <m:r>
            <m:rPr>
              <m:sty m:val="p"/>
            </m:rPr>
            <m:t>.</m:t>
          </m:r>
        </m:oMath>
      </m:oMathPara>
    </w:p>
    <w:p>
      <w:pPr>
        <w:pStyle w:val="FirstParagraph"/>
      </w:pPr>
      <w:r>
        <w:t xml:space="preserve">The value of the retraining option is</w:t>
      </w:r>
      <w:r>
        <w:t xml:space="preserve"> </w:t>
      </w:r>
      <m:oMath>
        <m:sSub>
          <m:e>
            <m:r>
              <m:t>F</m:t>
            </m:r>
          </m:e>
          <m:sub>
            <m:r>
              <m:t>j</m:t>
            </m:r>
          </m:sub>
        </m:sSub>
        <m:d>
          <m:dPr>
            <m:begChr m:val="("/>
            <m:endChr m:val=")"/>
            <m:sepChr m:val=""/>
            <m:grow/>
          </m:dPr>
          <m:e>
            <m:r>
              <m:t>v</m:t>
            </m:r>
          </m:e>
        </m:d>
        <m:r>
          <m:rPr>
            <m:sty m:val="p"/>
          </m:rPr>
          <m:t>=</m:t>
        </m:r>
        <m:d>
          <m:dPr>
            <m:begChr m:val="("/>
            <m:endChr m:val=")"/>
            <m:sepChr m:val=""/>
            <m:grow/>
          </m:dPr>
          <m:e>
            <m:sSub>
              <m:e>
                <m:r>
                  <m:t>k</m:t>
                </m:r>
              </m:e>
              <m:sub>
                <m:r>
                  <m:t>j</m:t>
                </m:r>
              </m:sub>
            </m:sSub>
            <m:sSubSup>
              <m:e>
                <m:r>
                  <m:t>v</m:t>
                </m:r>
              </m:e>
              <m:sub>
                <m:r>
                  <m:t>j</m:t>
                </m:r>
              </m:sub>
              <m:sup>
                <m:r>
                  <m:rPr>
                    <m:sty m:val="p"/>
                  </m:rPr>
                  <m:t>*</m:t>
                </m:r>
              </m:sup>
            </m:sSubSup>
            <m:r>
              <m:rPr>
                <m:sty m:val="p"/>
              </m:rPr>
              <m:t>−</m:t>
            </m:r>
            <m:sSub>
              <m:e>
                <m:r>
                  <m:t>C</m:t>
                </m:r>
              </m:e>
              <m:sub>
                <m:r>
                  <m:t>N</m:t>
                </m:r>
              </m:sub>
            </m:sSub>
          </m:e>
        </m:d>
        <m:sSup>
          <m:e>
            <m:d>
              <m:dPr>
                <m:begChr m:val="("/>
                <m:endChr m:val=")"/>
                <m:sepChr m:val=""/>
                <m:grow/>
              </m:dPr>
              <m:e>
                <m:r>
                  <m:t>v</m:t>
                </m:r>
                <m:r>
                  <m:rPr>
                    <m:sty m:val="p"/>
                  </m:rPr>
                  <m:t>/</m:t>
                </m:r>
                <m:sSubSup>
                  <m:e>
                    <m:r>
                      <m:t>v</m:t>
                    </m:r>
                  </m:e>
                  <m:sub>
                    <m:r>
                      <m:t>j</m:t>
                    </m:r>
                  </m:sub>
                  <m:sup>
                    <m:r>
                      <m:rPr>
                        <m:sty m:val="p"/>
                      </m:rPr>
                      <m:t>*</m:t>
                    </m:r>
                  </m:sup>
                </m:sSubSup>
              </m:e>
            </m:d>
          </m:e>
          <m:sup>
            <m:r>
              <m:t>β</m:t>
            </m:r>
          </m:sup>
        </m:sSup>
      </m:oMath>
      <w:r>
        <w:t xml:space="preserve"> </w:t>
      </w:r>
      <w:r>
        <w:t xml:space="preserve">for</w:t>
      </w:r>
      <w:r>
        <w:t xml:space="preserve"> </w:t>
      </w:r>
      <m:oMath>
        <m:r>
          <m:t>v</m:t>
        </m:r>
        <m:r>
          <m:rPr>
            <m:sty m:val="p"/>
          </m:rPr>
          <m:t>&lt;</m:t>
        </m:r>
        <m:sSubSup>
          <m:e>
            <m:r>
              <m:t>v</m:t>
            </m:r>
          </m:e>
          <m:sub>
            <m:r>
              <m:t>j</m:t>
            </m:r>
          </m:sub>
          <m:sup>
            <m:r>
              <m:rPr>
                <m:sty m:val="p"/>
              </m:rPr>
              <m:t>*</m:t>
            </m:r>
          </m:sup>
        </m:sSubSup>
      </m:oMath>
      <w:r>
        <w:t xml:space="preserve"> </w:t>
      </w:r>
      <w:r>
        <w:t xml:space="preserve">and</w:t>
      </w:r>
      <w:r>
        <w:t xml:space="preserve"> </w:t>
      </w:r>
      <m:oMath>
        <m:sSub>
          <m:e>
            <m:r>
              <m:t>k</m:t>
            </m:r>
          </m:e>
          <m:sub>
            <m:r>
              <m:t>j</m:t>
            </m:r>
          </m:sub>
        </m:sSub>
        <m:r>
          <m:t>v</m:t>
        </m:r>
        <m:r>
          <m:rPr>
            <m:sty m:val="p"/>
          </m:rPr>
          <m:t>−</m:t>
        </m:r>
        <m:sSub>
          <m:e>
            <m:r>
              <m:t>C</m:t>
            </m:r>
          </m:e>
          <m:sub>
            <m:r>
              <m:t>N</m:t>
            </m:r>
          </m:sub>
        </m:sSub>
      </m:oMath>
      <w:r>
        <w:t xml:space="preserve"> </w:t>
      </w:r>
      <w:r>
        <w:t xml:space="preserve">otherwise, and</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w:t>
      </w:r>
      <w:r>
        <w:t xml:space="preserve">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 </w:t>
      </w:r>
      <w:r>
        <w:t xml:space="preserve">otherwise.</w:t>
      </w:r>
    </w:p>
    <w:p>
      <w:pPr>
        <w:pStyle w:val="BodyText"/>
      </w:pPr>
      <w:r>
        <w:rPr>
          <w:bCs/>
          <w:b/>
        </w:rPr>
        <w:t xml:space="preserve">Proposition 2 (Comparative statics).</w:t>
      </w:r>
      <w:r>
        <w:t xml:space="preserve"> </w:t>
      </w:r>
      <w:r>
        <w:t xml:space="preserve">The threshold</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 the release rate</w:t>
      </w:r>
      <w:r>
        <w:t xml:space="preserve"> </w:t>
      </w:r>
      <m:oMath>
        <m:r>
          <m:t>μ</m:t>
        </m:r>
      </m:oMath>
      <w:r>
        <w:t xml:space="preserve">, in the discount rate</w:t>
      </w:r>
      <w:r>
        <w:t xml:space="preserve"> </w:t>
      </w:r>
      <m:oMath>
        <m:r>
          <m:t>ρ</m:t>
        </m:r>
      </m:oMath>
      <w:r>
        <w:t xml:space="preserve">, and in the</w:t>
      </w:r>
      <w:r>
        <w:t xml:space="preserve"> </w:t>
      </w:r>
      <w:r>
        <w:t xml:space="preserve">volatility</w:t>
      </w:r>
      <w:r>
        <w:t xml:space="preserve"> </w:t>
      </w:r>
      <m:oMath>
        <m:r>
          <m:t>σ</m:t>
        </m:r>
      </m:oMath>
      <w:r>
        <w:t xml:space="preserve">.</w:t>
      </w:r>
    </w:p>
    <w:p>
      <w:pPr>
        <w:pStyle w:val="BodyText"/>
      </w:pPr>
      <w:r>
        <w:t xml:space="preserve">Higher recovery and more frequent releases both raise the threshold: a better transfer makes waiting cheaper,</w:t>
      </w:r>
      <w:r>
        <w:t xml:space="preserve"> </w:t>
      </w:r>
      <w:r>
        <w:t xml:space="preserve">and a short expected epoch makes retraining less likely to pay back before the next release.</w:t>
      </w:r>
    </w:p>
    <w:p>
      <w:pPr>
        <w:pStyle w:val="BodyText"/>
      </w:pPr>
      <w:r>
        <w:rPr>
          <w:bCs/>
          <w:b/>
        </w:rPr>
        <w:t xml:space="preserve">Proposition 3 (Value of a transfer method).</w:t>
      </w:r>
      <w:r>
        <w:t xml:space="preserve"> </w:t>
      </w:r>
      <w:r>
        <w:t xml:space="preserve">Define</w:t>
      </w:r>
    </w:p>
    <w:p>
      <w:pPr>
        <w:pStyle w:val="BodyText"/>
      </w:pPr>
      <m:oMathPara>
        <m:oMathParaPr>
          <m:jc m:val="center"/>
        </m:oMathParaPr>
        <m:oMath>
          <m:r>
            <m:t>Γ</m:t>
          </m:r>
          <m:d>
            <m:dPr>
              <m:begChr m:val="("/>
              <m:endChr m:val=")"/>
              <m:sepChr m:val=""/>
              <m:grow/>
            </m:dPr>
            <m:e>
              <m:sSub>
                <m:e>
                  <m:r>
                    <m:t>R</m:t>
                  </m:r>
                </m:e>
                <m:sub>
                  <m:r>
                    <m:t>A</m:t>
                  </m:r>
                </m:sub>
              </m:sSub>
              <m:r>
                <m:rPr>
                  <m:sty m:val="p"/>
                </m:rPr>
                <m:t>,</m:t>
              </m:r>
              <m:sSub>
                <m:e>
                  <m:r>
                    <m:t>R</m:t>
                  </m:r>
                </m:e>
                <m:sub>
                  <m:r>
                    <m:t>C</m:t>
                  </m:r>
                </m:sub>
              </m:sSub>
            </m:e>
          </m:d>
          <m:r>
            <m:rPr>
              <m:sty m:val="p"/>
            </m:rPr>
            <m:t>=</m:t>
          </m:r>
          <m:limLow>
            <m:e>
              <m:r>
                <m:rPr>
                  <m:sty m:val="p"/>
                </m:rPr>
                <m:t>sup</m:t>
              </m:r>
            </m:e>
            <m:lim>
              <m:r>
                <m:t>v</m:t>
              </m:r>
              <m:r>
                <m:rPr>
                  <m:sty m:val="p"/>
                </m:rPr>
                <m:t>&gt;</m:t>
              </m:r>
              <m:r>
                <m:t>0</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ACT is the cost-minimizing policy at some starting value</w:t>
      </w:r>
      <w:r>
        <w:t xml:space="preserve"> </w:t>
      </w:r>
      <m:oMath>
        <m:r>
          <m:t>v</m:t>
        </m:r>
      </m:oMath>
      <w:r>
        <w:t xml:space="preserve"> </w:t>
      </w:r>
      <w:r>
        <w:t xml:space="preserve">if and only if</w:t>
      </w:r>
      <w:r>
        <w:t xml:space="preserve"> </w:t>
      </w:r>
      <m:oMath>
        <m:sSub>
          <m:e>
            <m:r>
              <m:t>C</m:t>
            </m:r>
          </m:e>
          <m:sub>
            <m:r>
              <m:t>A</m:t>
            </m:r>
          </m:sub>
        </m:sSub>
        <m:r>
          <m:rPr>
            <m:sty m:val="p"/>
          </m:rPr>
          <m:t>&lt;</m:t>
        </m:r>
        <m:r>
          <m:t>Γ</m:t>
        </m:r>
      </m:oMath>
      <w:r>
        <w:t xml:space="preserve">. When it is, the set of such</w:t>
      </w:r>
      <w:r>
        <w:t xml:space="preserve"> </w:t>
      </w:r>
      <m:oMath>
        <m:r>
          <m:t>v</m:t>
        </m:r>
      </m:oMath>
      <w:r>
        <w:t xml:space="preserve"> </w:t>
      </w:r>
      <w:r>
        <w:t xml:space="preserve">is</w:t>
      </w:r>
      <w:r>
        <w:t xml:space="preserve"> </w:t>
      </w:r>
      <m:oMath>
        <m:r>
          <m:rPr>
            <m:sty m:val="p"/>
          </m:rPr>
          <m:t>{</m:t>
        </m:r>
        <m:r>
          <m:t>v</m:t>
        </m:r>
        <m:r>
          <m:rPr>
            <m:sty m:val="p"/>
          </m:rPr>
          <m:t>:</m:t>
        </m:r>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oMath>
      <w:r>
        <w:t xml:space="preserve">.</w:t>
      </w:r>
    </w:p>
    <w:p>
      <w:pPr>
        <w:pStyle w:val="BodyText"/>
      </w:pPr>
      <w:r>
        <w:t xml:space="preserve">Proofs are in Appendix A. The practical content is a price ceiling:</w:t>
      </w:r>
      <w:r>
        <w:t xml:space="preserve"> </w:t>
      </w:r>
      <m:oMath>
        <m:r>
          <m:t>Γ</m:t>
        </m:r>
      </m:oMath>
      <w:r>
        <w:t xml:space="preserve"> </w:t>
      </w:r>
      <w:r>
        <w:t xml:space="preserve">is the most a firm should</w:t>
      </w:r>
      <w:r>
        <w:t xml:space="preserve"> </w:t>
      </w:r>
      <w:r>
        <w:t xml:space="preserve">pay for a transfer method with recovery</w:t>
      </w:r>
      <w:r>
        <w:t xml:space="preserve"> </w:t>
      </w:r>
      <m:oMath>
        <m:sSub>
          <m:e>
            <m:r>
              <m:t>R</m:t>
            </m:r>
          </m:e>
          <m:sub>
            <m:r>
              <m:t>A</m:t>
            </m:r>
          </m:sub>
        </m:sSub>
      </m:oMath>
      <w:r>
        <w:t xml:space="preserve">, given the alternative of a free copy. In the examples below the</w:t>
      </w:r>
      <w:r>
        <w:t xml:space="preserve"> </w:t>
      </w:r>
      <w:r>
        <w:t xml:space="preserve">set where ACT is optimal is a bounded interval, which we report numerically rather than claim as a general property.</w:t>
      </w:r>
    </w:p>
    <w:bookmarkEnd w:id="23"/>
    <w:bookmarkStart w:id="24" w:name="X9cf0fc47458c3ecd9163f454cb899b9bf8c82a7"/>
    <w:p>
      <w:pPr>
        <w:pStyle w:val="Heading1"/>
      </w:pPr>
      <w:r>
        <w:t xml:space="preserve">5. A Candidate Transfer Method: Anchored Calibration Transfer</w:t>
      </w:r>
    </w:p>
    <w:p>
      <w:pPr>
        <w:pStyle w:val="FirstParagraph"/>
      </w:pPr>
      <w:r>
        <w:t xml:space="preserve">Consider a LoRA module</w:t>
      </w:r>
      <w:r>
        <w:t xml:space="preserve"> </w:t>
      </w:r>
      <m:oMath>
        <m:r>
          <m:t>Δ</m:t>
        </m:r>
        <m:r>
          <m:t>W</m:t>
        </m:r>
        <m:r>
          <m:rPr>
            <m:sty m:val="p"/>
          </m:rPr>
          <m:t>=</m:t>
        </m:r>
        <m:r>
          <m:t>B</m:t>
        </m:r>
        <m:r>
          <m:t>A</m:t>
        </m:r>
      </m:oMath>
      <w:r>
        <w:t xml:space="preserve"> </w:t>
      </w:r>
      <w:r>
        <w:t xml:space="preserve">with</w:t>
      </w:r>
      <w:r>
        <w:t xml:space="preserve"> </w:t>
      </w:r>
      <m:oMath>
        <m:r>
          <m:t>A</m:t>
        </m:r>
        <m:r>
          <m:rPr>
            <m:sty m:val="p"/>
          </m:rPr>
          <m:t>∈</m:t>
        </m:r>
        <m:sSup>
          <m:e>
            <m:r>
              <m:rPr>
                <m:sty m:val="p"/>
                <m:scr m:val="double-struck"/>
              </m:rPr>
              <m:t>R</m:t>
            </m:r>
          </m:e>
          <m:sup>
            <m:r>
              <m:t>r</m:t>
            </m:r>
            <m:r>
              <m:rPr>
                <m:sty m:val="p"/>
              </m:rPr>
              <m:t>×</m:t>
            </m:r>
            <m:r>
              <m:t>d</m:t>
            </m:r>
          </m:sup>
        </m:sSup>
      </m:oMath>
      <w:r>
        <w:t xml:space="preserve"> </w:t>
      </w:r>
      <w:r>
        <w:t xml:space="preserve">and</w:t>
      </w:r>
      <w:r>
        <w:t xml:space="preserve"> </w:t>
      </w:r>
      <m:oMath>
        <m:r>
          <m:t>B</m:t>
        </m:r>
        <m:r>
          <m:rPr>
            <m:sty m:val="p"/>
          </m:rPr>
          <m:t>∈</m:t>
        </m:r>
        <m:sSup>
          <m:e>
            <m:r>
              <m:rPr>
                <m:sty m:val="p"/>
                <m:scr m:val="double-struck"/>
              </m:rPr>
              <m:t>R</m:t>
            </m:r>
          </m:e>
          <m:sup>
            <m:sSub>
              <m:e>
                <m:r>
                  <m:t>d</m:t>
                </m:r>
              </m:e>
              <m:sub>
                <m:r>
                  <m:rPr>
                    <m:nor/>
                    <m:sty m:val="p"/>
                  </m:rPr>
                  <m:t>out</m:t>
                </m:r>
              </m:sub>
            </m:sSub>
            <m:r>
              <m:rPr>
                <m:sty m:val="p"/>
              </m:rPr>
              <m:t>×</m:t>
            </m:r>
            <m:r>
              <m:t>r</m:t>
            </m:r>
          </m:sup>
        </m:sSup>
      </m:oMath>
      <w:r>
        <w:t xml:space="preserve"> </w:t>
      </w:r>
      <w:r>
        <w:t xml:space="preserve">attached to a</w:t>
      </w:r>
      <w:r>
        <w:t xml:space="preserve"> </w:t>
      </w:r>
      <w:r>
        <w:t xml:space="preserve">linear layer. Let</w:t>
      </w:r>
      <w:r>
        <w:t xml:space="preserve"> </w:t>
      </w:r>
      <m:oMath>
        <m:sSub>
          <m:e>
            <m:r>
              <m:t>X</m:t>
            </m:r>
          </m:e>
          <m:sub>
            <m:r>
              <m:t>s</m:t>
            </m:r>
          </m:sub>
        </m:sSub>
      </m:oMath>
      <w:r>
        <w:t xml:space="preserve"> </w:t>
      </w:r>
      <w:r>
        <w:t xml:space="preserve">and</w:t>
      </w:r>
      <w:r>
        <w:t xml:space="preserve"> </w:t>
      </w:r>
      <m:oMath>
        <m:sSub>
          <m:e>
            <m:r>
              <m:t>X</m:t>
            </m:r>
          </m:e>
          <m:sub>
            <m:r>
              <m:t>t</m:t>
            </m:r>
          </m:sub>
        </m:sSub>
      </m:oMath>
      <w:r>
        <w:t xml:space="preserve"> </w:t>
      </w:r>
      <w:r>
        <w:t xml:space="preserve">be the matrices of module inputs (columns are tokens) obtained by running the source</w:t>
      </w:r>
      <w:r>
        <w:t xml:space="preserve"> </w:t>
      </w:r>
      <w:r>
        <w:t xml:space="preserve">and target models on the same unlabeled calibration inputs. ACT keeps</w:t>
      </w:r>
      <w:r>
        <w:t xml:space="preserve"> </w:t>
      </w:r>
      <m:oMath>
        <m:r>
          <m:t>B</m:t>
        </m:r>
      </m:oMath>
      <w:r>
        <w:t xml:space="preserve"> </w:t>
      </w:r>
      <w:r>
        <w:t xml:space="preserve">and replaces</w:t>
      </w:r>
      <w:r>
        <w:t xml:space="preserve"> </w:t>
      </w:r>
      <m:oMath>
        <m:r>
          <m:t>A</m:t>
        </m:r>
      </m:oMath>
      <w:r>
        <w:t xml:space="preserve"> </w:t>
      </w:r>
      <w:r>
        <w:t xml:space="preserve">by the ridge solution of</w:t>
      </w:r>
    </w:p>
    <w:p>
      <w:pPr>
        <w:pStyle w:val="BodyText"/>
      </w:pPr>
      <m:oMathPara>
        <m:oMathParaPr>
          <m:jc m:val="center"/>
        </m:oMathParaPr>
        <m:oMath>
          <m:limLow>
            <m:e>
              <m:r>
                <m:rPr>
                  <m:sty m:val="p"/>
                </m:rPr>
                <m:t>min</m:t>
              </m:r>
            </m:e>
            <m:lim>
              <m:r>
                <m:t>A</m:t>
              </m:r>
            </m:lim>
          </m:limLow>
          <m:r>
            <m:t> </m:t>
          </m:r>
          <m:r>
            <m:rPr>
              <m:sty m:val="p"/>
            </m:rPr>
            <m:t>∥</m:t>
          </m:r>
          <m:r>
            <m:t>A</m:t>
          </m:r>
          <m:sSub>
            <m:e>
              <m:r>
                <m:t>X</m:t>
              </m:r>
            </m:e>
            <m:sub>
              <m:r>
                <m:t>t</m:t>
              </m:r>
            </m:sub>
          </m:sSub>
          <m:r>
            <m:rPr>
              <m:sty m:val="p"/>
            </m:rPr>
            <m:t>−</m:t>
          </m:r>
          <m:sSub>
            <m:e>
              <m:r>
                <m:t>A</m:t>
              </m:r>
            </m:e>
            <m:sub>
              <m:r>
                <m:t>s</m:t>
              </m:r>
            </m:sub>
          </m:sSub>
          <m:sSub>
            <m:e>
              <m:r>
                <m:t>X</m:t>
              </m:r>
            </m:e>
            <m:sub>
              <m:r>
                <m:t>s</m:t>
              </m:r>
            </m:sub>
          </m:sSub>
          <m:sSubSup>
            <m:e>
              <m:r>
                <m:rPr>
                  <m:sty m:val="p"/>
                </m:rPr>
                <m:t>∥</m:t>
              </m:r>
            </m:e>
            <m:sub>
              <m:r>
                <m:t>F</m:t>
              </m:r>
            </m:sub>
            <m:sup>
              <m:r>
                <m:t>2</m:t>
              </m:r>
            </m:sup>
          </m:sSubSup>
          <m:r>
            <m:rPr>
              <m:sty m:val="p"/>
            </m:rPr>
            <m:t>+</m:t>
          </m:r>
          <m:r>
            <m:t>λ</m:t>
          </m:r>
          <m:r>
            <m:rPr>
              <m:sty m:val="p"/>
            </m:rPr>
            <m:t>∥</m:t>
          </m:r>
          <m:r>
            <m:t>A</m:t>
          </m:r>
          <m:r>
            <m:rPr>
              <m:sty m:val="p"/>
            </m:rPr>
            <m:t>−</m:t>
          </m:r>
          <m:sSub>
            <m:e>
              <m:r>
                <m:t>A</m:t>
              </m:r>
            </m:e>
            <m:sub>
              <m:r>
                <m:t>s</m:t>
              </m:r>
            </m:sub>
          </m:sSub>
          <m:sSubSup>
            <m:e>
              <m:r>
                <m:rPr>
                  <m:sty m:val="p"/>
                </m:rPr>
                <m:t>∥</m:t>
              </m:r>
            </m:e>
            <m:sub>
              <m:r>
                <m:t>F</m:t>
              </m:r>
            </m:sub>
            <m:sup>
              <m:r>
                <m:t>2</m:t>
              </m:r>
            </m:sup>
          </m:sSubSup>
          <m:r>
            <m:rPr>
              <m:sty m:val="p"/>
            </m:rPr>
            <m:t>,</m:t>
          </m:r>
          <m:r>
            <m:t>  </m:t>
          </m:r>
          <m:sSub>
            <m:e>
              <m:r>
                <m:t>A</m:t>
              </m:r>
            </m:e>
            <m:sub>
              <m:r>
                <m:t>t</m:t>
              </m:r>
            </m:sub>
          </m:sSub>
          <m:r>
            <m:rPr>
              <m:sty m:val="p"/>
            </m:rPr>
            <m:t>=</m:t>
          </m:r>
          <m:sSub>
            <m:e>
              <m:r>
                <m:t>A</m:t>
              </m:r>
            </m:e>
            <m:sub>
              <m:r>
                <m:t>s</m:t>
              </m:r>
            </m:sub>
          </m:sSub>
          <m:r>
            <m:t> </m:t>
          </m:r>
          <m:d>
            <m:dPr>
              <m:begChr m:val="("/>
              <m:endChr m:val=")"/>
              <m:sepChr m:val=""/>
              <m:grow/>
            </m:dPr>
            <m:e>
              <m:sSub>
                <m:e>
                  <m:r>
                    <m:t>X</m:t>
                  </m:r>
                </m:e>
                <m:sub>
                  <m:r>
                    <m:t>s</m:t>
                  </m:r>
                </m:sub>
              </m:sSub>
              <m:sSubSup>
                <m:e>
                  <m:r>
                    <m:t>X</m:t>
                  </m:r>
                </m:e>
                <m:sub>
                  <m:r>
                    <m:t>t</m:t>
                  </m:r>
                </m:sub>
                <m:sup>
                  <m:r>
                    <m:rPr>
                      <m:sty m:val="p"/>
                    </m:rPr>
                    <m:t>⊤</m:t>
                  </m:r>
                </m:sup>
              </m:sSubSup>
              <m:r>
                <m:rPr>
                  <m:sty m:val="p"/>
                </m:rPr>
                <m:t>+</m:t>
              </m:r>
              <m:r>
                <m:t>λ</m:t>
              </m:r>
              <m:r>
                <m:t>I</m:t>
              </m:r>
            </m:e>
          </m:d>
          <m:sSup>
            <m:e>
              <m:d>
                <m:dPr>
                  <m:begChr m:val="("/>
                  <m:endChr m:val=")"/>
                  <m:sepChr m:val=""/>
                  <m:grow/>
                </m:dPr>
                <m:e>
                  <m:sSub>
                    <m:e>
                      <m:r>
                        <m:t>X</m:t>
                      </m:r>
                    </m:e>
                    <m:sub>
                      <m:r>
                        <m:t>t</m:t>
                      </m:r>
                    </m:sub>
                  </m:sSub>
                  <m:sSubSup>
                    <m:e>
                      <m:r>
                        <m:t>X</m:t>
                      </m:r>
                    </m:e>
                    <m:sub>
                      <m:r>
                        <m:t>t</m:t>
                      </m:r>
                    </m:sub>
                    <m:sup>
                      <m:r>
                        <m:rPr>
                          <m:sty m:val="p"/>
                        </m:rPr>
                        <m:t>⊤</m:t>
                      </m:r>
                    </m:sup>
                  </m:sSubSup>
                  <m:r>
                    <m:rPr>
                      <m:sty m:val="p"/>
                    </m:rPr>
                    <m:t>+</m:t>
                  </m:r>
                  <m:r>
                    <m:t>λ</m:t>
                  </m:r>
                  <m:r>
                    <m:t>I</m:t>
                  </m:r>
                </m:e>
              </m:d>
            </m:e>
            <m:sup>
              <m:r>
                <m:rPr>
                  <m:sty m:val="p"/>
                </m:rPr>
                <m:t>−</m:t>
              </m:r>
              <m:r>
                <m:t>1</m:t>
              </m:r>
            </m:sup>
          </m:sSup>
          <m:r>
            <m:rPr>
              <m:sty m:val="p"/>
            </m:rPr>
            <m:t>,</m:t>
          </m:r>
        </m:oMath>
      </m:oMathPara>
    </w:p>
    <w:p>
      <w:pPr>
        <w:pStyle w:val="FirstParagraph"/>
      </w:pPr>
      <w:r>
        <w:t xml:space="preserve">with</w:t>
      </w:r>
      <w:r>
        <w:t xml:space="preserve"> </w:t>
      </w:r>
      <m:oMath>
        <m:r>
          <m:t>λ</m:t>
        </m:r>
        <m:r>
          <m:rPr>
            <m:sty m:val="p"/>
          </m:rPr>
          <m:t>=</m:t>
        </m:r>
        <m:r>
          <m:t>α</m:t>
        </m:r>
        <m:r>
          <m:t> </m:t>
        </m:r>
        <m:r>
          <m:rPr>
            <m:sty m:val="p"/>
          </m:rPr>
          <m:t>tr</m:t>
        </m:r>
        <m:d>
          <m:dPr>
            <m:begChr m:val="("/>
            <m:endChr m:val=")"/>
            <m:sepChr m:val=""/>
            <m:grow/>
          </m:dPr>
          <m:e>
            <m:sSub>
              <m:e>
                <m:r>
                  <m:t>X</m:t>
                </m:r>
              </m:e>
              <m:sub>
                <m:r>
                  <m:t>t</m:t>
                </m:r>
              </m:sub>
            </m:sSub>
            <m:sSubSup>
              <m:e>
                <m:r>
                  <m:t>X</m:t>
                </m:r>
              </m:e>
              <m:sub>
                <m:r>
                  <m:t>t</m:t>
                </m:r>
              </m:sub>
              <m:sup>
                <m:r>
                  <m:rPr>
                    <m:sty m:val="p"/>
                  </m:rPr>
                  <m:t>⊤</m:t>
                </m:r>
              </m:sup>
            </m:sSubSup>
          </m:e>
        </m:d>
        <m:r>
          <m:rPr>
            <m:sty m:val="p"/>
          </m:rPr>
          <m:t>/</m:t>
        </m:r>
        <m:r>
          <m:t>d</m:t>
        </m:r>
      </m:oMath>
      <w:r>
        <w:t xml:space="preserve">. The first term asks the corrected module to produce, on the</w:t>
      </w:r>
      <w:r>
        <w:t xml:space="preserve"> </w:t>
      </w:r>
      <w:r>
        <w:t xml:space="preserve">target model’s activations, the same low-rank projection that the source adapter produced on the source model’s</w:t>
      </w:r>
      <w:r>
        <w:t xml:space="preserve"> </w:t>
      </w:r>
      <w:r>
        <w:t xml:space="preserve">activations; the second term anchors the solution to the original</w:t>
      </w:r>
      <w:r>
        <w:t xml:space="preserve"> </w:t>
      </w:r>
      <m:oMath>
        <m:sSub>
          <m:e>
            <m:r>
              <m:t>A</m:t>
            </m:r>
          </m:e>
          <m:sub>
            <m:r>
              <m:t>s</m:t>
            </m:r>
          </m:sub>
        </m:sSub>
      </m:oMath>
      <w:r>
        <w:t xml:space="preserve"> </w:t>
      </w:r>
      <w:r>
        <w:t xml:space="preserve">and prevents overfitting a small calibration</w:t>
      </w:r>
      <w:r>
        <w:t xml:space="preserve"> </w:t>
      </w:r>
      <w:r>
        <w:t xml:space="preserve">set.</w:t>
      </w:r>
    </w:p>
    <w:p>
      <w:pPr>
        <w:pStyle w:val="BodyText"/>
      </w:pPr>
      <w:r>
        <w:t xml:space="preserve">Two design choices matter in practice. First, layers are corrected sequentially from the input side, so that</w:t>
      </w:r>
      <w:r>
        <w:t xml:space="preserve"> </w:t>
      </w:r>
      <m:oMath>
        <m:sSub>
          <m:e>
            <m:r>
              <m:t>X</m:t>
            </m:r>
          </m:e>
          <m:sub>
            <m:r>
              <m:t>t</m:t>
            </m:r>
          </m:sub>
        </m:sSub>
      </m:oMath>
      <w:r>
        <w:t xml:space="preserve"> </w:t>
      </w:r>
      <w:r>
        <w:t xml:space="preserve">at</w:t>
      </w:r>
      <w:r>
        <w:t xml:space="preserve"> </w:t>
      </w:r>
      <w:r>
        <w:t xml:space="preserve">layer</w:t>
      </w:r>
      <w:r>
        <w:t xml:space="preserve"> </w:t>
      </w:r>
      <m:oMath>
        <m:r>
          <m:t>l</m:t>
        </m:r>
      </m:oMath>
      <w:r>
        <w:t xml:space="preserve"> </w:t>
      </w:r>
      <w:r>
        <w:t xml:space="preserve">is computed with the already corrected earlier layers and errors do not compound silently. Second, the</w:t>
      </w:r>
      <w:r>
        <w:t xml:space="preserve"> </w:t>
      </w:r>
      <w:r>
        <w:t xml:space="preserve">anchoring strength</w:t>
      </w:r>
      <w:r>
        <w:t xml:space="preserve"> </w:t>
      </w:r>
      <m:oMath>
        <m:r>
          <m:t>α</m:t>
        </m:r>
      </m:oMath>
      <w:r>
        <w:t xml:space="preserve"> </w:t>
      </w:r>
      <w:r>
        <w:t xml:space="preserve">is chosen per module from 13 values in</w:t>
      </w:r>
      <w:r>
        <w:t xml:space="preserve"> </w:t>
      </w:r>
      <m:oMath>
        <m:d>
          <m:dPr>
            <m:begChr m:val="["/>
            <m:endChr m:val="]"/>
            <m:sepChr m:val=""/>
            <m:grow/>
          </m:dPr>
          <m:e>
            <m:sSup>
              <m:e>
                <m:r>
                  <m:t>10</m:t>
                </m:r>
              </m:e>
              <m:sup>
                <m:r>
                  <m:rPr>
                    <m:sty m:val="p"/>
                  </m:rPr>
                  <m:t>−</m:t>
                </m:r>
                <m:r>
                  <m:t>3</m:t>
                </m:r>
              </m:sup>
            </m:sSup>
            <m:r>
              <m:rPr>
                <m:sty m:val="p"/>
              </m:rPr>
              <m:t>,</m:t>
            </m:r>
            <m:sSup>
              <m:e>
                <m:r>
                  <m:t>10</m:t>
                </m:r>
              </m:e>
              <m:sup>
                <m:r>
                  <m:t>3</m:t>
                </m:r>
              </m:sup>
            </m:sSup>
          </m:e>
        </m:d>
      </m:oMath>
      <w:r>
        <w:t xml:space="preserve"> </w:t>
      </w:r>
      <w:r>
        <w:t xml:space="preserve">using an 80/20 split of the</w:t>
      </w:r>
      <w:r>
        <w:t xml:space="preserve"> </w:t>
      </w:r>
      <w:r>
        <w:t xml:space="preserve">calibration set, scoring candidates by the validation error</w:t>
      </w:r>
      <w:r>
        <w:t xml:space="preserve"> </w:t>
      </w:r>
      <m:oMath>
        <m:r>
          <m:rPr>
            <m:sty m:val="p"/>
          </m:rPr>
          <m:t>∥</m:t>
        </m:r>
        <m:r>
          <m:t>B</m:t>
        </m:r>
        <m:d>
          <m:dPr>
            <m:begChr m:val="("/>
            <m:endChr m:val=")"/>
            <m:sepChr m:val=""/>
            <m:grow/>
          </m:dPr>
          <m:e>
            <m:r>
              <m:t>A</m:t>
            </m:r>
            <m:sSubSup>
              <m:e>
                <m:r>
                  <m:t>X</m:t>
                </m:r>
              </m:e>
              <m:sub>
                <m:r>
                  <m:t>t</m:t>
                </m:r>
              </m:sub>
              <m:sup>
                <m:r>
                  <m:t>v</m:t>
                </m:r>
              </m:sup>
            </m:sSubSup>
            <m:r>
              <m:rPr>
                <m:sty m:val="p"/>
              </m:rPr>
              <m:t>−</m:t>
            </m:r>
            <m:sSub>
              <m:e>
                <m:r>
                  <m:t>A</m:t>
                </m:r>
              </m:e>
              <m:sub>
                <m:r>
                  <m:t>s</m:t>
                </m:r>
              </m:sub>
            </m:sSub>
            <m:sSubSup>
              <m:e>
                <m:r>
                  <m:t>X</m:t>
                </m:r>
              </m:e>
              <m:sub>
                <m:r>
                  <m:t>s</m:t>
                </m:r>
              </m:sub>
              <m:sup>
                <m:r>
                  <m:t>v</m:t>
                </m:r>
              </m:sup>
            </m:sSubSup>
          </m:e>
        </m:d>
        <m:sSubSup>
          <m:e>
            <m:r>
              <m:rPr>
                <m:sty m:val="p"/>
              </m:rPr>
              <m:t>∥</m:t>
            </m:r>
          </m:e>
          <m:sub>
            <m:r>
              <m:t>F</m:t>
            </m:r>
          </m:sub>
          <m:sup>
            <m:r>
              <m:t>2</m:t>
            </m:r>
          </m:sup>
        </m:sSubSup>
      </m:oMath>
      <w:r>
        <w:t xml:space="preserve">, which can be evaluated from</w:t>
      </w:r>
      <w:r>
        <w:t xml:space="preserve"> </w:t>
      </w:r>
      <w:r>
        <w:t xml:space="preserve">Gram matrices alone. The calibration inputs are task prompts without answers, so no labels are needed.</w:t>
      </w:r>
      <w:r>
        <w:t xml:space="preserve"> </w:t>
      </w:r>
      <w:r>
        <w:t xml:space="preserve">Accumulating Gram matrices costs</w:t>
      </w:r>
      <w:r>
        <w:t xml:space="preserve"> </w:t>
      </w:r>
      <m:oMath>
        <m:r>
          <m:t>O</m:t>
        </m:r>
        <m:d>
          <m:dPr>
            <m:begChr m:val="("/>
            <m:endChr m:val=")"/>
            <m:sepChr m:val=""/>
            <m:grow/>
          </m:dPr>
          <m:e>
            <m:r>
              <m:t>N</m:t>
            </m:r>
            <m:sSup>
              <m:e>
                <m:r>
                  <m:t>d</m:t>
                </m:r>
              </m:e>
              <m:sup>
                <m:r>
                  <m:t>2</m:t>
                </m:r>
              </m:sup>
            </m:sSup>
          </m:e>
        </m:d>
      </m:oMath>
      <w:r>
        <w:t xml:space="preserve"> </w:t>
      </w:r>
      <w:r>
        <w:t xml:space="preserve">for</w:t>
      </w:r>
      <w:r>
        <w:t xml:space="preserve"> </w:t>
      </w:r>
      <m:oMath>
        <m:r>
          <m:t>N</m:t>
        </m:r>
      </m:oMath>
      <w:r>
        <w:t xml:space="preserve"> </w:t>
      </w:r>
      <w:r>
        <w:t xml:space="preserve">calibration tokens, and each module requires</w:t>
      </w:r>
      <w:r>
        <w:t xml:space="preserve"> </w:t>
      </w:r>
      <m:oMath>
        <m:r>
          <m:t>K</m:t>
        </m:r>
        <m:r>
          <m:rPr>
            <m:sty m:val="p"/>
          </m:rPr>
          <m:t>=</m:t>
        </m:r>
        <m:r>
          <m:t>13</m:t>
        </m:r>
      </m:oMath>
      <w:r>
        <w:t xml:space="preserve"> </w:t>
      </w:r>
      <w:r>
        <w:t xml:space="preserve">solves of size</w:t>
      </w:r>
      <w:r>
        <w:t xml:space="preserve"> </w:t>
      </w:r>
      <m:oMath>
        <m:r>
          <m:t>d</m:t>
        </m:r>
        <m:r>
          <m:rPr>
            <m:sty m:val="p"/>
          </m:rPr>
          <m:t>×</m:t>
        </m:r>
        <m:r>
          <m:t>d</m:t>
        </m:r>
      </m:oMath>
      <w:r>
        <w:t xml:space="preserve">. Unlike retraining it needs no labels. Its compute time is not negligible in practice, however: in our</w:t>
      </w:r>
      <w:r>
        <w:t xml:space="preserve"> </w:t>
      </w:r>
      <w:r>
        <w:t xml:space="preserve">implementation it takes 30% to 65% of the time of the retraining runs on the full-size CPU settings (Section 7).</w:t>
      </w:r>
    </w:p>
    <w:bookmarkEnd w:id="24"/>
    <w:bookmarkStart w:id="25" w:name="numerical-analysis"/>
    <w:p>
      <w:pPr>
        <w:pStyle w:val="Heading1"/>
      </w:pPr>
      <w:r>
        <w:t xml:space="preserve">6. Numerical Analysis</w:t>
      </w:r>
    </w:p>
    <w:p>
      <w:pPr>
        <w:pStyle w:val="FirstParagraph"/>
      </w:pPr>
      <w:r>
        <w:rPr>
          <w:bCs/>
          <w:b/>
        </w:rPr>
        <w:t xml:space="preserve">Parameters.</w:t>
      </w:r>
      <w:r>
        <w:t xml:space="preserve"> </w:t>
      </w:r>
      <w:r>
        <w:t xml:space="preserve">Unless noted,</w:t>
      </w:r>
      <w:r>
        <w:t xml:space="preserve"> </w:t>
      </w:r>
      <m:oMath>
        <m:r>
          <m:t>ρ</m:t>
        </m:r>
        <m:r>
          <m:rPr>
            <m:sty m:val="p"/>
          </m:rPr>
          <m:t>=</m:t>
        </m:r>
        <m:r>
          <m:t>0.10</m:t>
        </m:r>
      </m:oMath>
      <w:r>
        <w:t xml:space="preserve">,</w:t>
      </w:r>
      <w:r>
        <w:t xml:space="preserve"> </w:t>
      </w:r>
      <m:oMath>
        <m:r>
          <m:t>μ</m:t>
        </m:r>
        <m:r>
          <m:rPr>
            <m:sty m:val="p"/>
          </m:rPr>
          <m:t>=</m:t>
        </m:r>
        <m:r>
          <m:t>2</m:t>
        </m:r>
      </m:oMath>
      <w:r>
        <w:t xml:space="preserve"> </w:t>
      </w:r>
      <w:r>
        <w:t xml:space="preserve">upgrades per year,</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sSub>
          <m:e>
            <m:r>
              <m:t>C</m:t>
            </m:r>
          </m:e>
          <m:sub>
            <m:r>
              <m:t>N</m:t>
            </m:r>
          </m:sub>
        </m:sSub>
        <m:r>
          <m:rPr>
            <m:sty m:val="p"/>
          </m:rPr>
          <m:t>=</m:t>
        </m:r>
        <m:r>
          <m:t>1</m:t>
        </m:r>
      </m:oMath>
      <w:r>
        <w:t xml:space="preserve">, and</w:t>
      </w:r>
      <w:r>
        <w:t xml:space="preserve"> </w:t>
      </w:r>
      <m:oMath>
        <m:sSub>
          <m:e>
            <m:r>
              <m:t>C</m:t>
            </m:r>
          </m:e>
          <m:sub>
            <m:r>
              <m:t>A</m:t>
            </m:r>
          </m:sub>
        </m:sSub>
        <m:r>
          <m:rPr>
            <m:sty m:val="p"/>
          </m:rPr>
          <m:t>=</m:t>
        </m:r>
        <m:r>
          <m:t>0.05</m:t>
        </m:r>
      </m:oMath>
      <w:r>
        <w:t xml:space="preserve">, with</w:t>
      </w:r>
      <w:r>
        <w:t xml:space="preserve"> </w:t>
      </w:r>
      <m:oMath>
        <m:r>
          <m:t>v</m:t>
        </m:r>
      </m:oMath>
      <w:r>
        <w:t xml:space="preserve"> </w:t>
      </w:r>
      <w:r>
        <w:t xml:space="preserve">measured in multiples of</w:t>
      </w:r>
      <w:r>
        <w:t xml:space="preserve"> </w:t>
      </w:r>
      <m:oMath>
        <m:sSub>
          <m:e>
            <m:r>
              <m:t>C</m:t>
            </m:r>
          </m:e>
          <m:sub>
            <m:r>
              <m:t>N</m:t>
            </m:r>
          </m:sub>
        </m:sSub>
      </m:oMath>
      <w:r>
        <w:t xml:space="preserve">. Then</w:t>
      </w:r>
      <w:r>
        <w:t xml:space="preserve"> </w:t>
      </w:r>
      <m:oMath>
        <m:r>
          <m:t>β</m:t>
        </m:r>
        <m:r>
          <m:rPr>
            <m:sty m:val="p"/>
          </m:rPr>
          <m:t>=</m:t>
        </m:r>
        <m:r>
          <m:t>4.43</m:t>
        </m:r>
      </m:oMath>
      <w:r>
        <w:t xml:space="preserve">.</w:t>
      </w:r>
    </w:p>
    <w:p>
      <w:pPr>
        <w:pStyle w:val="BodyText"/>
      </w:pPr>
      <w:r>
        <w:rPr>
          <w:bCs/>
          <w:b/>
        </w:rPr>
        <w:t xml:space="preserve">Recovery in a controlled upgrade.</w:t>
      </w:r>
      <w:r>
        <w:t xml:space="preserve"> </w:t>
      </w:r>
      <w:r>
        <w:t xml:space="preserve">We build a four-layer tanh network (width 32) with a rank-4 LoRA on</w:t>
      </w:r>
      <w:r>
        <w:t xml:space="preserve"> </w:t>
      </w:r>
      <w:r>
        <w:t xml:space="preserve">every layer. The upgrade rotates hidden bases by a partial rotation of angle</w:t>
      </w:r>
      <w:r>
        <w:t xml:space="preserve"> </w:t>
      </w:r>
      <m:oMath>
        <m:r>
          <m:t>s</m:t>
        </m:r>
      </m:oMath>
      <w:r>
        <w:t xml:space="preserve"> </w:t>
      </w:r>
      <w:r>
        <w:t xml:space="preserve">(the drift) and perturbs weights; the</w:t>
      </w:r>
      <w:r>
        <w:t xml:space="preserve"> </w:t>
      </w:r>
      <w:r>
        <w:t xml:space="preserve">task is a hidden rank-4 modification of the source. Table 1 reports recovery averaged over five seeds</w:t>
      </w:r>
      <w:r>
        <w:t xml:space="preserve"> </w:t>
      </w:r>
      <w:r>
        <w:t xml:space="preserve">with 256 unlabeled calibration inputs. ACT improves on copy at every drift level, and the gain grows with drift</w:t>
      </w:r>
      <w:r>
        <w:t xml:space="preserve"> </w:t>
      </w:r>
      <w:r>
        <w:t xml:space="preserve">(0.489 to 0.692 at</w:t>
      </w:r>
      <w:r>
        <w:t xml:space="preserve"> </w:t>
      </w:r>
      <m:oMath>
        <m:r>
          <m:t>s</m:t>
        </m:r>
        <m:r>
          <m:rPr>
            <m:sty m:val="p"/>
          </m:rPr>
          <m:t>=</m:t>
        </m:r>
        <m:r>
          <m:t>0.8</m:t>
        </m:r>
      </m:oMath>
      <w:r>
        <w:t xml:space="preserve">). Matching the full layer output instead of the adapter projection (</w:t>
      </w:r>
      <w:r>
        <w:t xml:space="preserve">“</w:t>
      </w:r>
      <w:r>
        <w:t xml:space="preserve">ACT-full</w:t>
      </w:r>
      <w:r>
        <w:t xml:space="preserve">”</w:t>
      </w:r>
      <w:r>
        <w:t xml:space="preserve">) becomes</w:t>
      </w:r>
      <w:r>
        <w:t xml:space="preserve"> </w:t>
      </w:r>
      <w:r>
        <w:t xml:space="preserve">unstable at large drift (recovery</w:t>
      </w:r>
      <w:r>
        <w:t xml:space="preserve"> </w:t>
      </w:r>
      <m:oMath>
        <m:r>
          <m:rPr>
            <m:sty m:val="p"/>
          </m:rPr>
          <m:t>−</m:t>
        </m:r>
        <m:r>
          <m:t>2.60</m:t>
        </m:r>
      </m:oMath>
      <w:r>
        <w:t xml:space="preserve"> </w:t>
      </w:r>
      <w:r>
        <w:t xml:space="preserve">at</w:t>
      </w:r>
      <w:r>
        <w:t xml:space="preserve"> </w:t>
      </w:r>
      <m:oMath>
        <m:r>
          <m:t>s</m:t>
        </m:r>
        <m:r>
          <m:rPr>
            <m:sty m:val="p"/>
          </m:rPr>
          <m:t>=</m:t>
        </m:r>
        <m:r>
          <m:t>0.8</m:t>
        </m:r>
      </m:oMath>
      <w:r>
        <w:t xml:space="preserve">), which supports the projection-matching objective. The chosen</w:t>
      </w:r>
      <w:r>
        <w:t xml:space="preserve"> </w:t>
      </w:r>
      <w:r>
        <w:t xml:space="preserve">anchoring strength is negatively related to measured activation drift (Spearman</w:t>
      </w:r>
      <w:r>
        <w:t xml:space="preserve"> </w:t>
      </w:r>
      <m:oMath>
        <m:r>
          <m:t>ρ</m:t>
        </m:r>
        <m:r>
          <m:rPr>
            <m:sty m:val="p"/>
          </m:rPr>
          <m:t>=</m:t>
        </m:r>
        <m:r>
          <m:rPr>
            <m:sty m:val="p"/>
          </m:rPr>
          <m:t>−</m:t>
        </m:r>
        <m:r>
          <m:t>0.30</m:t>
        </m:r>
      </m:oMath>
      <w:r>
        <w:t xml:space="preserve">,</w:t>
      </w:r>
      <w:r>
        <w:t xml:space="preserve"> </w:t>
      </w:r>
      <m:oMath>
        <m:r>
          <m:t>p</m:t>
        </m:r>
        <m:r>
          <m:rPr>
            <m:sty m:val="p"/>
          </m:rPr>
          <m:t>=</m:t>
        </m:r>
        <m:r>
          <m:t>0.009</m:t>
        </m:r>
      </m:oMath>
      <w:r>
        <w:t xml:space="preserve">,</w:t>
      </w:r>
      <w:r>
        <w:t xml:space="preserve"> </w:t>
      </w:r>
      <m:oMath>
        <m:r>
          <m:t>n</m:t>
        </m:r>
        <m:r>
          <m:rPr>
            <m:sty m:val="p"/>
          </m:rPr>
          <m:t>=</m:t>
        </m:r>
        <m:r>
          <m:t>75</m:t>
        </m:r>
      </m:oMath>
      <w:r>
        <w:t xml:space="preserve"> </w:t>
      </w:r>
      <w:r>
        <w:t xml:space="preserve">layers), as expected when larger drift calls for less anchoring.</w:t>
      </w:r>
    </w:p>
    <w:p>
      <w:pPr>
        <w:pStyle w:val="TableCaption"/>
      </w:pPr>
      <w:r>
        <w:t xml:space="preserve">Recovery in the controlled upgrade (mean of five seeds).</w:t>
      </w:r>
    </w:p>
    <w:tbl>
      <w:tblPr>
        <w:tblStyle w:val="Table"/>
        <w:tblW w:type="dxa" w:w="9360"/>
        <w:tblLook w:firstRow="1" w:lastRow="0" w:firstColumn="0" w:lastColumn="0" w:noHBand="0" w:noVBand="0" w:val="0020"/>
        <w:jc w:val="start"/>
        <w:tblCaption w:val="Recovery in the controlled upgrade (mean of five seeds)."/>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 s</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0.1</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0.2</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0.3</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0.5</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0.8</w:t>
            </w:r>
          </w:p>
        </w:tc>
      </w:tr>
      <w:tr>
        <w:tc>
          <w:tcPr>
            <w:tcW w:type="dxa" w:w="3456"/>
          </w:tcPr>
          <w:p>
            <w:pPr>
              <w:pStyle w:val="Compact"/>
              <w:spacing w:line="240" w:lineRule="auto"/>
              <w:jc w:val="left"/>
            </w:pPr>
            <w:r>
              <w:rPr>
                <w:rFonts w:ascii="Times New Roman" w:hAnsi="Times New Roman"/>
                <w:sz w:val="20"/>
              </w:rPr>
              <w:t xml:space="preserve">Copy R</w:t>
            </w:r>
            <w:r>
              <w:rPr>
                <w:rFonts w:ascii="Times New Roman" w:hAnsi="Times New Roman"/>
                <w:sz w:val="20"/>
                <w:vertAlign w:val="subscript"/>
              </w:rPr>
              <w:t xml:space="preserve">C</w:t>
            </w:r>
          </w:p>
        </w:tc>
        <w:tc>
          <w:tcPr>
            <w:tcW w:type="dxa" w:w="1181"/>
          </w:tcPr>
          <w:p>
            <w:pPr>
              <w:pStyle w:val="Compact"/>
              <w:spacing w:line="240" w:lineRule="auto"/>
              <w:jc w:val="center"/>
            </w:pPr>
            <w:r>
              <w:rPr>
                <w:rFonts w:ascii="Times New Roman" w:hAnsi="Times New Roman"/>
                <w:sz w:val="20"/>
              </w:rPr>
              <w:t xml:space="preserve">0.996</w:t>
            </w:r>
          </w:p>
        </w:tc>
        <w:tc>
          <w:tcPr>
            <w:tcW w:type="dxa" w:w="1181"/>
          </w:tcPr>
          <w:p>
            <w:pPr>
              <w:pStyle w:val="Compact"/>
              <w:spacing w:line="240" w:lineRule="auto"/>
              <w:jc w:val="center"/>
            </w:pPr>
            <w:r>
              <w:rPr>
                <w:rFonts w:ascii="Times New Roman" w:hAnsi="Times New Roman"/>
                <w:sz w:val="20"/>
              </w:rPr>
              <w:t xml:space="preserve">0.982</w:t>
            </w:r>
          </w:p>
        </w:tc>
        <w:tc>
          <w:tcPr>
            <w:tcW w:type="dxa" w:w="1181"/>
          </w:tcPr>
          <w:p>
            <w:pPr>
              <w:pStyle w:val="Compact"/>
              <w:spacing w:line="240" w:lineRule="auto"/>
              <w:jc w:val="center"/>
            </w:pPr>
            <w:r>
              <w:rPr>
                <w:rFonts w:ascii="Times New Roman" w:hAnsi="Times New Roman"/>
                <w:sz w:val="20"/>
              </w:rPr>
              <w:t xml:space="preserve">0.955</w:t>
            </w:r>
          </w:p>
        </w:tc>
        <w:tc>
          <w:tcPr>
            <w:tcW w:type="dxa" w:w="1181"/>
          </w:tcPr>
          <w:p>
            <w:pPr>
              <w:pStyle w:val="Compact"/>
              <w:spacing w:line="240" w:lineRule="auto"/>
              <w:jc w:val="center"/>
            </w:pPr>
            <w:r>
              <w:rPr>
                <w:rFonts w:ascii="Times New Roman" w:hAnsi="Times New Roman"/>
                <w:sz w:val="20"/>
              </w:rPr>
              <w:t xml:space="preserve">0.846</w:t>
            </w:r>
          </w:p>
        </w:tc>
        <w:tc>
          <w:tcPr>
            <w:tcW w:type="dxa" w:w="1181"/>
          </w:tcPr>
          <w:p>
            <w:pPr>
              <w:pStyle w:val="Compact"/>
              <w:spacing w:line="240" w:lineRule="auto"/>
              <w:jc w:val="center"/>
            </w:pPr>
            <w:r>
              <w:rPr>
                <w:rFonts w:ascii="Times New Roman" w:hAnsi="Times New Roman"/>
                <w:sz w:val="20"/>
              </w:rPr>
              <w:t xml:space="preserve">0.489</w:t>
            </w:r>
          </w:p>
        </w:tc>
      </w:tr>
      <w:tr>
        <w:tc>
          <w:tcPr>
            <w:tcW w:type="dxa" w:w="3456"/>
          </w:tcPr>
          <w:p>
            <w:pPr>
              <w:pStyle w:val="Compact"/>
              <w:spacing w:line="240" w:lineRule="auto"/>
              <w:jc w:val="left"/>
            </w:pPr>
            <w:r>
              <w:rPr>
                <w:rFonts w:ascii="Times New Roman" w:hAnsi="Times New Roman"/>
                <w:sz w:val="20"/>
              </w:rPr>
              <w:t xml:space="preserve">ACT R</w:t>
            </w:r>
            <w:r>
              <w:rPr>
                <w:rFonts w:ascii="Times New Roman" w:hAnsi="Times New Roman"/>
                <w:sz w:val="20"/>
                <w:vertAlign w:val="subscript"/>
              </w:rPr>
              <w:t xml:space="preserve">A</w:t>
            </w:r>
          </w:p>
        </w:tc>
        <w:tc>
          <w:tcPr>
            <w:tcW w:type="dxa" w:w="1181"/>
          </w:tcPr>
          <w:p>
            <w:pPr>
              <w:pStyle w:val="Compact"/>
              <w:spacing w:line="240" w:lineRule="auto"/>
              <w:jc w:val="center"/>
            </w:pPr>
            <w:r>
              <w:rPr>
                <w:rFonts w:ascii="Times New Roman" w:hAnsi="Times New Roman"/>
                <w:sz w:val="20"/>
              </w:rPr>
              <w:t xml:space="preserve">0.998</w:t>
            </w:r>
          </w:p>
        </w:tc>
        <w:tc>
          <w:tcPr>
            <w:tcW w:type="dxa" w:w="1181"/>
          </w:tcPr>
          <w:p>
            <w:pPr>
              <w:pStyle w:val="Compact"/>
              <w:spacing w:line="240" w:lineRule="auto"/>
              <w:jc w:val="center"/>
            </w:pPr>
            <w:r>
              <w:rPr>
                <w:rFonts w:ascii="Times New Roman" w:hAnsi="Times New Roman"/>
                <w:sz w:val="20"/>
              </w:rPr>
              <w:t xml:space="preserve">0.990</w:t>
            </w:r>
          </w:p>
        </w:tc>
        <w:tc>
          <w:tcPr>
            <w:tcW w:type="dxa" w:w="1181"/>
          </w:tcPr>
          <w:p>
            <w:pPr>
              <w:pStyle w:val="Compact"/>
              <w:spacing w:line="240" w:lineRule="auto"/>
              <w:jc w:val="center"/>
            </w:pPr>
            <w:r>
              <w:rPr>
                <w:rFonts w:ascii="Times New Roman" w:hAnsi="Times New Roman"/>
                <w:sz w:val="20"/>
              </w:rPr>
              <w:t xml:space="preserve">0.975</w:t>
            </w:r>
          </w:p>
        </w:tc>
        <w:tc>
          <w:tcPr>
            <w:tcW w:type="dxa" w:w="1181"/>
          </w:tcPr>
          <w:p>
            <w:pPr>
              <w:pStyle w:val="Compact"/>
              <w:spacing w:line="240" w:lineRule="auto"/>
              <w:jc w:val="center"/>
            </w:pPr>
            <w:r>
              <w:rPr>
                <w:rFonts w:ascii="Times New Roman" w:hAnsi="Times New Roman"/>
                <w:sz w:val="20"/>
              </w:rPr>
              <w:t xml:space="preserve">0.910</w:t>
            </w:r>
          </w:p>
        </w:tc>
        <w:tc>
          <w:tcPr>
            <w:tcW w:type="dxa" w:w="1181"/>
          </w:tcPr>
          <w:p>
            <w:pPr>
              <w:pStyle w:val="Compact"/>
              <w:spacing w:line="240" w:lineRule="auto"/>
              <w:jc w:val="center"/>
            </w:pPr>
            <w:r>
              <w:rPr>
                <w:rFonts w:ascii="Times New Roman" w:hAnsi="Times New Roman"/>
                <w:sz w:val="20"/>
              </w:rPr>
              <w:t xml:space="preserve">0.692</w:t>
            </w:r>
          </w:p>
        </w:tc>
      </w:tr>
    </w:tbl>
    <w:p>
      <w:pPr>
        <w:pStyle w:val="BodyText"/>
      </w:pPr>
      <w:r>
        <w:rPr>
          <w:bCs/>
          <w:b/>
        </w:rPr>
        <w:t xml:space="preserve">Policy implications (controlled simulation).</w:t>
      </w:r>
      <w:r>
        <w:t xml:space="preserve"> </w:t>
      </w:r>
      <w:r>
        <w:t xml:space="preserve">Table 2 feeds the toy recovery rates into the model. At large drift</w:t>
      </w:r>
      <w:r>
        <w:t xml:space="preserve"> </w:t>
      </w:r>
      <w:r>
        <w:t xml:space="preserve">(</w:t>
      </w:r>
      <m:oMath>
        <m:r>
          <m:t>s</m:t>
        </m:r>
        <m:r>
          <m:rPr>
            <m:sty m:val="p"/>
          </m:rPr>
          <m:t>=</m:t>
        </m:r>
        <m:r>
          <m:t>0.8</m:t>
        </m:r>
      </m:oMath>
      <w:r>
        <w:t xml:space="preserve">), ACT is optimal for</w:t>
      </w:r>
      <w:r>
        <w:t xml:space="preserve"> </w:t>
      </w:r>
      <m:oMath>
        <m:r>
          <m:t>0.47</m:t>
        </m:r>
        <m:r>
          <m:rPr>
            <m:sty m:val="p"/>
          </m:rPr>
          <m:t>≤</m:t>
        </m:r>
        <m:r>
          <m:t>v</m:t>
        </m:r>
        <m:r>
          <m:rPr>
            <m:sty m:val="p"/>
          </m:rPr>
          <m:t>&lt;</m:t>
        </m:r>
        <m:r>
          <m:t>6.68</m:t>
        </m:r>
      </m:oMath>
      <w:r>
        <w:t xml:space="preserve">, and</w:t>
      </w:r>
      <w:r>
        <w:t xml:space="preserve"> </w:t>
      </w:r>
      <m:oMath>
        <m:r>
          <m:t>Γ</m:t>
        </m:r>
        <m:r>
          <m:rPr>
            <m:sty m:val="p"/>
          </m:rPr>
          <m:t>=</m:t>
        </m:r>
        <m:r>
          <m:t>0.31</m:t>
        </m:r>
        <m:sSub>
          <m:e>
            <m:r>
              <m:t>C</m:t>
            </m:r>
          </m:e>
          <m:sub>
            <m:r>
              <m:t>N</m:t>
            </m:r>
          </m:sub>
        </m:sSub>
      </m:oMath>
      <w:r>
        <w:t xml:space="preserve">, six times the assumed</w:t>
      </w:r>
      <w:r>
        <w:t xml:space="preserve"> </w:t>
      </w:r>
      <m:oMath>
        <m:sSub>
          <m:e>
            <m:r>
              <m:t>C</m:t>
            </m:r>
          </m:e>
          <m:sub>
            <m:r>
              <m:t>A</m:t>
            </m:r>
          </m:sub>
        </m:sSub>
      </m:oMath>
      <w:r>
        <w:t xml:space="preserve">. At small drift</w:t>
      </w:r>
      <w:r>
        <w:t xml:space="preserve"> </w:t>
      </w:r>
      <w:r>
        <w:t xml:space="preserve">(</w:t>
      </w:r>
      <m:oMath>
        <m:r>
          <m:t>s</m:t>
        </m:r>
        <m:r>
          <m:rPr>
            <m:sty m:val="p"/>
          </m:rPr>
          <m:t>=</m:t>
        </m:r>
        <m:r>
          <m:t>0.3</m:t>
        </m:r>
      </m:oMath>
      <w:r>
        <w:t xml:space="preserve">), copy is already close to retraining, so ACT is optimal only at much higher stakes (</w:t>
      </w:r>
      <m:oMath>
        <m:r>
          <m:t>4.78</m:t>
        </m:r>
        <m:r>
          <m:rPr>
            <m:sty m:val="p"/>
          </m:rPr>
          <m:t>≤</m:t>
        </m:r>
        <m:r>
          <m:t>v</m:t>
        </m:r>
        <m:r>
          <m:rPr>
            <m:sty m:val="p"/>
          </m:rPr>
          <m:t>&lt;</m:t>
        </m:r>
        <m:r>
          <m:t>82.2</m:t>
        </m:r>
      </m:oMath>
      <w:r>
        <w:t xml:space="preserve">).</w:t>
      </w:r>
      <w:r>
        <w:t xml:space="preserve"> </w:t>
      </w:r>
      <w:r>
        <w:t xml:space="preserve">The retraining thresholds are large relative to</w:t>
      </w:r>
      <w:r>
        <w:t xml:space="preserve"> </w:t>
      </w:r>
      <m:oMath>
        <m:sSub>
          <m:e>
            <m:r>
              <m:t>C</m:t>
            </m:r>
          </m:e>
          <m:sub>
            <m:r>
              <m:t>N</m:t>
            </m:r>
          </m:sub>
        </m:sSub>
      </m:oMath>
      <w:r>
        <w:t xml:space="preserve"> </w:t>
      </w:r>
      <w:r>
        <w:t xml:space="preserve">(up to</w:t>
      </w:r>
      <w:r>
        <w:t xml:space="preserve"> </w:t>
      </w:r>
      <m:oMath>
        <m:r>
          <m:t>54.6</m:t>
        </m:r>
        <m:sSub>
          <m:e>
            <m:r>
              <m:t>C</m:t>
            </m:r>
          </m:e>
          <m:sub>
            <m:r>
              <m:t>N</m:t>
            </m:r>
          </m:sub>
        </m:sSub>
      </m:oMath>
      <w:r>
        <w:t xml:space="preserve"> </w:t>
      </w:r>
      <w:r>
        <w:t xml:space="preserve">for copy at</w:t>
      </w:r>
      <w:r>
        <w:t xml:space="preserve"> </w:t>
      </w:r>
      <m:oMath>
        <m:r>
          <m:t>s</m:t>
        </m:r>
        <m:r>
          <m:rPr>
            <m:sty m:val="p"/>
          </m:rPr>
          <m:t>=</m:t>
        </m:r>
        <m:r>
          <m:t>0.3</m:t>
        </m:r>
      </m:oMath>
      <w:r>
        <w:t xml:space="preserve">) because a nearly</w:t>
      </w:r>
      <w:r>
        <w:t xml:space="preserve"> </w:t>
      </w:r>
      <w:r>
        <w:t xml:space="preserve">recovered adapter loses little per period.</w:t>
      </w:r>
    </w:p>
    <w:p>
      <w:pPr>
        <w:pStyle w:val="TableCaption"/>
      </w:pPr>
      <w:r>
        <w:t xml:space="preserve">Thresholds and ACT-optimal region (</w:t>
      </w:r>
      <m:oMath>
        <m:r>
          <m:t>v</m:t>
        </m:r>
      </m:oMath>
      <w:r>
        <w:t xml:space="preserve"> </w:t>
      </w:r>
      <w:r>
        <w:t xml:space="preserve">in multiples of</w:t>
      </w:r>
      <w:r>
        <w:t xml:space="preserve"> </w:t>
      </w:r>
      <m:oMath>
        <m:sSub>
          <m:e>
            <m:r>
              <m:t>C</m:t>
            </m:r>
          </m:e>
          <m:sub>
            <m:r>
              <m:t>N</m:t>
            </m:r>
          </m:sub>
        </m:sSub>
      </m:oMath>
      <w:r>
        <w:t xml:space="preserve">).</w:t>
      </w:r>
    </w:p>
    <w:tbl>
      <w:tblPr>
        <w:tblStyle w:val="Table"/>
        <w:tblW w:type="dxa" w:w="9360"/>
        <w:tblLook w:firstRow="1" w:lastRow="0" w:firstColumn="0" w:lastColumn="0" w:noHBand="0" w:noVBand="0" w:val="0020"/>
        <w:jc w:val="start"/>
        <w:tblCaption w:val="Thresholds and ACT-optimal region (v in multiples of 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r>
      <w:tr>
        <w:tc>
          <w:tcPr>
            <w:tcW w:type="dxa" w:w="3456"/>
          </w:tcPr>
          <w:p>
            <w:pPr>
              <w:pStyle w:val="Compact"/>
              <w:spacing w:line="240" w:lineRule="auto"/>
              <w:jc w:val="left"/>
            </w:pPr>
            <w:r>
              <w:rPr>
                <w:rFonts w:ascii="Times New Roman" w:hAnsi="Times New Roman"/>
                <w:sz w:val="20"/>
              </w:rPr>
              <w:t xml:space="preserve">0.8</w:t>
            </w:r>
          </w:p>
        </w:tc>
        <w:tc>
          <w:tcPr>
            <w:tcW w:type="dxa" w:w="984"/>
          </w:tcPr>
          <w:p>
            <w:pPr>
              <w:pStyle w:val="Compact"/>
              <w:spacing w:line="240" w:lineRule="auto"/>
              <w:jc w:val="center"/>
            </w:pPr>
            <w:r>
              <w:rPr>
                <w:rFonts w:ascii="Times New Roman" w:hAnsi="Times New Roman"/>
                <w:sz w:val="20"/>
              </w:rPr>
              <w:t xml:space="preserve">0.489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4.81</w:t>
            </w:r>
          </w:p>
        </w:tc>
        <w:tc>
          <w:tcPr>
            <w:tcW w:type="dxa" w:w="984"/>
          </w:tcPr>
          <w:p>
            <w:pPr>
              <w:pStyle w:val="Compact"/>
              <w:spacing w:line="240" w:lineRule="auto"/>
              <w:jc w:val="center"/>
            </w:pPr>
            <w:r>
              <w:rPr>
                <w:rFonts w:ascii="Times New Roman" w:hAnsi="Times New Roman"/>
                <w:sz w:val="20"/>
              </w:rPr>
              <w:t xml:space="preserve">7.96</w:t>
            </w:r>
          </w:p>
        </w:tc>
        <w:tc>
          <w:tcPr>
            <w:tcW w:type="dxa" w:w="984"/>
          </w:tcPr>
          <w:p>
            <w:pPr>
              <w:pStyle w:val="Compact"/>
              <w:spacing w:line="240" w:lineRule="auto"/>
              <w:jc w:val="center"/>
            </w:pPr>
            <w:r>
              <w:rPr>
                <w:rFonts w:ascii="Times New Roman" w:hAnsi="Times New Roman"/>
                <w:sz w:val="20"/>
              </w:rPr>
              <w:t xml:space="preserve">[0.47, 6.68)</w:t>
            </w:r>
          </w:p>
        </w:tc>
        <w:tc>
          <w:tcPr>
            <w:tcW w:type="dxa" w:w="984"/>
          </w:tcPr>
          <w:p>
            <w:pPr>
              <w:pStyle w:val="Compact"/>
              <w:spacing w:line="240" w:lineRule="auto"/>
              <w:jc w:val="center"/>
            </w:pPr>
            <w:r>
              <w:rPr>
                <w:rFonts w:ascii="Times New Roman" w:hAnsi="Times New Roman"/>
                <w:sz w:val="20"/>
              </w:rPr>
              <w:t xml:space="preserve">0.31</w:t>
            </w:r>
          </w:p>
        </w:tc>
      </w:tr>
      <w:tr>
        <w:tc>
          <w:tcPr>
            <w:tcW w:type="dxa" w:w="3456"/>
          </w:tcPr>
          <w:p>
            <w:pPr>
              <w:pStyle w:val="Compact"/>
              <w:spacing w:line="240" w:lineRule="auto"/>
              <w:jc w:val="left"/>
            </w:pPr>
            <w:r>
              <w:rPr>
                <w:rFonts w:ascii="Times New Roman" w:hAnsi="Times New Roman"/>
                <w:sz w:val="20"/>
              </w:rPr>
              <w:t xml:space="preserve">0.3</w:t>
            </w:r>
          </w:p>
        </w:tc>
        <w:tc>
          <w:tcPr>
            <w:tcW w:type="dxa" w:w="984"/>
          </w:tcPr>
          <w:p>
            <w:pPr>
              <w:pStyle w:val="Compact"/>
              <w:spacing w:line="240" w:lineRule="auto"/>
              <w:jc w:val="center"/>
            </w:pPr>
            <w:r>
              <w:rPr>
                <w:rFonts w:ascii="Times New Roman" w:hAnsi="Times New Roman"/>
                <w:sz w:val="20"/>
              </w:rPr>
              <w:t xml:space="preserve">0.955</w:t>
            </w:r>
          </w:p>
        </w:tc>
        <w:tc>
          <w:tcPr>
            <w:tcW w:type="dxa" w:w="984"/>
          </w:tcPr>
          <w:p>
            <w:pPr>
              <w:pStyle w:val="Compact"/>
              <w:spacing w:line="240" w:lineRule="auto"/>
              <w:jc w:val="center"/>
            </w:pPr>
            <w:r>
              <w:rPr>
                <w:rFonts w:ascii="Times New Roman" w:hAnsi="Times New Roman"/>
                <w:sz w:val="20"/>
              </w:rPr>
              <w:t xml:space="preserve">0.975</w:t>
            </w:r>
          </w:p>
        </w:tc>
        <w:tc>
          <w:tcPr>
            <w:tcW w:type="dxa" w:w="984"/>
          </w:tcPr>
          <w:p>
            <w:pPr>
              <w:pStyle w:val="Compact"/>
              <w:spacing w:line="240" w:lineRule="auto"/>
              <w:jc w:val="center"/>
            </w:pPr>
            <w:r>
              <w:rPr>
                <w:rFonts w:ascii="Times New Roman" w:hAnsi="Times New Roman"/>
                <w:sz w:val="20"/>
              </w:rPr>
              <w:t xml:space="preserve">54.6</w:t>
            </w:r>
          </w:p>
        </w:tc>
        <w:tc>
          <w:tcPr>
            <w:tcW w:type="dxa" w:w="984"/>
          </w:tcPr>
          <w:p>
            <w:pPr>
              <w:pStyle w:val="Compact"/>
              <w:spacing w:line="240" w:lineRule="auto"/>
              <w:jc w:val="center"/>
            </w:pPr>
            <w:r>
              <w:rPr>
                <w:rFonts w:ascii="Times New Roman" w:hAnsi="Times New Roman"/>
                <w:sz w:val="20"/>
              </w:rPr>
              <w:t xml:space="preserve">97.9</w:t>
            </w:r>
          </w:p>
        </w:tc>
        <w:tc>
          <w:tcPr>
            <w:tcW w:type="dxa" w:w="984"/>
          </w:tcPr>
          <w:p>
            <w:pPr>
              <w:pStyle w:val="Compact"/>
              <w:spacing w:line="240" w:lineRule="auto"/>
              <w:jc w:val="center"/>
            </w:pPr>
            <w:r>
              <w:rPr>
                <w:rFonts w:ascii="Times New Roman" w:hAnsi="Times New Roman"/>
                <w:sz w:val="20"/>
              </w:rPr>
              <w:t xml:space="preserve">[4.78, 82.2)</w:t>
            </w:r>
          </w:p>
        </w:tc>
        <w:tc>
          <w:tcPr>
            <w:tcW w:type="dxa" w:w="984"/>
          </w:tcPr>
          <w:p>
            <w:pPr>
              <w:pStyle w:val="Compact"/>
              <w:spacing w:line="240" w:lineRule="auto"/>
              <w:jc w:val="center"/>
            </w:pPr>
            <w:r>
              <w:rPr>
                <w:rFonts w:ascii="Times New Roman" w:hAnsi="Times New Roman"/>
                <w:sz w:val="20"/>
              </w:rPr>
              <w:t xml:space="preserve">0.36</w:t>
            </w:r>
          </w:p>
        </w:tc>
      </w:tr>
    </w:tbl>
    <w:p>
      <w:pPr>
        <w:pStyle w:val="BodyText"/>
      </w:pPr>
      <w:r>
        <w:rPr>
          <w:bCs/>
          <w:b/>
        </w:rPr>
        <w:t xml:space="preserve">Release frequency.</w:t>
      </w:r>
      <w:r>
        <w:t xml:space="preserve"> </w:t>
      </w:r>
      <w:r>
        <w:t xml:space="preserve">For</w:t>
      </w:r>
      <w:r>
        <w:t xml:space="preserve"> </w:t>
      </w:r>
      <m:oMath>
        <m:r>
          <m:t>s</m:t>
        </m:r>
        <m:r>
          <m:rPr>
            <m:sty m:val="p"/>
          </m:rPr>
          <m:t>=</m:t>
        </m:r>
        <m:r>
          <m:t>0.8</m:t>
        </m:r>
      </m:oMath>
      <w:r>
        <w:t xml:space="preserve">, the thresholds rise with</w:t>
      </w:r>
      <w:r>
        <w:t xml:space="preserve"> </w:t>
      </w:r>
      <m:oMath>
        <m:r>
          <m:t>μ</m:t>
        </m:r>
      </m:oMath>
      <w:r>
        <w:t xml:space="preserve"> </w:t>
      </w:r>
      <w:r>
        <w:t xml:space="preserve">(Proposition 2):</w:t>
      </w:r>
      <w:r>
        <w:t xml:space="preserve"> </w:t>
      </w:r>
      <m:oMath>
        <m:sSubSup>
          <m:e>
            <m:r>
              <m:t>v</m:t>
            </m:r>
          </m:e>
          <m:sub>
            <m:r>
              <m:t>A</m:t>
            </m:r>
          </m:sub>
          <m:sup>
            <m:r>
              <m:rPr>
                <m:sty m:val="p"/>
              </m:rPr>
              <m:t>*</m:t>
            </m:r>
          </m:sup>
        </m:sSubSup>
        <m:r>
          <m:rPr>
            <m:sty m:val="p"/>
          </m:rPr>
          <m:t>=</m:t>
        </m:r>
        <m:r>
          <m:t>2.49</m:t>
        </m:r>
        <m:r>
          <m:rPr>
            <m:sty m:val="p"/>
          </m:rPr>
          <m:t>,</m:t>
        </m:r>
        <m:r>
          <m:t> </m:t>
        </m:r>
        <m:r>
          <m:t>4.35</m:t>
        </m:r>
        <m:r>
          <m:rPr>
            <m:sty m:val="p"/>
          </m:rPr>
          <m:t>,</m:t>
        </m:r>
        <m:r>
          <m:t> </m:t>
        </m:r>
        <m:r>
          <m:t>7.96</m:t>
        </m:r>
        <m:r>
          <m:rPr>
            <m:sty m:val="p"/>
          </m:rPr>
          <m:t>,</m:t>
        </m:r>
        <m:r>
          <m:t> </m:t>
        </m:r>
        <m:r>
          <m:t>14.97</m:t>
        </m:r>
      </m:oMath>
      <w:r>
        <w:t xml:space="preserve"> </w:t>
      </w:r>
      <w:r>
        <w:t xml:space="preserve">and</w:t>
      </w:r>
      <w:r>
        <w:t xml:space="preserve"> </w:t>
      </w:r>
      <m:oMath>
        <m:sSubSup>
          <m:e>
            <m:r>
              <m:t>v</m:t>
            </m:r>
          </m:e>
          <m:sub>
            <m:r>
              <m:t>C</m:t>
            </m:r>
          </m:sub>
          <m:sup>
            <m:r>
              <m:rPr>
                <m:sty m:val="p"/>
              </m:rPr>
              <m:t>*</m:t>
            </m:r>
          </m:sup>
        </m:sSubSup>
        <m:r>
          <m:rPr>
            <m:sty m:val="p"/>
          </m:rPr>
          <m:t>=</m:t>
        </m:r>
        <m:r>
          <m:t>1.50</m:t>
        </m:r>
        <m:r>
          <m:rPr>
            <m:sty m:val="p"/>
          </m:rPr>
          <m:t>,</m:t>
        </m:r>
        <m:r>
          <m:t> </m:t>
        </m:r>
        <m:r>
          <m:t>2.63</m:t>
        </m:r>
        <m:r>
          <m:rPr>
            <m:sty m:val="p"/>
          </m:rPr>
          <m:t>,</m:t>
        </m:r>
        <m:r>
          <m:t> </m:t>
        </m:r>
        <m:r>
          <m:t>4.81</m:t>
        </m:r>
        <m:r>
          <m:rPr>
            <m:sty m:val="p"/>
          </m:rPr>
          <m:t>,</m:t>
        </m:r>
        <m:r>
          <m:t> </m:t>
        </m:r>
        <m:r>
          <m:t>9.04</m:t>
        </m:r>
      </m:oMath>
      <w:r>
        <w:t xml:space="preserve"> </w:t>
      </w:r>
      <w:r>
        <w:t xml:space="preserve">for</w:t>
      </w:r>
      <w:r>
        <w:t xml:space="preserve"> </w:t>
      </w:r>
      <m:oMath>
        <m:r>
          <m:t>μ</m:t>
        </m:r>
        <m:r>
          <m:rPr>
            <m:sty m:val="p"/>
          </m:rPr>
          <m:t>=</m:t>
        </m:r>
        <m:r>
          <m:t>0.5</m:t>
        </m:r>
        <m:r>
          <m:rPr>
            <m:sty m:val="p"/>
          </m:rPr>
          <m:t>,</m:t>
        </m:r>
        <m:r>
          <m:t> </m:t>
        </m:r>
        <m:r>
          <m:t>1</m:t>
        </m:r>
        <m:r>
          <m:rPr>
            <m:sty m:val="p"/>
          </m:rPr>
          <m:t>,</m:t>
        </m:r>
        <m:r>
          <m:t> </m:t>
        </m:r>
        <m:r>
          <m:t>2</m:t>
        </m:r>
        <m:r>
          <m:rPr>
            <m:sty m:val="p"/>
          </m:rPr>
          <m:t>,</m:t>
        </m:r>
        <m:r>
          <m:t> </m:t>
        </m:r>
        <m:r>
          <m:t>4</m:t>
        </m:r>
      </m:oMath>
      <w:r>
        <w:t xml:space="preserve"> </w:t>
      </w:r>
      <w:r>
        <w:t xml:space="preserve">per year.</w:t>
      </w:r>
    </w:p>
    <w:p>
      <w:pPr>
        <w:pStyle w:val="BodyText"/>
      </w:pPr>
      <w:r>
        <w:rPr>
          <w:bCs/>
          <w:b/>
        </w:rPr>
        <w:t xml:space="preserve">Break-even recovery.</w:t>
      </w:r>
      <w:r>
        <w:t xml:space="preserve"> </w:t>
      </w:r>
      <w:r>
        <w:t xml:space="preserve">Proposition 3 implies that, for a given copy recovery</w:t>
      </w:r>
      <w:r>
        <w:t xml:space="preserve"> </w:t>
      </w:r>
      <m:oMath>
        <m:sSub>
          <m:e>
            <m:r>
              <m:t>R</m:t>
            </m:r>
          </m:e>
          <m:sub>
            <m:r>
              <m:t>C</m:t>
            </m:r>
          </m:sub>
        </m:sSub>
      </m:oMath>
      <w:r>
        <w:t xml:space="preserve"> </w:t>
      </w:r>
      <w:r>
        <w:t xml:space="preserve">and transfer cost</w:t>
      </w:r>
      <w:r>
        <w:t xml:space="preserve"> </w:t>
      </w:r>
      <m:oMath>
        <m:sSub>
          <m:e>
            <m:r>
              <m:t>C</m:t>
            </m:r>
          </m:e>
          <m:sub>
            <m:r>
              <m:t>A</m:t>
            </m:r>
          </m:sub>
        </m:sSub>
      </m:oMath>
      <w:r>
        <w:t xml:space="preserve">, there is a smallest recovery</w:t>
      </w:r>
      <w:r>
        <w:t xml:space="preserve"> </w:t>
      </w:r>
      <m:oMath>
        <m:sSubSup>
          <m:e>
            <m:r>
              <m:t>R</m:t>
            </m:r>
          </m:e>
          <m:sub>
            <m:r>
              <m:t>A</m:t>
            </m:r>
          </m:sub>
          <m:sup>
            <m:r>
              <m:rPr>
                <m:sty m:val="p"/>
              </m:rPr>
              <m:t>min</m:t>
            </m:r>
          </m:sup>
        </m:sSubSup>
      </m:oMath>
      <w:r>
        <w:t xml:space="preserve"> </w:t>
      </w:r>
      <w:r>
        <w:t xml:space="preserve">at which paying</w:t>
      </w:r>
      <w:r>
        <w:t xml:space="preserve"> </w:t>
      </w:r>
      <m:oMath>
        <m:sSub>
          <m:e>
            <m:r>
              <m:t>C</m:t>
            </m:r>
          </m:e>
          <m:sub>
            <m:r>
              <m:t>A</m:t>
            </m:r>
          </m:sub>
        </m:sSub>
      </m:oMath>
      <w:r>
        <w:t xml:space="preserve"> </w:t>
      </w:r>
      <w:r>
        <w:t xml:space="preserve">is worthwhile. Table 3 reports it, using the copy recoveries and</w:t>
      </w:r>
      <w:r>
        <w:t xml:space="preserve"> </w:t>
      </w:r>
      <w:r>
        <w:t xml:space="preserve">the ACT cost ratios measured in Section 7. When transfer is cheap (</w:t>
      </w:r>
      <m:oMath>
        <m:sSub>
          <m:e>
            <m:r>
              <m:t>C</m:t>
            </m:r>
          </m:e>
          <m:sub>
            <m:r>
              <m:t>A</m:t>
            </m:r>
          </m:sub>
        </m:sSub>
        <m:r>
          <m:rPr>
            <m:sty m:val="p"/>
          </m:rPr>
          <m:t>=</m:t>
        </m:r>
        <m:r>
          <m:t>0.05</m:t>
        </m:r>
        <m:sSub>
          <m:e>
            <m:r>
              <m:t>C</m:t>
            </m:r>
          </m:e>
          <m:sub>
            <m:r>
              <m:t>N</m:t>
            </m:r>
          </m:sub>
        </m:sSub>
      </m:oMath>
      <w:r>
        <w:t xml:space="preserve">), a gain of half a point over copy suffices where copy is already</w:t>
      </w:r>
      <w:r>
        <w:t xml:space="preserve"> </w:t>
      </w:r>
      <w:r>
        <w:t xml:space="preserve">near-perfect (</w:t>
      </w:r>
      <m:oMath>
        <m:sSub>
          <m:e>
            <m:r>
              <m:t>R</m:t>
            </m:r>
          </m:e>
          <m:sub>
            <m:r>
              <m:t>C</m:t>
            </m:r>
          </m:sub>
        </m:sSub>
        <m:r>
          <m:rPr>
            <m:sty m:val="p"/>
          </m:rPr>
          <m:t>≥</m:t>
        </m:r>
        <m:r>
          <m:t>0.93</m:t>
        </m:r>
      </m:oMath>
      <w:r>
        <w:t xml:space="preserve">), and about 2 to 5 points where copy is mediocre or poor (</w:t>
      </w:r>
      <m:oMath>
        <m:sSub>
          <m:e>
            <m:r>
              <m:t>R</m:t>
            </m:r>
          </m:e>
          <m:sub>
            <m:r>
              <m:t>C</m:t>
            </m:r>
          </m:sub>
        </m:sSub>
        <m:r>
          <m:rPr>
            <m:sty m:val="p"/>
          </m:rPr>
          <m:t>=</m:t>
        </m:r>
        <m:r>
          <m:t>0.71</m:t>
        </m:r>
      </m:oMath>
      <w:r>
        <w:t xml:space="preserve">,</w:t>
      </w:r>
      <w:r>
        <w:t xml:space="preserve"> </w:t>
      </w:r>
      <m:oMath>
        <m:r>
          <m:t>0.55</m:t>
        </m:r>
      </m:oMath>
      <w:r>
        <w:t xml:space="preserve">, and</w:t>
      </w:r>
      <w:r>
        <w:t xml:space="preserve"> </w:t>
      </w:r>
      <m:oMath>
        <m:r>
          <m:t>0.32</m:t>
        </m:r>
      </m:oMath>
      <w:r>
        <w:t xml:space="preserve">). At the compute costs we measure for ACT (0.30 to 0.65 of</w:t>
      </w:r>
      <w:r>
        <w:t xml:space="preserve"> </w:t>
      </w:r>
      <m:oMath>
        <m:sSub>
          <m:e>
            <m:r>
              <m:t>C</m:t>
            </m:r>
          </m:e>
          <m:sub>
            <m:r>
              <m:t>N</m:t>
            </m:r>
          </m:sub>
        </m:sSub>
      </m:oMath>
      <w:r>
        <w:t xml:space="preserve">),</w:t>
      </w:r>
      <w:r>
        <w:t xml:space="preserve"> </w:t>
      </w:r>
      <w:r>
        <w:t xml:space="preserve">the required gain is 2 to 5 points where copy recovers 90% to 96%, about 20 points where copy recovers 55%, about 30 points where copy recovers 32%, and 21 points for the instruction-tuned pair, where ACT costs 0.65.</w:t>
      </w:r>
    </w:p>
    <w:p>
      <w:pPr>
        <w:pStyle w:val="TableCaption"/>
      </w:pPr>
      <w:r>
        <w:t xml:space="preserve">Break-even recovery of a transfer method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p>
    <w:tbl>
      <w:tblPr>
        <w:tblStyle w:val="Table"/>
        <w:tblW w:type="dxa" w:w="9360"/>
        <w:tblLook w:firstRow="1" w:lastRow="0" w:firstColumn="0" w:lastColumn="0" w:noHBand="0" w:noVBand="0" w:val="0020"/>
        <w:jc w:val="start"/>
        <w:tblCaption w:val="Break-even recovery of a transfer method (\rho=0.10, \mu=2, g=0.20, \sigma=0.40)."/>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Copy recovery R</w:t>
            </w:r>
            <w:r>
              <w:rPr>
                <w:rFonts w:ascii="Times New Roman" w:hAnsi="Times New Roman"/>
                <w:sz w:val="20"/>
                <w:vertAlign w:val="subscript"/>
              </w:rPr>
              <w:t xml:space="preserve">C</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Transfer cost 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Break-even R</w:t>
            </w:r>
            <w:r>
              <w:rPr>
                <w:rFonts w:ascii="Times New Roman" w:hAnsi="Times New Roman"/>
                <w:sz w:val="20"/>
                <w:vertAlign w:val="subscript"/>
              </w:rPr>
              <w:t xml:space="preserve">A</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Required gain</w:t>
            </w:r>
          </w:p>
        </w:tc>
      </w:tr>
      <w:tr>
        <w:tc>
          <w:tcPr>
            <w:tcW w:type="dxa" w:w="3456"/>
          </w:tcPr>
          <w:p>
            <w:pPr>
              <w:pStyle w:val="Compact"/>
              <w:spacing w:line="240" w:lineRule="auto"/>
              <w:jc w:val="left"/>
            </w:pPr>
            <w:r>
              <w:rPr>
                <w:rFonts w:ascii="Times New Roman" w:hAnsi="Times New Roman"/>
                <w:sz w:val="20"/>
              </w:rPr>
              <w:t xml:space="preserve">0.49 (controlled simulation)</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0.527</w:t>
            </w:r>
          </w:p>
        </w:tc>
        <w:tc>
          <w:tcPr>
            <w:tcW w:type="dxa" w:w="1968"/>
          </w:tcPr>
          <w:p>
            <w:pPr>
              <w:pStyle w:val="Compact"/>
              <w:spacing w:line="240" w:lineRule="auto"/>
              <w:jc w:val="center"/>
            </w:pPr>
            <w:r>
              <w:rPr>
                <w:rFonts w:ascii="Times New Roman" w:hAnsi="Times New Roman"/>
                <w:sz w:val="20"/>
              </w:rPr>
              <w:t xml:space="preserve">0.038</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0.370</w:t>
            </w:r>
          </w:p>
        </w:tc>
        <w:tc>
          <w:tcPr>
            <w:tcW w:type="dxa" w:w="1968"/>
          </w:tcPr>
          <w:p>
            <w:pPr>
              <w:pStyle w:val="Compact"/>
              <w:spacing w:line="240" w:lineRule="auto"/>
              <w:jc w:val="center"/>
            </w:pPr>
            <w:r>
              <w:rPr>
                <w:rFonts w:ascii="Times New Roman" w:hAnsi="Times New Roman"/>
                <w:sz w:val="20"/>
              </w:rPr>
              <w:t xml:space="preserve">0.051</w:t>
            </w:r>
          </w:p>
        </w:tc>
      </w:tr>
      <w:tr>
        <w:tc>
          <w:tcPr>
            <w:tcW w:type="dxa" w:w="3456"/>
          </w:tcPr>
          <w:p>
            <w:pPr>
              <w:pStyle w:val="Compact"/>
              <w:spacing w:line="240" w:lineRule="auto"/>
              <w:jc w:val="left"/>
            </w:pPr>
            <w:r>
              <w:rPr>
                <w:rFonts w:ascii="Times New Roman" w:hAnsi="Times New Roman"/>
                <w:sz w:val="20"/>
              </w:rPr>
              <w:t xml:space="preserve">0.32 (Pythia, largest upgrade)</w:t>
            </w:r>
          </w:p>
        </w:tc>
        <w:tc>
          <w:tcPr>
            <w:tcW w:type="dxa" w:w="1968"/>
          </w:tcPr>
          <w:p>
            <w:pPr>
              <w:pStyle w:val="Compact"/>
              <w:spacing w:line="240" w:lineRule="auto"/>
              <w:jc w:val="center"/>
            </w:pPr>
            <w:r>
              <w:rPr>
                <w:rFonts w:ascii="Times New Roman" w:hAnsi="Times New Roman"/>
                <w:sz w:val="20"/>
              </w:rPr>
              <w:t xml:space="preserve">0.36 (measured, ACT)</w:t>
            </w:r>
          </w:p>
        </w:tc>
        <w:tc>
          <w:tcPr>
            <w:tcW w:type="dxa" w:w="1968"/>
          </w:tcPr>
          <w:p>
            <w:pPr>
              <w:pStyle w:val="Compact"/>
              <w:spacing w:line="240" w:lineRule="auto"/>
              <w:jc w:val="center"/>
            </w:pPr>
            <w:r>
              <w:rPr>
                <w:rFonts w:ascii="Times New Roman" w:hAnsi="Times New Roman"/>
                <w:sz w:val="20"/>
              </w:rPr>
              <w:t xml:space="preserve">0.622</w:t>
            </w:r>
          </w:p>
        </w:tc>
        <w:tc>
          <w:tcPr>
            <w:tcW w:type="dxa" w:w="1968"/>
          </w:tcPr>
          <w:p>
            <w:pPr>
              <w:pStyle w:val="Compact"/>
              <w:spacing w:line="240" w:lineRule="auto"/>
              <w:jc w:val="center"/>
            </w:pPr>
            <w:r>
              <w:rPr>
                <w:rFonts w:ascii="Times New Roman" w:hAnsi="Times New Roman"/>
                <w:sz w:val="20"/>
              </w:rPr>
              <w:t xml:space="preserve">0.303</w:t>
            </w:r>
          </w:p>
        </w:tc>
      </w:tr>
      <w:tr>
        <w:tc>
          <w:tcPr>
            <w:tcW w:type="dxa" w:w="3456"/>
          </w:tcPr>
          <w:p>
            <w:pPr>
              <w:pStyle w:val="Compact"/>
              <w:spacing w:line="240" w:lineRule="auto"/>
              <w:jc w:val="left"/>
            </w:pPr>
            <w:r>
              <w:rPr>
                <w:rFonts w:ascii="Times New Roman" w:hAnsi="Times New Roman"/>
                <w:sz w:val="20"/>
              </w:rPr>
              <w:t xml:space="preserve">0.55 (Pythia, large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0.750</w:t>
            </w:r>
          </w:p>
        </w:tc>
        <w:tc>
          <w:tcPr>
            <w:tcW w:type="dxa" w:w="1968"/>
          </w:tcPr>
          <w:p>
            <w:pPr>
              <w:pStyle w:val="Compact"/>
              <w:spacing w:line="240" w:lineRule="auto"/>
              <w:jc w:val="center"/>
            </w:pPr>
            <w:r>
              <w:rPr>
                <w:rFonts w:ascii="Times New Roman" w:hAnsi="Times New Roman"/>
                <w:sz w:val="20"/>
              </w:rPr>
              <w:t xml:space="preserve">0.196</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0.05</w:t>
            </w:r>
          </w:p>
        </w:tc>
        <w:tc>
          <w:tcPr>
            <w:tcW w:type="dxa" w:w="1968"/>
          </w:tcPr>
          <w:p>
            <w:pPr>
              <w:pStyle w:val="Compact"/>
              <w:spacing w:line="240" w:lineRule="auto"/>
              <w:jc w:val="center"/>
            </w:pPr>
            <w:r>
              <w:rPr>
                <w:rFonts w:ascii="Times New Roman" w:hAnsi="Times New Roman"/>
                <w:sz w:val="20"/>
              </w:rPr>
              <w:t xml:space="preserve">0.728</w:t>
            </w:r>
          </w:p>
        </w:tc>
        <w:tc>
          <w:tcPr>
            <w:tcW w:type="dxa" w:w="1968"/>
          </w:tcPr>
          <w:p>
            <w:pPr>
              <w:pStyle w:val="Compact"/>
              <w:spacing w:line="240" w:lineRule="auto"/>
              <w:jc w:val="center"/>
            </w:pPr>
            <w:r>
              <w:rPr>
                <w:rFonts w:ascii="Times New Roman" w:hAnsi="Times New Roman"/>
                <w:sz w:val="20"/>
              </w:rPr>
              <w:t xml:space="preserve">0.022</w:t>
            </w:r>
          </w:p>
        </w:tc>
      </w:tr>
      <w:tr>
        <w:tc>
          <w:tcPr>
            <w:tcW w:type="dxa" w:w="3456"/>
          </w:tcPr>
          <w:p>
            <w:pPr>
              <w:pStyle w:val="Compact"/>
              <w:spacing w:line="240" w:lineRule="auto"/>
              <w:jc w:val="left"/>
            </w:pPr>
            <w:r>
              <w:rPr>
                <w:rFonts w:ascii="Times New Roman" w:hAnsi="Times New Roman"/>
                <w:sz w:val="20"/>
              </w:rPr>
              <w:t xml:space="preserve">0.71 (SmolLM2)</w:t>
            </w:r>
          </w:p>
        </w:tc>
        <w:tc>
          <w:tcPr>
            <w:tcW w:type="dxa" w:w="1968"/>
          </w:tcPr>
          <w:p>
            <w:pPr>
              <w:pStyle w:val="Compact"/>
              <w:spacing w:line="240" w:lineRule="auto"/>
              <w:jc w:val="center"/>
            </w:pPr>
            <w:r>
              <w:rPr>
                <w:rFonts w:ascii="Times New Roman" w:hAnsi="Times New Roman"/>
                <w:sz w:val="20"/>
              </w:rPr>
              <w:t xml:space="preserve">0.65 (measured, ACT)</w:t>
            </w:r>
          </w:p>
        </w:tc>
        <w:tc>
          <w:tcPr>
            <w:tcW w:type="dxa" w:w="1968"/>
          </w:tcPr>
          <w:p>
            <w:pPr>
              <w:pStyle w:val="Compact"/>
              <w:spacing w:line="240" w:lineRule="auto"/>
              <w:jc w:val="center"/>
            </w:pPr>
            <w:r>
              <w:rPr>
                <w:rFonts w:ascii="Times New Roman" w:hAnsi="Times New Roman"/>
                <w:sz w:val="20"/>
              </w:rPr>
              <w:t xml:space="preserve">0.916</w:t>
            </w:r>
          </w:p>
        </w:tc>
        <w:tc>
          <w:tcPr>
            <w:tcW w:type="dxa" w:w="1968"/>
          </w:tcPr>
          <w:p>
            <w:pPr>
              <w:pStyle w:val="Compact"/>
              <w:spacing w:line="240" w:lineRule="auto"/>
              <w:jc w:val="center"/>
            </w:pPr>
            <w:r>
              <w:rPr>
                <w:rFonts w:ascii="Times New Roman" w:hAnsi="Times New Roman"/>
                <w:sz w:val="20"/>
              </w:rPr>
              <w:t xml:space="preserve">0.210</w:t>
            </w:r>
          </w:p>
        </w:tc>
      </w:tr>
      <w:tr>
        <w:tc>
          <w:tcPr>
            <w:tcW w:type="dxa" w:w="3456"/>
          </w:tcPr>
          <w:p>
            <w:pPr>
              <w:pStyle w:val="Compact"/>
              <w:spacing w:line="240" w:lineRule="auto"/>
              <w:jc w:val="left"/>
            </w:pPr>
            <w:r>
              <w:rPr>
                <w:rFonts w:ascii="Times New Roman" w:hAnsi="Times New Roman"/>
                <w:sz w:val="20"/>
              </w:rPr>
              <w:t xml:space="preserve">0.93 (Pythia, medium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0.959</w:t>
            </w:r>
          </w:p>
        </w:tc>
        <w:tc>
          <w:tcPr>
            <w:tcW w:type="dxa" w:w="1968"/>
          </w:tcPr>
          <w:p>
            <w:pPr>
              <w:pStyle w:val="Compact"/>
              <w:spacing w:line="240" w:lineRule="auto"/>
              <w:jc w:val="center"/>
            </w:pPr>
            <w:r>
              <w:rPr>
                <w:rFonts w:ascii="Times New Roman" w:hAnsi="Times New Roman"/>
                <w:sz w:val="20"/>
              </w:rPr>
              <w:t xml:space="preserve">0.031</w:t>
            </w:r>
          </w:p>
        </w:tc>
      </w:tr>
      <w:tr>
        <w:tc>
          <w:tcPr>
            <w:tcW w:type="dxa" w:w="3456"/>
          </w:tcPr>
          <w:p>
            <w:pPr>
              <w:pStyle w:val="Compact"/>
              <w:spacing w:line="240" w:lineRule="auto"/>
              <w:jc w:val="left"/>
            </w:pPr>
            <w:r>
              <w:rPr>
                <w:rFonts w:ascii="Times New Roman" w:hAnsi="Times New Roman"/>
                <w:sz w:val="20"/>
              </w:rPr>
              <w:t xml:space="preserve">0.96 (Pythia, small upgrade)</w:t>
            </w:r>
          </w:p>
        </w:tc>
        <w:tc>
          <w:tcPr>
            <w:tcW w:type="dxa" w:w="1968"/>
          </w:tcPr>
          <w:p>
            <w:pPr>
              <w:pStyle w:val="Compact"/>
              <w:spacing w:line="240" w:lineRule="auto"/>
              <w:jc w:val="center"/>
            </w:pPr>
            <w:r>
              <w:rPr>
                <w:rFonts w:ascii="Times New Roman" w:hAnsi="Times New Roman"/>
                <w:sz w:val="20"/>
              </w:rPr>
              <w:t xml:space="preserve">0.35 (measured, ACT)</w:t>
            </w:r>
          </w:p>
        </w:tc>
        <w:tc>
          <w:tcPr>
            <w:tcW w:type="dxa" w:w="1968"/>
          </w:tcPr>
          <w:p>
            <w:pPr>
              <w:pStyle w:val="Compact"/>
              <w:spacing w:line="240" w:lineRule="auto"/>
              <w:jc w:val="center"/>
            </w:pPr>
            <w:r>
              <w:rPr>
                <w:rFonts w:ascii="Times New Roman" w:hAnsi="Times New Roman"/>
                <w:sz w:val="20"/>
              </w:rPr>
              <w:t xml:space="preserve">0.975</w:t>
            </w:r>
          </w:p>
        </w:tc>
        <w:tc>
          <w:tcPr>
            <w:tcW w:type="dxa" w:w="1968"/>
          </w:tcPr>
          <w:p>
            <w:pPr>
              <w:pStyle w:val="Compact"/>
              <w:spacing w:line="240" w:lineRule="auto"/>
              <w:jc w:val="center"/>
            </w:pPr>
            <w:r>
              <w:rPr>
                <w:rFonts w:ascii="Times New Roman" w:hAnsi="Times New Roman"/>
                <w:sz w:val="20"/>
              </w:rPr>
              <w:t xml:space="preserve">0.019</w:t>
            </w:r>
          </w:p>
        </w:tc>
      </w:tr>
    </w:tbl>
    <w:bookmarkEnd w:id="25"/>
    <w:bookmarkStart w:id="26" w:name="experiments-on-open-model-pairs"/>
    <w:p>
      <w:pPr>
        <w:pStyle w:val="Heading1"/>
      </w:pPr>
      <w:r>
        <w:t xml:space="preserve">7. Experiments on Open Model Pairs</w:t>
      </w:r>
    </w:p>
    <w:p>
      <w:pPr>
        <w:pStyle w:val="FirstParagraph"/>
      </w:pPr>
      <w:r>
        <w:rPr>
          <w:bCs/>
          <w:b/>
        </w:rPr>
        <w:t xml:space="preserve">Design.</w:t>
      </w:r>
      <w:r>
        <w:t xml:space="preserve"> </w:t>
      </w:r>
      <w:r>
        <w:t xml:space="preserve">Each pair shares a tokenizer. We train a rank-8 LoRA adapter on GSM8K (Cobbe et al., 2021) for the</w:t>
      </w:r>
      <w:r>
        <w:t xml:space="preserve"> </w:t>
      </w:r>
      <w:r>
        <w:t xml:space="preserve">source model, retrain the same adapter on the target model (the upper bound and the basis of</w:t>
      </w:r>
      <w:r>
        <w:t xml:space="preserve"> </w:t>
      </w:r>
      <m:oMath>
        <m:sSub>
          <m:e>
            <m:r>
              <m:t>C</m:t>
            </m:r>
          </m:e>
          <m:sub>
            <m:r>
              <m:t>N</m:t>
            </m:r>
          </m:sub>
        </m:sSub>
      </m:oMath>
      <w:r>
        <w:t xml:space="preserve">), copy the source adapter,</w:t>
      </w:r>
      <w:r>
        <w:t xml:space="preserve"> </w:t>
      </w:r>
      <w:r>
        <w:t xml:space="preserve">and apply ACT with 128 unlabeled prompts. Recovery</w:t>
      </w:r>
      <w:r>
        <w:t xml:space="preserve"> </w:t>
      </w:r>
      <m:oMath>
        <m:r>
          <m:t>R</m:t>
        </m:r>
        <m:r>
          <m:rPr>
            <m:sty m:val="p"/>
          </m:rPr>
          <m:t>=</m:t>
        </m:r>
        <m:d>
          <m:dPr>
            <m:begChr m:val="("/>
            <m:endChr m:val=")"/>
            <m:sepChr m:val=""/>
            <m:grow/>
          </m:dPr>
          <m:e>
            <m:sSub>
              <m:e>
                <m:r>
                  <m:t>L</m:t>
                </m:r>
              </m:e>
              <m:sub>
                <m:r>
                  <m:rPr>
                    <m:nor/>
                    <m:sty m:val="p"/>
                  </m:rPr>
                  <m:t>none</m:t>
                </m:r>
              </m:sub>
            </m:sSub>
            <m:r>
              <m:rPr>
                <m:sty m:val="p"/>
              </m:rPr>
              <m:t>−</m:t>
            </m:r>
            <m:sSub>
              <m:e>
                <m:r>
                  <m:t>L</m:t>
                </m:r>
              </m:e>
              <m:sub>
                <m:r>
                  <m:rPr>
                    <m:nor/>
                    <m:sty m:val="p"/>
                  </m:rPr>
                  <m:t>method</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w:t>
      </w:r>
      <w:r>
        <w:t xml:space="preserve">uses held-out response negative log-likelihood (NLL) on 200 examples. Runs use a CPU preset (500 training examples, 300 steps,</w:t>
      </w:r>
      <w:r>
        <w:t xml:space="preserve"> </w:t>
      </w:r>
      <w:r>
        <w:t xml:space="preserve">batch 4, maximum length 256). Costs are compute time only. We evaluate six upgrades. Five are Pythia-160M checkpoints (Biderman et al., 2023)</w:t>
      </w:r>
      <w:r>
        <w:t xml:space="preserve"> </w:t>
      </w:r>
      <w:r>
        <w:t xml:space="preserve">upgraded to the same final checkpoint, step 143k, from steps 133k, 113k, 103k, 83k, and 73k, which gives upgrades of increasing size within one model family. The sixth is SmolLM2-360M, base to instruction-tuned.</w:t>
      </w:r>
      <w:r>
        <w:t xml:space="preserve"> </w:t>
      </w:r>
      <w:r>
        <w:t xml:space="preserve">Each pair is run once with seed 0. The largest Pythia upgrade is repeated with seed 1, which changes the training, evaluation, and calibration examples, the adapter initialization, and the batch order. As a measure of upgrade size we report the median relative change of</w:t>
      </w:r>
      <w:r>
        <w:t xml:space="preserve"> </w:t>
      </w:r>
      <w:r>
        <w:t xml:space="preserve">module inputs between source and target models over the calibration set, which we call the activation drift.</w:t>
      </w:r>
    </w:p>
    <w:p>
      <w:pPr>
        <w:pStyle w:val="TableCaption"/>
      </w:pPr>
      <w:r>
        <w:t xml:space="preserve">Held-out response NLL (200 examples) and median activation drift. The seed-1 run uses a different example sample, so its NLL values are not comparable in level with seed 0.</w:t>
      </w:r>
    </w:p>
    <w:tbl>
      <w:tblPr>
        <w:tblStyle w:val="Table"/>
        <w:tblW w:type="dxa" w:w="9360"/>
        <w:tblLook w:firstRow="1" w:lastRow="0" w:firstColumn="0" w:lastColumn="0" w:noHBand="0" w:noVBand="0" w:val="0020"/>
        <w:jc w:val="start"/>
        <w:tblCaption w:val="Held-out response NLL (200 examples) and median activation drift. The seed-1 run uses a different example sample, so its NLL values are not comparable in level with seed 0."/>
        <w:tblLayout w:type="fixed"/>
        <w:tblBorders>
          <w:top w:val="single" w:sz="12" w:color="000000"/>
          <w:bottom w:val="single" w:sz="12" w:color="000000"/>
        </w:tblBorders>
      </w:tblPr>
      <w:tblGrid>
        <w:gridCol w:w="3456"/>
        <w:gridCol w:w="1180"/>
        <w:gridCol w:w="1180"/>
        <w:gridCol w:w="1180"/>
        <w:gridCol w:w="1180"/>
        <w:gridCol w:w="1180"/>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None</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Retrain</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Copy</w:t>
            </w:r>
          </w:p>
        </w:tc>
        <w:tc>
          <w:tcPr>
            <w:tcW w:type="dxa" w:w="1181"/>
            <w:tcBorders>
              <w:bottom w:val="single" w:sz="6" w:color="000000"/>
            </w:tcBorders>
          </w:tcPr>
          <w:p>
            <w:pPr>
              <w:pStyle w:val="Compact"/>
              <w:spacing w:line="240" w:lineRule="auto"/>
              <w:jc w:val="center"/>
            </w:pPr>
            <w:r>
              <w:rPr>
                <w:rFonts w:ascii="Times New Roman" w:hAnsi="Times New Roman"/>
                <w:sz w:val="20"/>
              </w:rPr>
              <w:t xml:space="preserve">ACT</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1181"/>
          </w:tcPr>
          <w:p>
            <w:pPr>
              <w:pStyle w:val="Compact"/>
              <w:spacing w:line="240" w:lineRule="auto"/>
              <w:jc w:val="center"/>
            </w:pPr>
            <w:r>
              <w:rPr>
                <w:rFonts w:ascii="Times New Roman" w:hAnsi="Times New Roman"/>
                <w:sz w:val="20"/>
              </w:rPr>
              <w:t xml:space="preserve">0.25</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1.355</w:t>
            </w:r>
          </w:p>
        </w:tc>
        <w:tc>
          <w:tcPr>
            <w:tcW w:type="dxa" w:w="1181"/>
          </w:tcPr>
          <w:p>
            <w:pPr>
              <w:pStyle w:val="Compact"/>
              <w:spacing w:line="240" w:lineRule="auto"/>
              <w:jc w:val="center"/>
            </w:pPr>
            <w:r>
              <w:rPr>
                <w:rFonts w:ascii="Times New Roman" w:hAnsi="Times New Roman"/>
                <w:sz w:val="20"/>
              </w:rPr>
              <w:t xml:space="preserve">1.417</w:t>
            </w:r>
          </w:p>
        </w:tc>
        <w:tc>
          <w:tcPr>
            <w:tcW w:type="dxa" w:w="1181"/>
          </w:tcPr>
          <w:p>
            <w:pPr>
              <w:pStyle w:val="Compact"/>
              <w:spacing w:line="240" w:lineRule="auto"/>
              <w:jc w:val="center"/>
            </w:pPr>
            <w:r>
              <w:rPr>
                <w:rFonts w:ascii="Times New Roman" w:hAnsi="Times New Roman"/>
                <w:sz w:val="20"/>
              </w:rPr>
              <w:t xml:space="preserve">1.423</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1181"/>
          </w:tcPr>
          <w:p>
            <w:pPr>
              <w:pStyle w:val="Compact"/>
              <w:spacing w:line="240" w:lineRule="auto"/>
              <w:jc w:val="center"/>
            </w:pPr>
            <w:r>
              <w:rPr>
                <w:rFonts w:ascii="Times New Roman" w:hAnsi="Times New Roman"/>
                <w:sz w:val="20"/>
              </w:rPr>
              <w:t xml:space="preserve">0.31</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1.359</w:t>
            </w:r>
          </w:p>
        </w:tc>
        <w:tc>
          <w:tcPr>
            <w:tcW w:type="dxa" w:w="1181"/>
          </w:tcPr>
          <w:p>
            <w:pPr>
              <w:pStyle w:val="Compact"/>
              <w:spacing w:line="240" w:lineRule="auto"/>
              <w:jc w:val="center"/>
            </w:pPr>
            <w:r>
              <w:rPr>
                <w:rFonts w:ascii="Times New Roman" w:hAnsi="Times New Roman"/>
                <w:sz w:val="20"/>
              </w:rPr>
              <w:t xml:space="preserve">1.460</w:t>
            </w:r>
          </w:p>
        </w:tc>
        <w:tc>
          <w:tcPr>
            <w:tcW w:type="dxa" w:w="1181"/>
          </w:tcPr>
          <w:p>
            <w:pPr>
              <w:pStyle w:val="Compact"/>
              <w:spacing w:line="240" w:lineRule="auto"/>
              <w:jc w:val="center"/>
            </w:pPr>
            <w:r>
              <w:rPr>
                <w:rFonts w:ascii="Times New Roman" w:hAnsi="Times New Roman"/>
                <w:sz w:val="20"/>
              </w:rPr>
              <w:t xml:space="preserve">1.445</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1181"/>
          </w:tcPr>
          <w:p>
            <w:pPr>
              <w:pStyle w:val="Compact"/>
              <w:spacing w:line="240" w:lineRule="auto"/>
              <w:jc w:val="center"/>
            </w:pPr>
            <w:r>
              <w:rPr>
                <w:rFonts w:ascii="Times New Roman" w:hAnsi="Times New Roman"/>
                <w:sz w:val="20"/>
              </w:rPr>
              <w:t xml:space="preserve">0.36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1.357</w:t>
            </w:r>
          </w:p>
        </w:tc>
        <w:tc>
          <w:tcPr>
            <w:tcW w:type="dxa" w:w="1181"/>
          </w:tcPr>
          <w:p>
            <w:pPr>
              <w:pStyle w:val="Compact"/>
              <w:spacing w:line="240" w:lineRule="auto"/>
              <w:jc w:val="center"/>
            </w:pPr>
            <w:r>
              <w:rPr>
                <w:rFonts w:ascii="Times New Roman" w:hAnsi="Times New Roman"/>
                <w:sz w:val="20"/>
              </w:rPr>
              <w:t xml:space="preserve">1.505</w:t>
            </w:r>
          </w:p>
        </w:tc>
        <w:tc>
          <w:tcPr>
            <w:tcW w:type="dxa" w:w="1181"/>
          </w:tcPr>
          <w:p>
            <w:pPr>
              <w:pStyle w:val="Compact"/>
              <w:spacing w:line="240" w:lineRule="auto"/>
              <w:jc w:val="center"/>
            </w:pPr>
            <w:r>
              <w:rPr>
                <w:rFonts w:ascii="Times New Roman" w:hAnsi="Times New Roman"/>
                <w:sz w:val="20"/>
              </w:rPr>
              <w:t xml:space="preserve">1.450</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1181"/>
          </w:tcPr>
          <w:p>
            <w:pPr>
              <w:pStyle w:val="Compact"/>
              <w:spacing w:line="240" w:lineRule="auto"/>
              <w:jc w:val="center"/>
            </w:pPr>
            <w:r>
              <w:rPr>
                <w:rFonts w:ascii="Times New Roman" w:hAnsi="Times New Roman"/>
                <w:sz w:val="20"/>
              </w:rPr>
              <w:t xml:space="preserve">0.56</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1.339</w:t>
            </w:r>
          </w:p>
        </w:tc>
        <w:tc>
          <w:tcPr>
            <w:tcW w:type="dxa" w:w="1181"/>
          </w:tcPr>
          <w:p>
            <w:pPr>
              <w:pStyle w:val="Compact"/>
              <w:spacing w:line="240" w:lineRule="auto"/>
              <w:jc w:val="center"/>
            </w:pPr>
            <w:r>
              <w:rPr>
                <w:rFonts w:ascii="Times New Roman" w:hAnsi="Times New Roman"/>
                <w:sz w:val="20"/>
              </w:rPr>
              <w:t xml:space="preserve">1.974</w:t>
            </w:r>
          </w:p>
        </w:tc>
        <w:tc>
          <w:tcPr>
            <w:tcW w:type="dxa" w:w="1181"/>
          </w:tcPr>
          <w:p>
            <w:pPr>
              <w:pStyle w:val="Compact"/>
              <w:spacing w:line="240" w:lineRule="auto"/>
              <w:jc w:val="center"/>
            </w:pPr>
            <w:r>
              <w:rPr>
                <w:rFonts w:ascii="Times New Roman" w:hAnsi="Times New Roman"/>
                <w:sz w:val="20"/>
              </w:rPr>
              <w:t xml:space="preserve">1.718</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2.761</w:t>
            </w:r>
          </w:p>
        </w:tc>
        <w:tc>
          <w:tcPr>
            <w:tcW w:type="dxa" w:w="1181"/>
          </w:tcPr>
          <w:p>
            <w:pPr>
              <w:pStyle w:val="Compact"/>
              <w:spacing w:line="240" w:lineRule="auto"/>
              <w:jc w:val="center"/>
            </w:pPr>
            <w:r>
              <w:rPr>
                <w:rFonts w:ascii="Times New Roman" w:hAnsi="Times New Roman"/>
                <w:sz w:val="20"/>
              </w:rPr>
              <w:t xml:space="preserve">1.396</w:t>
            </w:r>
          </w:p>
        </w:tc>
        <w:tc>
          <w:tcPr>
            <w:tcW w:type="dxa" w:w="1181"/>
          </w:tcPr>
          <w:p>
            <w:pPr>
              <w:pStyle w:val="Compact"/>
              <w:spacing w:line="240" w:lineRule="auto"/>
              <w:jc w:val="center"/>
            </w:pPr>
            <w:r>
              <w:rPr>
                <w:rFonts w:ascii="Times New Roman" w:hAnsi="Times New Roman"/>
                <w:sz w:val="20"/>
              </w:rPr>
              <w:t xml:space="preserve">2.326</w:t>
            </w:r>
          </w:p>
        </w:tc>
        <w:tc>
          <w:tcPr>
            <w:tcW w:type="dxa" w:w="1181"/>
          </w:tcPr>
          <w:p>
            <w:pPr>
              <w:pStyle w:val="Compact"/>
              <w:spacing w:line="240" w:lineRule="auto"/>
              <w:jc w:val="center"/>
            </w:pPr>
            <w:r>
              <w:rPr>
                <w:rFonts w:ascii="Times New Roman" w:hAnsi="Times New Roman"/>
                <w:sz w:val="20"/>
              </w:rPr>
              <w:t xml:space="preserve">1.782</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1181"/>
          </w:tcPr>
          <w:p>
            <w:pPr>
              <w:pStyle w:val="Compact"/>
              <w:spacing w:line="240" w:lineRule="auto"/>
              <w:jc w:val="center"/>
            </w:pPr>
            <w:r>
              <w:rPr>
                <w:rFonts w:ascii="Times New Roman" w:hAnsi="Times New Roman"/>
                <w:sz w:val="20"/>
              </w:rPr>
              <w:t xml:space="preserve">0.60</w:t>
            </w:r>
          </w:p>
        </w:tc>
        <w:tc>
          <w:tcPr>
            <w:tcW w:type="dxa" w:w="1181"/>
          </w:tcPr>
          <w:p>
            <w:pPr>
              <w:pStyle w:val="Compact"/>
              <w:spacing w:line="240" w:lineRule="auto"/>
              <w:jc w:val="center"/>
            </w:pPr>
            <w:r>
              <w:rPr>
                <w:rFonts w:ascii="Times New Roman" w:hAnsi="Times New Roman"/>
                <w:sz w:val="20"/>
              </w:rPr>
              <w:t xml:space="preserve">2.743</w:t>
            </w:r>
          </w:p>
        </w:tc>
        <w:tc>
          <w:tcPr>
            <w:tcW w:type="dxa" w:w="1181"/>
          </w:tcPr>
          <w:p>
            <w:pPr>
              <w:pStyle w:val="Compact"/>
              <w:spacing w:line="240" w:lineRule="auto"/>
              <w:jc w:val="center"/>
            </w:pPr>
            <w:r>
              <w:rPr>
                <w:rFonts w:ascii="Times New Roman" w:hAnsi="Times New Roman"/>
                <w:sz w:val="20"/>
              </w:rPr>
              <w:t xml:space="preserve">1.336</w:t>
            </w:r>
          </w:p>
        </w:tc>
        <w:tc>
          <w:tcPr>
            <w:tcW w:type="dxa" w:w="1181"/>
          </w:tcPr>
          <w:p>
            <w:pPr>
              <w:pStyle w:val="Compact"/>
              <w:spacing w:line="240" w:lineRule="auto"/>
              <w:jc w:val="center"/>
            </w:pPr>
            <w:r>
              <w:rPr>
                <w:rFonts w:ascii="Times New Roman" w:hAnsi="Times New Roman"/>
                <w:sz w:val="20"/>
              </w:rPr>
              <w:t xml:space="preserve">2.238</w:t>
            </w:r>
          </w:p>
        </w:tc>
        <w:tc>
          <w:tcPr>
            <w:tcW w:type="dxa" w:w="1181"/>
          </w:tcPr>
          <w:p>
            <w:pPr>
              <w:pStyle w:val="Compact"/>
              <w:spacing w:line="240" w:lineRule="auto"/>
              <w:jc w:val="center"/>
            </w:pPr>
            <w:r>
              <w:rPr>
                <w:rFonts w:ascii="Times New Roman" w:hAnsi="Times New Roman"/>
                <w:sz w:val="20"/>
              </w:rPr>
              <w:t xml:space="preserve">1.769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1181"/>
          </w:tcPr>
          <w:p>
            <w:pPr>
              <w:pStyle w:val="Compact"/>
              <w:spacing w:line="240" w:lineRule="auto"/>
              <w:jc w:val="center"/>
            </w:pPr>
            <w:r>
              <w:rPr>
                <w:rFonts w:ascii="Times New Roman" w:hAnsi="Times New Roman"/>
                <w:sz w:val="20"/>
              </w:rPr>
              <w:t xml:space="preserve">0.27</w:t>
            </w:r>
          </w:p>
        </w:tc>
        <w:tc>
          <w:tcPr>
            <w:tcW w:type="dxa" w:w="1181"/>
          </w:tcPr>
          <w:p>
            <w:pPr>
              <w:pStyle w:val="Compact"/>
              <w:spacing w:line="240" w:lineRule="auto"/>
              <w:jc w:val="center"/>
            </w:pPr>
            <w:r>
              <w:rPr>
                <w:rFonts w:ascii="Times New Roman" w:hAnsi="Times New Roman"/>
                <w:sz w:val="20"/>
              </w:rPr>
              <w:t xml:space="preserve">1.015</w:t>
            </w:r>
          </w:p>
        </w:tc>
        <w:tc>
          <w:tcPr>
            <w:tcW w:type="dxa" w:w="1181"/>
          </w:tcPr>
          <w:p>
            <w:pPr>
              <w:pStyle w:val="Compact"/>
              <w:spacing w:line="240" w:lineRule="auto"/>
              <w:jc w:val="center"/>
            </w:pPr>
            <w:r>
              <w:rPr>
                <w:rFonts w:ascii="Times New Roman" w:hAnsi="Times New Roman"/>
                <w:sz w:val="20"/>
              </w:rPr>
              <w:t xml:space="preserve">0.652</w:t>
            </w:r>
          </w:p>
        </w:tc>
        <w:tc>
          <w:tcPr>
            <w:tcW w:type="dxa" w:w="1181"/>
          </w:tcPr>
          <w:p>
            <w:pPr>
              <w:pStyle w:val="Compact"/>
              <w:spacing w:line="240" w:lineRule="auto"/>
              <w:jc w:val="center"/>
            </w:pPr>
            <w:r>
              <w:rPr>
                <w:rFonts w:ascii="Times New Roman" w:hAnsi="Times New Roman"/>
                <w:sz w:val="20"/>
              </w:rPr>
              <w:t xml:space="preserve">0.759</w:t>
            </w:r>
          </w:p>
        </w:tc>
        <w:tc>
          <w:tcPr>
            <w:tcW w:type="dxa" w:w="1181"/>
          </w:tcPr>
          <w:p>
            <w:pPr>
              <w:pStyle w:val="Compact"/>
              <w:spacing w:line="240" w:lineRule="auto"/>
              <w:jc w:val="center"/>
            </w:pPr>
            <w:r>
              <w:rPr>
                <w:rFonts w:ascii="Times New Roman" w:hAnsi="Times New Roman"/>
                <w:sz w:val="20"/>
              </w:rPr>
              <w:t xml:space="preserve">0.761</w:t>
            </w:r>
          </w:p>
        </w:tc>
      </w:tr>
    </w:tbl>
    <w:p/>
    <w:p>
      <w:pPr>
        <w:pStyle w:val="TableCaption"/>
      </w:pPr>
      <w:r>
        <w:t xml:space="preserve">Recovery, ACT cost ratio, and the policy implied by the model (</w:t>
      </w:r>
      <m:oMath>
        <m:r>
          <m:t>ρ</m:t>
        </m:r>
        <m:r>
          <m:rPr>
            <m:sty m:val="p"/>
          </m:rPr>
          <m:t>=</m:t>
        </m:r>
        <m:r>
          <m:t>0.10</m:t>
        </m:r>
      </m:oMath>
      <w:r>
        <w:t xml:space="preserve">,</w:t>
      </w:r>
      <w:r>
        <w:t xml:space="preserve"> </w:t>
      </w:r>
      <m:oMath>
        <m:r>
          <m:t>μ</m:t>
        </m:r>
        <m:r>
          <m:rPr>
            <m:sty m:val="p"/>
          </m:rPr>
          <m:t>=</m:t>
        </m:r>
        <m:r>
          <m:t>2</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r>
          <m:t>v</m:t>
        </m:r>
      </m:oMath>
      <w:r>
        <w:t xml:space="preserve"> </w:t>
      </w:r>
      <w:r>
        <w:t xml:space="preserve">and</w:t>
      </w:r>
      <w:r>
        <w:t xml:space="preserve"> </w:t>
      </w:r>
      <m:oMath>
        <m:r>
          <m:t>Γ</m:t>
        </m:r>
      </m:oMath>
      <w:r>
        <w:t xml:space="preserve"> </w:t>
      </w:r>
      <w:r>
        <w:t xml:space="preserve">in multiples of</w:t>
      </w:r>
      <w:r>
        <w:t xml:space="preserve"> </w:t>
      </w:r>
      <m:oMath>
        <m:sSub>
          <m:e>
            <m:r>
              <m:t>C</m:t>
            </m:r>
          </m:e>
          <m:sub>
            <m:r>
              <m:t>N</m:t>
            </m:r>
          </m:sub>
        </m:sSub>
      </m:oMath>
      <w:r>
        <w:t xml:space="preserve">, using each pair’s measured</w:t>
      </w:r>
      <w:r>
        <w:t xml:space="preserve"> </w:t>
      </w:r>
      <m:oMath>
        <m:sSub>
          <m:e>
            <m:r>
              <m:t>C</m:t>
            </m:r>
          </m:e>
          <m:sub>
            <m:r>
              <m:t>A</m:t>
            </m:r>
          </m:sub>
        </m:sSub>
        <m:r>
          <m:rPr>
            <m:sty m:val="p"/>
          </m:rPr>
          <m:t>/</m:t>
        </m:r>
        <m:sSub>
          <m:e>
            <m:r>
              <m:t>C</m:t>
            </m:r>
          </m:e>
          <m:sub>
            <m:r>
              <m:t>N</m:t>
            </m:r>
          </m:sub>
        </m:sSub>
      </m:oMath>
      <w:r>
        <w:t xml:space="preserve">).</w:t>
      </w:r>
    </w:p>
    <w:tbl>
      <w:tblPr>
        <w:tblStyle w:val="Table"/>
        <w:tblW w:type="dxa" w:w="9360"/>
        <w:tblLook w:firstRow="1" w:lastRow="0" w:firstColumn="0" w:lastColumn="0" w:noHBand="0" w:noVBand="0" w:val="0020"/>
        <w:jc w:val="start"/>
        <w:tblCaption w:val="Recovery, ACT cost ratio, and the policy implied by the model (\rho=0.10, \mu=2, g=0.20, \sigma=0.40; v and \Gamma in multiples of C_N, using each pair’s measured C_A/C_N)."/>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v*</w:t>
            </w:r>
            <w:r>
              <w:rPr>
                <w:rFonts w:ascii="Times New Roman" w:hAnsi="Times New Roman"/>
                <w:sz w:val="20"/>
                <w:vertAlign w:val="subscript"/>
              </w:rPr>
              <w:t xml:space="preserve">C</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Pythia, step 133k to 143k</w:t>
            </w:r>
          </w:p>
        </w:tc>
        <w:tc>
          <w:tcPr>
            <w:tcW w:type="dxa" w:w="984"/>
          </w:tcPr>
          <w:p>
            <w:pPr>
              <w:pStyle w:val="Compact"/>
              <w:spacing w:line="240" w:lineRule="auto"/>
              <w:jc w:val="center"/>
            </w:pPr>
            <w:r>
              <w:rPr>
                <w:rFonts w:ascii="Times New Roman" w:hAnsi="Times New Roman"/>
                <w:sz w:val="20"/>
              </w:rPr>
              <w:t xml:space="preserve">0.956</w:t>
            </w:r>
          </w:p>
        </w:tc>
        <w:tc>
          <w:tcPr>
            <w:tcW w:type="dxa" w:w="984"/>
          </w:tcPr>
          <w:p>
            <w:pPr>
              <w:pStyle w:val="Compact"/>
              <w:spacing w:line="240" w:lineRule="auto"/>
              <w:jc w:val="center"/>
            </w:pPr>
            <w:r>
              <w:rPr>
                <w:rFonts w:ascii="Times New Roman" w:hAnsi="Times New Roman"/>
                <w:sz w:val="20"/>
              </w:rPr>
              <w:t xml:space="preserve">0.952</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55.6</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113k to 143k</w:t>
            </w:r>
          </w:p>
        </w:tc>
        <w:tc>
          <w:tcPr>
            <w:tcW w:type="dxa" w:w="984"/>
          </w:tcPr>
          <w:p>
            <w:pPr>
              <w:pStyle w:val="Compact"/>
              <w:spacing w:line="240" w:lineRule="auto"/>
              <w:jc w:val="center"/>
            </w:pPr>
            <w:r>
              <w:rPr>
                <w:rFonts w:ascii="Times New Roman" w:hAnsi="Times New Roman"/>
                <w:sz w:val="20"/>
              </w:rPr>
              <w:t xml:space="preserve">0.928</w:t>
            </w:r>
          </w:p>
        </w:tc>
        <w:tc>
          <w:tcPr>
            <w:tcW w:type="dxa" w:w="984"/>
          </w:tcPr>
          <w:p>
            <w:pPr>
              <w:pStyle w:val="Compact"/>
              <w:spacing w:line="240" w:lineRule="auto"/>
              <w:jc w:val="center"/>
            </w:pPr>
            <w:r>
              <w:rPr>
                <w:rFonts w:ascii="Times New Roman" w:hAnsi="Times New Roman"/>
                <w:sz w:val="20"/>
              </w:rPr>
              <w:t xml:space="preserve">0.939</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0.11</w:t>
            </w:r>
          </w:p>
        </w:tc>
        <w:tc>
          <w:tcPr>
            <w:tcW w:type="dxa" w:w="984"/>
          </w:tcPr>
          <w:p>
            <w:pPr>
              <w:pStyle w:val="Compact"/>
              <w:spacing w:line="240" w:lineRule="auto"/>
              <w:jc w:val="center"/>
            </w:pPr>
            <w:r>
              <w:rPr>
                <w:rFonts w:ascii="Times New Roman" w:hAnsi="Times New Roman"/>
                <w:sz w:val="20"/>
              </w:rPr>
              <w:t xml:space="preserve">34.0</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103k to 143k</w:t>
            </w:r>
          </w:p>
        </w:tc>
        <w:tc>
          <w:tcPr>
            <w:tcW w:type="dxa" w:w="984"/>
          </w:tcPr>
          <w:p>
            <w:pPr>
              <w:pStyle w:val="Compact"/>
              <w:spacing w:line="240" w:lineRule="auto"/>
              <w:jc w:val="center"/>
            </w:pPr>
            <w:r>
              <w:rPr>
                <w:rFonts w:ascii="Times New Roman" w:hAnsi="Times New Roman"/>
                <w:sz w:val="20"/>
              </w:rPr>
              <w:t xml:space="preserve">0.895</w:t>
            </w:r>
          </w:p>
        </w:tc>
        <w:tc>
          <w:tcPr>
            <w:tcW w:type="dxa" w:w="984"/>
          </w:tcPr>
          <w:p>
            <w:pPr>
              <w:pStyle w:val="Compact"/>
              <w:spacing w:line="240" w:lineRule="auto"/>
              <w:jc w:val="center"/>
            </w:pPr>
            <w:r>
              <w:rPr>
                <w:rFonts w:ascii="Times New Roman" w:hAnsi="Times New Roman"/>
                <w:sz w:val="20"/>
              </w:rPr>
              <w:t xml:space="preserve">0.934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0.29</w:t>
            </w:r>
          </w:p>
        </w:tc>
        <w:tc>
          <w:tcPr>
            <w:tcW w:type="dxa" w:w="984"/>
          </w:tcPr>
          <w:p>
            <w:pPr>
              <w:pStyle w:val="Compact"/>
              <w:spacing w:line="240" w:lineRule="auto"/>
              <w:jc w:val="center"/>
            </w:pPr>
            <w:r>
              <w:rPr>
                <w:rFonts w:ascii="Times New Roman" w:hAnsi="Times New Roman"/>
                <w:sz w:val="20"/>
              </w:rPr>
              <w:t xml:space="preserve">23.3</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83k to 143k</w:t>
            </w:r>
          </w:p>
        </w:tc>
        <w:tc>
          <w:tcPr>
            <w:tcW w:type="dxa" w:w="984"/>
          </w:tcPr>
          <w:p>
            <w:pPr>
              <w:pStyle w:val="Compact"/>
              <w:spacing w:line="240" w:lineRule="auto"/>
              <w:jc w:val="center"/>
            </w:pPr>
            <w:r>
              <w:rPr>
                <w:rFonts w:ascii="Times New Roman" w:hAnsi="Times New Roman"/>
                <w:sz w:val="20"/>
              </w:rPr>
              <w:t xml:space="preserve">0.554</w:t>
            </w:r>
          </w:p>
        </w:tc>
        <w:tc>
          <w:tcPr>
            <w:tcW w:type="dxa" w:w="984"/>
          </w:tcPr>
          <w:p>
            <w:pPr>
              <w:pStyle w:val="Compact"/>
              <w:spacing w:line="240" w:lineRule="auto"/>
              <w:jc w:val="center"/>
            </w:pPr>
            <w:r>
              <w:rPr>
                <w:rFonts w:ascii="Times New Roman" w:hAnsi="Times New Roman"/>
                <w:sz w:val="20"/>
              </w:rPr>
              <w:t xml:space="preserve">0.734</w:t>
            </w:r>
          </w:p>
        </w:tc>
        <w:tc>
          <w:tcPr>
            <w:tcW w:type="dxa" w:w="984"/>
          </w:tcPr>
          <w:p>
            <w:pPr>
              <w:pStyle w:val="Compact"/>
              <w:spacing w:line="240" w:lineRule="auto"/>
              <w:jc w:val="center"/>
            </w:pPr>
            <w:r>
              <w:rPr>
                <w:rFonts w:ascii="Times New Roman" w:hAnsi="Times New Roman"/>
                <w:sz w:val="20"/>
              </w:rPr>
              <w:t xml:space="preserve">0.35</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5.5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Pythia, step 73k to 143k (seed 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3.6</w:t>
            </w:r>
          </w:p>
        </w:tc>
        <w:tc>
          <w:tcPr>
            <w:tcW w:type="dxa" w:w="984"/>
          </w:tcPr>
          <w:p>
            <w:pPr>
              <w:pStyle w:val="Compact"/>
              <w:spacing w:line="240" w:lineRule="auto"/>
              <w:jc w:val="center"/>
            </w:pPr>
            <w:r>
              <w:rPr>
                <w:rFonts w:ascii="Times New Roman" w:hAnsi="Times New Roman"/>
                <w:sz w:val="20"/>
              </w:rPr>
              <w:t xml:space="preserve">[1.78, 4.40)</w:t>
            </w:r>
          </w:p>
        </w:tc>
      </w:tr>
      <w:tr>
        <w:tc>
          <w:tcPr>
            <w:tcW w:type="dxa" w:w="3456"/>
          </w:tcPr>
          <w:p>
            <w:pPr>
              <w:pStyle w:val="Compact"/>
              <w:spacing w:line="240" w:lineRule="auto"/>
              <w:jc w:val="left"/>
            </w:pPr>
            <w:r>
              <w:rPr>
                <w:rFonts w:ascii="Times New Roman" w:hAnsi="Times New Roman"/>
                <w:sz w:val="20"/>
              </w:rPr>
              <w:t xml:space="preserve">Pythia, step 73k to 143k (seed 1)</w:t>
            </w:r>
          </w:p>
        </w:tc>
        <w:tc>
          <w:tcPr>
            <w:tcW w:type="dxa" w:w="984"/>
          </w:tcPr>
          <w:p>
            <w:pPr>
              <w:pStyle w:val="Compact"/>
              <w:spacing w:line="240" w:lineRule="auto"/>
              <w:jc w:val="center"/>
            </w:pPr>
            <w:r>
              <w:rPr>
                <w:rFonts w:ascii="Times New Roman" w:hAnsi="Times New Roman"/>
                <w:sz w:val="20"/>
              </w:rPr>
              <w:t xml:space="preserve">0.359</w:t>
            </w:r>
          </w:p>
        </w:tc>
        <w:tc>
          <w:tcPr>
            <w:tcW w:type="dxa" w:w="984"/>
          </w:tcPr>
          <w:p>
            <w:pPr>
              <w:pStyle w:val="Compact"/>
              <w:spacing w:line="240" w:lineRule="auto"/>
              <w:jc w:val="center"/>
            </w:pPr>
            <w:r>
              <w:rPr>
                <w:rFonts w:ascii="Times New Roman" w:hAnsi="Times New Roman"/>
                <w:sz w:val="20"/>
              </w:rPr>
              <w:t xml:space="preserve">0.692</w:t>
            </w:r>
          </w:p>
        </w:tc>
        <w:tc>
          <w:tcPr>
            <w:tcW w:type="dxa" w:w="984"/>
          </w:tcPr>
          <w:p>
            <w:pPr>
              <w:pStyle w:val="Compact"/>
              <w:spacing w:line="240" w:lineRule="auto"/>
              <w:jc w:val="center"/>
            </w:pPr>
            <w:r>
              <w:rPr>
                <w:rFonts w:ascii="Times New Roman" w:hAnsi="Times New Roman"/>
                <w:sz w:val="20"/>
              </w:rPr>
              <w:t xml:space="preserve">0.30</w:t>
            </w:r>
          </w:p>
        </w:tc>
        <w:tc>
          <w:tcPr>
            <w:tcW w:type="dxa" w:w="984"/>
          </w:tcPr>
          <w:p>
            <w:pPr>
              <w:pStyle w:val="Compact"/>
              <w:spacing w:line="240" w:lineRule="auto"/>
              <w:jc w:val="center"/>
            </w:pPr>
            <w:r>
              <w:rPr>
                <w:rFonts w:ascii="Times New Roman" w:hAnsi="Times New Roman"/>
                <w:sz w:val="20"/>
              </w:rPr>
              <w:t xml:space="preserve">0.43</w:t>
            </w:r>
          </w:p>
        </w:tc>
        <w:tc>
          <w:tcPr>
            <w:tcW w:type="dxa" w:w="984"/>
          </w:tcPr>
          <w:p>
            <w:pPr>
              <w:pStyle w:val="Compact"/>
              <w:spacing w:line="240" w:lineRule="auto"/>
              <w:jc w:val="center"/>
            </w:pPr>
            <w:r>
              <w:rPr>
                <w:rFonts w:ascii="Times New Roman" w:hAnsi="Times New Roman"/>
                <w:sz w:val="20"/>
              </w:rPr>
              <w:t xml:space="preserve">3.8</w:t>
            </w:r>
          </w:p>
        </w:tc>
        <w:tc>
          <w:tcPr>
            <w:tcW w:type="dxa" w:w="984"/>
          </w:tcPr>
          <w:p>
            <w:pPr>
              <w:pStyle w:val="Compact"/>
              <w:spacing w:line="240" w:lineRule="auto"/>
              <w:jc w:val="center"/>
            </w:pPr>
            <w:r>
              <w:rPr>
                <w:rFonts w:ascii="Times New Roman" w:hAnsi="Times New Roman"/>
                <w:sz w:val="20"/>
              </w:rPr>
              <w:t xml:space="preserve">[1.73, 4.49)</w:t>
            </w:r>
          </w:p>
        </w:tc>
      </w:tr>
      <w:tr>
        <w:tc>
          <w:tcPr>
            <w:tcW w:type="dxa" w:w="3456"/>
          </w:tcPr>
          <w:p>
            <w:pPr>
              <w:pStyle w:val="Compact"/>
              <w:spacing w:line="240" w:lineRule="auto"/>
              <w:jc w:val="left"/>
            </w:pPr>
            <w:r>
              <w:rPr>
                <w:rFonts w:ascii="Times New Roman" w:hAnsi="Times New Roman"/>
                <w:sz w:val="20"/>
              </w:rPr>
              <w:t xml:space="preserve">SmolLM2-360M, base to instruct</w:t>
            </w:r>
          </w:p>
        </w:tc>
        <w:tc>
          <w:tcPr>
            <w:tcW w:type="dxa" w:w="984"/>
          </w:tcPr>
          <w:p>
            <w:pPr>
              <w:pStyle w:val="Compact"/>
              <w:spacing w:line="240" w:lineRule="auto"/>
              <w:jc w:val="center"/>
            </w:pPr>
            <w:r>
              <w:rPr>
                <w:rFonts w:ascii="Times New Roman" w:hAnsi="Times New Roman"/>
                <w:sz w:val="20"/>
              </w:rPr>
              <w:t xml:space="preserve">0.706</w:t>
            </w:r>
          </w:p>
        </w:tc>
        <w:tc>
          <w:tcPr>
            <w:tcW w:type="dxa" w:w="984"/>
          </w:tcPr>
          <w:p>
            <w:pPr>
              <w:pStyle w:val="Compact"/>
              <w:spacing w:line="240" w:lineRule="auto"/>
              <w:jc w:val="center"/>
            </w:pPr>
            <w:r>
              <w:rPr>
                <w:rFonts w:ascii="Times New Roman" w:hAnsi="Times New Roman"/>
                <w:sz w:val="20"/>
              </w:rPr>
              <w:t xml:space="preserve">0.700</w:t>
            </w:r>
          </w:p>
        </w:tc>
        <w:tc>
          <w:tcPr>
            <w:tcW w:type="dxa" w:w="984"/>
          </w:tcPr>
          <w:p>
            <w:pPr>
              <w:pStyle w:val="Compact"/>
              <w:spacing w:line="240" w:lineRule="auto"/>
              <w:jc w:val="center"/>
            </w:pPr>
            <w:r>
              <w:rPr>
                <w:rFonts w:ascii="Times New Roman" w:hAnsi="Times New Roman"/>
                <w:sz w:val="20"/>
              </w:rPr>
              <w:t xml:space="preserve">0.65</w:t>
            </w:r>
          </w:p>
        </w:tc>
        <w:tc>
          <w:tcPr>
            <w:tcW w:type="dxa" w:w="984"/>
          </w:tcPr>
          <w:p>
            <w:pPr>
              <w:pStyle w:val="Compact"/>
              <w:spacing w:line="240" w:lineRule="auto"/>
              <w:jc w:val="center"/>
            </w:pPr>
            <w:r>
              <w:rPr>
                <w:rFonts w:ascii="Times New Roman" w:hAnsi="Times New Roman"/>
                <w:sz w:val="20"/>
              </w:rPr>
              <w:t xml:space="preserve">0.00</w:t>
            </w:r>
          </w:p>
        </w:tc>
        <w:tc>
          <w:tcPr>
            <w:tcW w:type="dxa" w:w="984"/>
          </w:tcPr>
          <w:p>
            <w:pPr>
              <w:pStyle w:val="Compact"/>
              <w:spacing w:line="240" w:lineRule="auto"/>
              <w:jc w:val="center"/>
            </w:pPr>
            <w:r>
              <w:rPr>
                <w:rFonts w:ascii="Times New Roman" w:hAnsi="Times New Roman"/>
                <w:sz w:val="20"/>
              </w:rPr>
              <w:t xml:space="preserve">8.4</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rPr>
          <w:bCs/>
          <w:b/>
        </w:rPr>
        <w:t xml:space="preserve">Results.</w:t>
      </w:r>
      <w:r>
        <w:t xml:space="preserve"> </w:t>
      </w:r>
      <w:r>
        <w:t xml:space="preserve">Copying degrades sharply with the size of the upgrade. Across the five Pythia upgrades the activation drift rises from 0.25 to 0.31, 0.36, 0.56, and 0.60, and</w:t>
      </w:r>
      <w:r>
        <w:t xml:space="preserve"> </w:t>
      </w:r>
      <w:r>
        <w:t xml:space="preserve">copy recovery falls from 0.956 to 0.928, 0.895, 0.554, and 0.319 (0.359 on the second seed). ACT’s gain over copying rises in the same order:</w:t>
      </w:r>
      <w:r>
        <w:t xml:space="preserve"> </w:t>
      </w:r>
      <m:oMath>
        <m:r>
          <m:rPr>
            <m:sty m:val="p"/>
          </m:rPr>
          <m:t>−</m:t>
        </m:r>
        <m:r>
          <m:t>0.004</m:t>
        </m:r>
      </m:oMath>
      <w:r>
        <w:t xml:space="preserve">,</w:t>
      </w:r>
      <w:r>
        <w:t xml:space="preserve"> </w:t>
      </w:r>
      <m:oMath>
        <m:r>
          <m:rPr>
            <m:sty m:val="p"/>
          </m:rPr>
          <m:t>+</m:t>
        </m:r>
        <m:r>
          <m:t>0.011</m:t>
        </m:r>
      </m:oMath>
      <w:r>
        <w:t xml:space="preserve">,</w:t>
      </w:r>
      <w:r>
        <w:t xml:space="preserve"> </w:t>
      </w:r>
      <m:oMath>
        <m:r>
          <m:rPr>
            <m:sty m:val="p"/>
          </m:rPr>
          <m:t>+</m:t>
        </m:r>
        <m:r>
          <m:t>0.039</m:t>
        </m:r>
      </m:oMath>
      <w:r>
        <w:t xml:space="preserve">,</w:t>
      </w:r>
      <w:r>
        <w:t xml:space="preserve"> </w:t>
      </w:r>
      <m:oMath>
        <m:r>
          <m:rPr>
            <m:sty m:val="p"/>
          </m:rPr>
          <m:t>+</m:t>
        </m:r>
        <m:r>
          <m:t>0.180</m:t>
        </m:r>
      </m:oMath>
      <w:r>
        <w:t xml:space="preserve">, and</w:t>
      </w:r>
      <w:r>
        <w:t xml:space="preserve"> </w:t>
      </w:r>
      <m:oMath>
        <m:r>
          <m:rPr>
            <m:sty m:val="p"/>
          </m:rPr>
          <m:t>+</m:t>
        </m:r>
        <m:r>
          <m:t>0.398</m:t>
        </m:r>
      </m:oMath>
      <w:r>
        <w:t xml:space="preserve"> </w:t>
      </w:r>
      <w:r>
        <w:t xml:space="preserve">(</w:t>
      </w:r>
      <m:oMath>
        <m:r>
          <m:rPr>
            <m:sty m:val="p"/>
          </m:rPr>
          <m:t>+</m:t>
        </m:r>
        <m:r>
          <m:t>0.333</m:t>
        </m:r>
      </m:oMath>
      <w:r>
        <w:t xml:space="preserve"> </w:t>
      </w:r>
      <w:r>
        <w:t xml:space="preserve">on the second seed).</w:t>
      </w:r>
    </w:p>
    <w:p>
      <w:pPr>
        <w:pStyle w:val="BodyText"/>
      </w:pPr>
      <w:r>
        <w:t xml:space="preserve">Whether the gain is worth paying for depends on its cost. At the measured cost ratio of about 0.35, ACT’s gain falls short of the break-even in the four smaller Pythia upgrades, narrowly in the largest of them: at a drift of 0.56 it recovers 0.73 against a break-even of 0.75 (</w:t>
      </w:r>
      <m:oMath>
        <m:r>
          <m:t>Γ</m:t>
        </m:r>
        <m:r>
          <m:rPr>
            <m:sty m:val="p"/>
          </m:rPr>
          <m:t>=</m:t>
        </m:r>
        <m:r>
          <m:t>0.32</m:t>
        </m:r>
      </m:oMath>
      <w:r>
        <w:t xml:space="preserve"> </w:t>
      </w:r>
      <w:r>
        <w:t xml:space="preserve">against</w:t>
      </w:r>
      <w:r>
        <w:t xml:space="preserve"> </w:t>
      </w:r>
      <m:oMath>
        <m:sSub>
          <m:e>
            <m:r>
              <m:t>C</m:t>
            </m:r>
          </m:e>
          <m:sub>
            <m:r>
              <m:t>A</m:t>
            </m:r>
          </m:sub>
        </m:sSub>
        <m:r>
          <m:rPr>
            <m:sty m:val="p"/>
          </m:rPr>
          <m:t>=</m:t>
        </m:r>
        <m:r>
          <m:t>0.35</m:t>
        </m:r>
      </m:oMath>
      <w:r>
        <w:t xml:space="preserve">).</w:t>
      </w:r>
      <w:r>
        <w:t xml:space="preserve"> </w:t>
      </w:r>
      <w:r>
        <w:t xml:space="preserve">Only after the largest upgrade does it clear the bar. There ACT recovers 0.69 to 0.72 of the retraining benefit at 30% to 36% of the retraining compute time, which makes it the cost-minimizing policy for adapters</w:t>
      </w:r>
      <w:r>
        <w:t xml:space="preserve"> </w:t>
      </w:r>
      <w:r>
        <w:t xml:space="preserve">whose annual value lies between about 1.8 and 4.4 times</w:t>
      </w:r>
      <w:r>
        <w:t xml:space="preserve"> </w:t>
      </w:r>
      <m:oMath>
        <m:sSub>
          <m:e>
            <m:r>
              <m:t>C</m:t>
            </m:r>
          </m:e>
          <m:sub>
            <m:r>
              <m:t>N</m:t>
            </m:r>
          </m:sub>
        </m:sSub>
      </m:oMath>
      <w:r>
        <w:t xml:space="preserve"> </w:t>
      </w:r>
      <w:r>
        <w:t xml:space="preserve">(Table 5): below that range, keep the copy; above it, retrain immediately. A cheaper implementation would move the boundary: at a cost of</w:t>
      </w:r>
      <w:r>
        <w:t xml:space="preserve"> </w:t>
      </w:r>
      <m:oMath>
        <m:r>
          <m:t>0.05</m:t>
        </m:r>
        <m:sSub>
          <m:e>
            <m:r>
              <m:t>C</m:t>
            </m:r>
          </m:e>
          <m:sub>
            <m:r>
              <m:t>N</m:t>
            </m:r>
          </m:sub>
        </m:sSub>
      </m:oMath>
      <w:r>
        <w:t xml:space="preserve">, the gain at a drift of 0.56 would already be worth paying for (break-even recovery 0.59).</w:t>
      </w:r>
    </w:p>
    <w:p>
      <w:pPr>
        <w:pStyle w:val="BodyText"/>
      </w:pPr>
      <w:r>
        <w:t xml:space="preserve">The instruction-tuned pair is an exception that we cannot explain. Copy recovers 71%, which leaves room for improvement, and the activation drift (0.27) is similar to that of the small Pythia upgrades, but ACT recovers 70%, no more than copy, at 65% of the retraining compute time.</w:t>
      </w:r>
      <w:r>
        <w:t xml:space="preserve"> </w:t>
      </w:r>
      <w:r>
        <w:t xml:space="preserve">A shorter-schedule re-run of this pair on a different machine (100 steps, batch 2, 60 evaluation examples) gives the same conclusion (</w:t>
      </w:r>
      <m:oMath>
        <m:sSub>
          <m:e>
            <m:r>
              <m:t>R</m:t>
            </m:r>
          </m:e>
          <m:sub>
            <m:r>
              <m:t>C</m:t>
            </m:r>
          </m:sub>
        </m:sSub>
        <m:r>
          <m:rPr>
            <m:sty m:val="p"/>
          </m:rPr>
          <m:t>=</m:t>
        </m:r>
        <m:r>
          <m:t>0.871</m:t>
        </m:r>
      </m:oMath>
      <w:r>
        <w:t xml:space="preserve">,</w:t>
      </w:r>
      <w:r>
        <w:t xml:space="preserve"> </w:t>
      </w:r>
      <m:oMath>
        <m:sSub>
          <m:e>
            <m:r>
              <m:t>R</m:t>
            </m:r>
          </m:e>
          <m:sub>
            <m:r>
              <m:t>A</m:t>
            </m:r>
          </m:sub>
        </m:sSub>
        <m:r>
          <m:rPr>
            <m:sty m:val="p"/>
          </m:rPr>
          <m:t>=</m:t>
        </m:r>
        <m:r>
          <m:t>0.869</m:t>
        </m:r>
      </m:oMath>
      <w:r>
        <w:t xml:space="preserve">); its cost ratio of 3.13 reflects the shortened retraining and is not comparable.</w:t>
      </w:r>
      <w:r>
        <w:t xml:space="preserve"> </w:t>
      </w:r>
      <w:r>
        <w:t xml:space="preserve">We note that</w:t>
      </w:r>
      <w:r>
        <w:t xml:space="preserve"> </w:t>
      </w:r>
      <m:oMath>
        <m:sSub>
          <m:e>
            <m:r>
              <m:t>C</m:t>
            </m:r>
          </m:e>
          <m:sub>
            <m:r>
              <m:t>N</m:t>
            </m:r>
          </m:sub>
        </m:sSub>
      </m:oMath>
      <w:r>
        <w:t xml:space="preserve"> </w:t>
      </w:r>
      <w:r>
        <w:t xml:space="preserve">here contains compute only. Adding data acquisition and revalidation labor lowers every</w:t>
      </w:r>
      <w:r>
        <w:t xml:space="preserve"> </w:t>
      </w:r>
      <m:oMath>
        <m:sSub>
          <m:e>
            <m:r>
              <m:t>C</m:t>
            </m:r>
          </m:e>
          <m:sub>
            <m:r>
              <m:t>A</m:t>
            </m:r>
          </m:sub>
        </m:sSub>
        <m:r>
          <m:rPr>
            <m:sty m:val="p"/>
          </m:rPr>
          <m:t>/</m:t>
        </m:r>
        <m:sSub>
          <m:e>
            <m:r>
              <m:t>C</m:t>
            </m:r>
          </m:e>
          <m:sub>
            <m:r>
              <m:t>N</m:t>
            </m:r>
          </m:sub>
        </m:sSub>
      </m:oMath>
      <w:r>
        <w:t xml:space="preserve"> </w:t>
      </w:r>
      <w:r>
        <w:t xml:space="preserve">and raises every threshold.</w:t>
      </w:r>
    </w:p>
    <w:p>
      <w:pPr>
        <w:pStyle w:val="BodyText"/>
      </w:pPr>
      <w:r>
        <w:rPr>
          <w:bCs/>
          <w:b/>
        </w:rPr>
        <w:t xml:space="preserve">Model size.</w:t>
      </w:r>
      <w:r>
        <w:t xml:space="preserve"> </w:t>
      </w:r>
      <w:r>
        <w:t xml:space="preserve">To check whether the pattern depends on scale, we repeat the smallest, a medium, and the largest upgrade at 70 million parameters, and the largest upgrade at 410 million parameters (Table 6); the 160-million row is repeated for comparison.</w:t>
      </w:r>
      <w:r>
        <w:t xml:space="preserve"> </w:t>
      </w:r>
      <w:r>
        <w:t xml:space="preserve">The shape repeats at 70 million: copy recovery falls from 0.972 to 0.933 to 0.621 as the drift rises from 0.25 to 0.32 to 0.49, and ACT’s gain rises from</w:t>
      </w:r>
      <w:r>
        <w:t xml:space="preserve"> </w:t>
      </w:r>
      <m:oMath>
        <m:r>
          <m:rPr>
            <m:sty m:val="p"/>
          </m:rPr>
          <m:t>+</m:t>
        </m:r>
        <m:r>
          <m:t>0.002</m:t>
        </m:r>
      </m:oMath>
      <w:r>
        <w:t xml:space="preserve"> </w:t>
      </w:r>
      <w:r>
        <w:t xml:space="preserve">to</w:t>
      </w:r>
      <w:r>
        <w:t xml:space="preserve"> </w:t>
      </w:r>
      <m:oMath>
        <m:r>
          <m:rPr>
            <m:sty m:val="p"/>
          </m:rPr>
          <m:t>+</m:t>
        </m:r>
        <m:r>
          <m:t>0.026</m:t>
        </m:r>
      </m:oMath>
      <w:r>
        <w:t xml:space="preserve"> </w:t>
      </w:r>
      <w:r>
        <w:t xml:space="preserve">to</w:t>
      </w:r>
      <w:r>
        <w:t xml:space="preserve"> </w:t>
      </w:r>
      <m:oMath>
        <m:r>
          <m:rPr>
            <m:sty m:val="p"/>
          </m:rPr>
          <m:t>+</m:t>
        </m:r>
        <m:r>
          <m:t>0.171</m:t>
        </m:r>
      </m:oMath>
      <w:r>
        <w:t xml:space="preserve">. ACT is cheaper relative to retraining at this size (0.14 to 0.16), so it already pays after the medium upgrade, for adapter values between about 12 and 42 times</w:t>
      </w:r>
      <w:r>
        <w:t xml:space="preserve"> </w:t>
      </w:r>
      <m:oMath>
        <m:sSub>
          <m:e>
            <m:r>
              <m:t>C</m:t>
            </m:r>
          </m:e>
          <m:sub>
            <m:r>
              <m:t>N</m:t>
            </m:r>
          </m:sub>
        </m:sSub>
      </m:oMath>
      <w:r>
        <w:t xml:space="preserve">, and over a range of 1.6 to 8.4 after the largest.</w:t>
      </w:r>
      <w:r>
        <w:t xml:space="preserve"> </w:t>
      </w:r>
      <w:r>
        <w:t xml:space="preserve">At 410 million parameters ACT again improves on copying after the largest upgrade (recovery 0.63 against 0.47, a gain of 0.16), but its compute time relative to retraining has risen to 0.70, so the gain is smaller than the break-even (</w:t>
      </w:r>
      <m:oMath>
        <m:r>
          <m:t>Γ</m:t>
        </m:r>
        <m:r>
          <m:rPr>
            <m:sty m:val="p"/>
          </m:rPr>
          <m:t>=</m:t>
        </m:r>
        <m:r>
          <m:t>0.23</m:t>
        </m:r>
      </m:oMath>
      <w:r>
        <w:t xml:space="preserve"> </w:t>
      </w:r>
      <w:r>
        <w:t xml:space="preserve">against</w:t>
      </w:r>
      <w:r>
        <w:t xml:space="preserve"> </w:t>
      </w:r>
      <m:oMath>
        <m:sSub>
          <m:e>
            <m:r>
              <m:t>C</m:t>
            </m:r>
          </m:e>
          <m:sub>
            <m:r>
              <m:t>A</m:t>
            </m:r>
          </m:sub>
        </m:sSub>
        <m:r>
          <m:rPr>
            <m:sty m:val="p"/>
          </m:rPr>
          <m:t>=</m:t>
        </m:r>
        <m:r>
          <m:t>0.70</m:t>
        </m:r>
      </m:oMath>
      <w:r>
        <w:t xml:space="preserve">) and ACT is never the cost-minimizing policy.</w:t>
      </w:r>
    </w:p>
    <w:p>
      <w:pPr>
        <w:pStyle w:val="TableCaption"/>
      </w:pPr>
      <w:r>
        <w:t xml:space="preserve">The same pattern at three model sizes (Pythia; step 73k to 143k unless noted). Cost ratio is compute time of ACT over compute time of retraining;</w:t>
      </w:r>
      <w:r>
        <w:t xml:space="preserve"> </w:t>
      </w:r>
      <m:oMath>
        <m:r>
          <m:t>Γ</m:t>
        </m:r>
      </m:oMath>
      <w:r>
        <w:t xml:space="preserve"> </w:t>
      </w:r>
      <w:r>
        <w:t xml:space="preserve">and ACT-optimal range use each run’s own cost ratio.</w:t>
      </w:r>
    </w:p>
    <w:tbl>
      <w:tblPr>
        <w:tblStyle w:val="Table"/>
        <w:tblW w:type="dxa" w:w="9360"/>
        <w:tblLook w:firstRow="1" w:lastRow="0" w:firstColumn="0" w:lastColumn="0" w:noHBand="0" w:noVBand="0" w:val="0020"/>
        <w:jc w:val="start"/>
        <w:tblCaption w:val="The same pattern at three model sizes (Pythia; step 73k to 143k unless noted). Cost ratio is compute time of ACT over compute time of retraining; \Gamma and ACT-optimal range use each run’s own cost ratio."/>
        <w:tblLayout w:type="fixed"/>
        <w:tblBorders>
          <w:top w:val="single" w:sz="12" w:color="000000"/>
          <w:bottom w:val="single" w:sz="12" w:color="000000"/>
        </w:tblBorders>
      </w:tblPr>
      <w:tblGrid>
        <w:gridCol w:w="3456"/>
        <w:gridCol w:w="983"/>
        <w:gridCol w:w="983"/>
        <w:gridCol w:w="983"/>
        <w:gridCol w:w="983"/>
        <w:gridCol w:w="983"/>
        <w:gridCol w:w="983"/>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Model and upgrade</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Drift</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C</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R</w:t>
            </w:r>
            <w:r>
              <w:rPr>
                <w:rFonts w:ascii="Times New Roman" w:hAnsi="Times New Roman"/>
                <w:sz w:val="20"/>
                <w:vertAlign w:val="subscript"/>
              </w:rPr>
              <w:t xml:space="preserve">A</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C</w:t>
            </w:r>
            <w:r>
              <w:rPr>
                <w:rFonts w:ascii="Times New Roman" w:hAnsi="Times New Roman"/>
                <w:sz w:val="20"/>
                <w:vertAlign w:val="subscript"/>
              </w:rPr>
              <w:t xml:space="preserve">A</w:t>
            </w:r>
            <w:r>
              <w:rPr>
                <w:rFonts w:ascii="Times New Roman" w:hAnsi="Times New Roman"/>
                <w:sz w:val="20"/>
              </w:rPr>
              <w:t xml:space="preserve">/C</w:t>
            </w:r>
            <w:r>
              <w:rPr>
                <w:rFonts w:ascii="Times New Roman" w:hAnsi="Times New Roman"/>
                <w:sz w:val="20"/>
                <w:vertAlign w:val="subscript"/>
              </w:rPr>
              <w:t xml:space="preserve">N</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Γ</w:t>
            </w:r>
          </w:p>
        </w:tc>
        <w:tc>
          <w:tcPr>
            <w:tcW w:type="dxa" w:w="984"/>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70M, step 133k to 143k</w:t>
            </w:r>
          </w:p>
        </w:tc>
        <w:tc>
          <w:tcPr>
            <w:tcW w:type="dxa" w:w="984"/>
          </w:tcPr>
          <w:p>
            <w:pPr>
              <w:pStyle w:val="Compact"/>
              <w:spacing w:line="240" w:lineRule="auto"/>
              <w:jc w:val="center"/>
            </w:pPr>
            <w:r>
              <w:rPr>
                <w:rFonts w:ascii="Times New Roman" w:hAnsi="Times New Roman"/>
                <w:sz w:val="20"/>
              </w:rPr>
              <w:t xml:space="preserve">0.25</w:t>
            </w:r>
          </w:p>
        </w:tc>
        <w:tc>
          <w:tcPr>
            <w:tcW w:type="dxa" w:w="984"/>
          </w:tcPr>
          <w:p>
            <w:pPr>
              <w:pStyle w:val="Compact"/>
              <w:spacing w:line="240" w:lineRule="auto"/>
              <w:jc w:val="center"/>
            </w:pPr>
            <w:r>
              <w:rPr>
                <w:rFonts w:ascii="Times New Roman" w:hAnsi="Times New Roman"/>
                <w:sz w:val="20"/>
              </w:rPr>
              <w:t xml:space="preserve">0.972</w:t>
            </w:r>
          </w:p>
        </w:tc>
        <w:tc>
          <w:tcPr>
            <w:tcW w:type="dxa" w:w="984"/>
          </w:tcPr>
          <w:p>
            <w:pPr>
              <w:pStyle w:val="Compact"/>
              <w:spacing w:line="240" w:lineRule="auto"/>
              <w:jc w:val="center"/>
            </w:pPr>
            <w:r>
              <w:rPr>
                <w:rFonts w:ascii="Times New Roman" w:hAnsi="Times New Roman"/>
                <w:sz w:val="20"/>
              </w:rPr>
              <w:t xml:space="preserve">0.974</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0.05</w:t>
            </w:r>
          </w:p>
        </w:tc>
        <w:tc>
          <w:tcPr>
            <w:tcW w:type="dxa" w:w="984"/>
          </w:tcPr>
          <w:p>
            <w:pPr>
              <w:pStyle w:val="Compact"/>
              <w:spacing w:line="240" w:lineRule="auto"/>
              <w:jc w:val="center"/>
            </w:pPr>
            <w:r>
              <w:rPr>
                <w:rFonts w:ascii="Times New Roman" w:hAnsi="Times New Roman"/>
                <w:sz w:val="20"/>
              </w:rPr>
              <w:t xml:space="preserve">never</w:t>
            </w:r>
          </w:p>
        </w:tc>
      </w:tr>
      <w:tr>
        <w:tc>
          <w:tcPr>
            <w:tcW w:type="dxa" w:w="3456"/>
          </w:tcPr>
          <w:p>
            <w:pPr>
              <w:pStyle w:val="Compact"/>
              <w:spacing w:line="240" w:lineRule="auto"/>
              <w:jc w:val="left"/>
            </w:pPr>
            <w:r>
              <w:rPr>
                <w:rFonts w:ascii="Times New Roman" w:hAnsi="Times New Roman"/>
                <w:sz w:val="20"/>
              </w:rPr>
              <w:t xml:space="preserve">70M, step 103k to 143k</w:t>
            </w:r>
          </w:p>
        </w:tc>
        <w:tc>
          <w:tcPr>
            <w:tcW w:type="dxa" w:w="984"/>
          </w:tcPr>
          <w:p>
            <w:pPr>
              <w:pStyle w:val="Compact"/>
              <w:spacing w:line="240" w:lineRule="auto"/>
              <w:jc w:val="center"/>
            </w:pPr>
            <w:r>
              <w:rPr>
                <w:rFonts w:ascii="Times New Roman" w:hAnsi="Times New Roman"/>
                <w:sz w:val="20"/>
              </w:rPr>
              <w:t xml:space="preserve">0.32</w:t>
            </w:r>
          </w:p>
        </w:tc>
        <w:tc>
          <w:tcPr>
            <w:tcW w:type="dxa" w:w="984"/>
          </w:tcPr>
          <w:p>
            <w:pPr>
              <w:pStyle w:val="Compact"/>
              <w:spacing w:line="240" w:lineRule="auto"/>
              <w:jc w:val="center"/>
            </w:pPr>
            <w:r>
              <w:rPr>
                <w:rFonts w:ascii="Times New Roman" w:hAnsi="Times New Roman"/>
                <w:sz w:val="20"/>
              </w:rPr>
              <w:t xml:space="preserve">0.933</w:t>
            </w:r>
          </w:p>
        </w:tc>
        <w:tc>
          <w:tcPr>
            <w:tcW w:type="dxa" w:w="984"/>
          </w:tcPr>
          <w:p>
            <w:pPr>
              <w:pStyle w:val="Compact"/>
              <w:spacing w:line="240" w:lineRule="auto"/>
              <w:jc w:val="center"/>
            </w:pPr>
            <w:r>
              <w:rPr>
                <w:rFonts w:ascii="Times New Roman" w:hAnsi="Times New Roman"/>
                <w:sz w:val="20"/>
              </w:rPr>
              <w:t xml:space="preserve">0.959</w:t>
            </w:r>
          </w:p>
        </w:tc>
        <w:tc>
          <w:tcPr>
            <w:tcW w:type="dxa" w:w="984"/>
          </w:tcPr>
          <w:p>
            <w:pPr>
              <w:pStyle w:val="Compact"/>
              <w:spacing w:line="240" w:lineRule="auto"/>
              <w:jc w:val="center"/>
            </w:pPr>
            <w:r>
              <w:rPr>
                <w:rFonts w:ascii="Times New Roman" w:hAnsi="Times New Roman"/>
                <w:sz w:val="20"/>
              </w:rPr>
              <w:t xml:space="preserve">0.16</w:t>
            </w:r>
          </w:p>
        </w:tc>
        <w:tc>
          <w:tcPr>
            <w:tcW w:type="dxa" w:w="984"/>
          </w:tcPr>
          <w:p>
            <w:pPr>
              <w:pStyle w:val="Compact"/>
              <w:spacing w:line="240" w:lineRule="auto"/>
              <w:jc w:val="center"/>
            </w:pPr>
            <w:r>
              <w:rPr>
                <w:rFonts w:ascii="Times New Roman" w:hAnsi="Times New Roman"/>
                <w:sz w:val="20"/>
              </w:rPr>
              <w:t xml:space="preserve">0.31</w:t>
            </w:r>
          </w:p>
        </w:tc>
        <w:tc>
          <w:tcPr>
            <w:tcW w:type="dxa" w:w="984"/>
          </w:tcPr>
          <w:p>
            <w:pPr>
              <w:pStyle w:val="Compact"/>
              <w:spacing w:line="240" w:lineRule="auto"/>
              <w:jc w:val="center"/>
            </w:pPr>
            <w:r>
              <w:rPr>
                <w:rFonts w:ascii="Times New Roman" w:hAnsi="Times New Roman"/>
                <w:sz w:val="20"/>
              </w:rPr>
              <w:t xml:space="preserve">[11.7, 42.1)</w:t>
            </w:r>
          </w:p>
        </w:tc>
      </w:tr>
      <w:tr>
        <w:tc>
          <w:tcPr>
            <w:tcW w:type="dxa" w:w="3456"/>
          </w:tcPr>
          <w:p>
            <w:pPr>
              <w:pStyle w:val="Compact"/>
              <w:spacing w:line="240" w:lineRule="auto"/>
              <w:jc w:val="left"/>
            </w:pPr>
            <w:r>
              <w:rPr>
                <w:rFonts w:ascii="Times New Roman" w:hAnsi="Times New Roman"/>
                <w:sz w:val="20"/>
              </w:rPr>
              <w:t xml:space="preserve">70M, step 73k to 143k</w:t>
            </w:r>
          </w:p>
        </w:tc>
        <w:tc>
          <w:tcPr>
            <w:tcW w:type="dxa" w:w="984"/>
          </w:tcPr>
          <w:p>
            <w:pPr>
              <w:pStyle w:val="Compact"/>
              <w:spacing w:line="240" w:lineRule="auto"/>
              <w:jc w:val="center"/>
            </w:pPr>
            <w:r>
              <w:rPr>
                <w:rFonts w:ascii="Times New Roman" w:hAnsi="Times New Roman"/>
                <w:sz w:val="20"/>
              </w:rPr>
              <w:t xml:space="preserve">0.49</w:t>
            </w:r>
          </w:p>
        </w:tc>
        <w:tc>
          <w:tcPr>
            <w:tcW w:type="dxa" w:w="984"/>
          </w:tcPr>
          <w:p>
            <w:pPr>
              <w:pStyle w:val="Compact"/>
              <w:spacing w:line="240" w:lineRule="auto"/>
              <w:jc w:val="center"/>
            </w:pPr>
            <w:r>
              <w:rPr>
                <w:rFonts w:ascii="Times New Roman" w:hAnsi="Times New Roman"/>
                <w:sz w:val="20"/>
              </w:rPr>
              <w:t xml:space="preserve">0.621</w:t>
            </w:r>
          </w:p>
        </w:tc>
        <w:tc>
          <w:tcPr>
            <w:tcW w:type="dxa" w:w="984"/>
          </w:tcPr>
          <w:p>
            <w:pPr>
              <w:pStyle w:val="Compact"/>
              <w:spacing w:line="240" w:lineRule="auto"/>
              <w:jc w:val="center"/>
            </w:pPr>
            <w:r>
              <w:rPr>
                <w:rFonts w:ascii="Times New Roman" w:hAnsi="Times New Roman"/>
                <w:sz w:val="20"/>
              </w:rPr>
              <w:t xml:space="preserve">0.791</w:t>
            </w:r>
          </w:p>
        </w:tc>
        <w:tc>
          <w:tcPr>
            <w:tcW w:type="dxa" w:w="984"/>
          </w:tcPr>
          <w:p>
            <w:pPr>
              <w:pStyle w:val="Compact"/>
              <w:spacing w:line="240" w:lineRule="auto"/>
              <w:jc w:val="center"/>
            </w:pPr>
            <w:r>
              <w:rPr>
                <w:rFonts w:ascii="Times New Roman" w:hAnsi="Times New Roman"/>
                <w:sz w:val="20"/>
              </w:rPr>
              <w:t xml:space="preserve">0.14</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[1.6, 8.4)</w:t>
            </w:r>
          </w:p>
        </w:tc>
      </w:tr>
      <w:tr>
        <w:tc>
          <w:tcPr>
            <w:tcW w:type="dxa" w:w="3456"/>
          </w:tcPr>
          <w:p>
            <w:pPr>
              <w:pStyle w:val="Compact"/>
              <w:spacing w:line="240" w:lineRule="auto"/>
              <w:jc w:val="left"/>
            </w:pPr>
            <w:r>
              <w:rPr>
                <w:rFonts w:ascii="Times New Roman" w:hAnsi="Times New Roman"/>
                <w:sz w:val="20"/>
              </w:rPr>
              <w:t xml:space="preserve">160M, step 73k to 143k (seed 0)</w:t>
            </w:r>
          </w:p>
        </w:tc>
        <w:tc>
          <w:tcPr>
            <w:tcW w:type="dxa" w:w="984"/>
          </w:tcPr>
          <w:p>
            <w:pPr>
              <w:pStyle w:val="Compact"/>
              <w:spacing w:line="240" w:lineRule="auto"/>
              <w:jc w:val="center"/>
            </w:pPr>
            <w:r>
              <w:rPr>
                <w:rFonts w:ascii="Times New Roman" w:hAnsi="Times New Roman"/>
                <w:sz w:val="20"/>
              </w:rPr>
              <w:t xml:space="preserve">0.60</w:t>
            </w:r>
          </w:p>
        </w:tc>
        <w:tc>
          <w:tcPr>
            <w:tcW w:type="dxa" w:w="984"/>
          </w:tcPr>
          <w:p>
            <w:pPr>
              <w:pStyle w:val="Compact"/>
              <w:spacing w:line="240" w:lineRule="auto"/>
              <w:jc w:val="center"/>
            </w:pPr>
            <w:r>
              <w:rPr>
                <w:rFonts w:ascii="Times New Roman" w:hAnsi="Times New Roman"/>
                <w:sz w:val="20"/>
              </w:rPr>
              <w:t xml:space="preserve">0.319</w:t>
            </w:r>
          </w:p>
        </w:tc>
        <w:tc>
          <w:tcPr>
            <w:tcW w:type="dxa" w:w="984"/>
          </w:tcPr>
          <w:p>
            <w:pPr>
              <w:pStyle w:val="Compact"/>
              <w:spacing w:line="240" w:lineRule="auto"/>
              <w:jc w:val="center"/>
            </w:pPr>
            <w:r>
              <w:rPr>
                <w:rFonts w:ascii="Times New Roman" w:hAnsi="Times New Roman"/>
                <w:sz w:val="20"/>
              </w:rPr>
              <w:t xml:space="preserve">0.717</w:t>
            </w:r>
          </w:p>
        </w:tc>
        <w:tc>
          <w:tcPr>
            <w:tcW w:type="dxa" w:w="984"/>
          </w:tcPr>
          <w:p>
            <w:pPr>
              <w:pStyle w:val="Compact"/>
              <w:spacing w:line="240" w:lineRule="auto"/>
              <w:jc w:val="center"/>
            </w:pPr>
            <w:r>
              <w:rPr>
                <w:rFonts w:ascii="Times New Roman" w:hAnsi="Times New Roman"/>
                <w:sz w:val="20"/>
              </w:rPr>
              <w:t xml:space="preserve">0.36</w:t>
            </w:r>
          </w:p>
        </w:tc>
        <w:tc>
          <w:tcPr>
            <w:tcW w:type="dxa" w:w="984"/>
          </w:tcPr>
          <w:p>
            <w:pPr>
              <w:pStyle w:val="Compact"/>
              <w:spacing w:line="240" w:lineRule="auto"/>
              <w:jc w:val="center"/>
            </w:pPr>
            <w:r>
              <w:rPr>
                <w:rFonts w:ascii="Times New Roman" w:hAnsi="Times New Roman"/>
                <w:sz w:val="20"/>
              </w:rPr>
              <w:t xml:space="preserve">0.50</w:t>
            </w:r>
          </w:p>
        </w:tc>
        <w:tc>
          <w:tcPr>
            <w:tcW w:type="dxa" w:w="984"/>
          </w:tcPr>
          <w:p>
            <w:pPr>
              <w:pStyle w:val="Compact"/>
              <w:spacing w:line="240" w:lineRule="auto"/>
              <w:jc w:val="center"/>
            </w:pPr>
            <w:r>
              <w:rPr>
                <w:rFonts w:ascii="Times New Roman" w:hAnsi="Times New Roman"/>
                <w:sz w:val="20"/>
              </w:rPr>
              <w:t xml:space="preserve">[1.8, 4.4)</w:t>
            </w:r>
          </w:p>
        </w:tc>
      </w:tr>
      <w:tr>
        <w:tc>
          <w:tcPr>
            <w:tcW w:type="dxa" w:w="3456"/>
          </w:tcPr>
          <w:p>
            <w:pPr>
              <w:pStyle w:val="Compact"/>
              <w:spacing w:line="240" w:lineRule="auto"/>
              <w:jc w:val="left"/>
            </w:pPr>
            <w:r>
              <w:rPr>
                <w:rFonts w:ascii="Times New Roman" w:hAnsi="Times New Roman"/>
                <w:sz w:val="20"/>
              </w:rPr>
              <w:t xml:space="preserve">410M, step 73k to 143k</w:t>
            </w:r>
          </w:p>
        </w:tc>
        <w:tc>
          <w:tcPr>
            <w:tcW w:type="dxa" w:w="984"/>
          </w:tcPr>
          <w:p>
            <w:pPr>
              <w:pStyle w:val="Compact"/>
              <w:spacing w:line="240" w:lineRule="auto"/>
              <w:jc w:val="center"/>
            </w:pPr>
            <w:r>
              <w:rPr>
                <w:rFonts w:ascii="Times New Roman" w:hAnsi="Times New Roman"/>
                <w:sz w:val="20"/>
              </w:rPr>
              <w:t xml:space="preserve">0.46</w:t>
            </w:r>
          </w:p>
        </w:tc>
        <w:tc>
          <w:tcPr>
            <w:tcW w:type="dxa" w:w="984"/>
          </w:tcPr>
          <w:p>
            <w:pPr>
              <w:pStyle w:val="Compact"/>
              <w:spacing w:line="240" w:lineRule="auto"/>
              <w:jc w:val="center"/>
            </w:pPr>
            <w:r>
              <w:rPr>
                <w:rFonts w:ascii="Times New Roman" w:hAnsi="Times New Roman"/>
                <w:sz w:val="20"/>
              </w:rPr>
              <w:t xml:space="preserve">0.472</w:t>
            </w:r>
          </w:p>
        </w:tc>
        <w:tc>
          <w:tcPr>
            <w:tcW w:type="dxa" w:w="984"/>
          </w:tcPr>
          <w:p>
            <w:pPr>
              <w:pStyle w:val="Compact"/>
              <w:spacing w:line="240" w:lineRule="auto"/>
              <w:jc w:val="center"/>
            </w:pPr>
            <w:r>
              <w:rPr>
                <w:rFonts w:ascii="Times New Roman" w:hAnsi="Times New Roman"/>
                <w:sz w:val="20"/>
              </w:rPr>
              <w:t xml:space="preserve">0.631</w:t>
            </w:r>
          </w:p>
        </w:tc>
        <w:tc>
          <w:tcPr>
            <w:tcW w:type="dxa" w:w="984"/>
          </w:tcPr>
          <w:p>
            <w:pPr>
              <w:pStyle w:val="Compact"/>
              <w:spacing w:line="240" w:lineRule="auto"/>
              <w:jc w:val="center"/>
            </w:pPr>
            <w:r>
              <w:rPr>
                <w:rFonts w:ascii="Times New Roman" w:hAnsi="Times New Roman"/>
                <w:sz w:val="20"/>
              </w:rPr>
              <w:t xml:space="preserve">0.70</w:t>
            </w:r>
          </w:p>
        </w:tc>
        <w:tc>
          <w:tcPr>
            <w:tcW w:type="dxa" w:w="984"/>
          </w:tcPr>
          <w:p>
            <w:pPr>
              <w:pStyle w:val="Compact"/>
              <w:spacing w:line="240" w:lineRule="auto"/>
              <w:jc w:val="center"/>
            </w:pPr>
            <w:r>
              <w:rPr>
                <w:rFonts w:ascii="Times New Roman" w:hAnsi="Times New Roman"/>
                <w:sz w:val="20"/>
              </w:rPr>
              <w:t xml:space="preserve">0.23</w:t>
            </w:r>
          </w:p>
        </w:tc>
        <w:tc>
          <w:tcPr>
            <w:tcW w:type="dxa" w:w="984"/>
          </w:tcPr>
          <w:p>
            <w:pPr>
              <w:pStyle w:val="Compact"/>
              <w:spacing w:line="240" w:lineRule="auto"/>
              <w:jc w:val="center"/>
            </w:pPr>
            <w:r>
              <w:rPr>
                <w:rFonts w:ascii="Times New Roman" w:hAnsi="Times New Roman"/>
                <w:sz w:val="20"/>
              </w:rPr>
              <w:t xml:space="preserve">never</w:t>
            </w:r>
          </w:p>
        </w:tc>
      </w:tr>
    </w:tbl>
    <w:p>
      <w:pPr>
        <w:pStyle w:val="BodyText"/>
      </w:pPr>
      <w:r>
        <w:t xml:space="preserve">The cost ratio is the quantity that changes with scale. Retraining time grows roughly in proportion to model size (207, 467, and 1</w:t>
      </w:r>
      <w:r>
        <w:t xml:space="preserve">,</w:t>
      </w:r>
      <w:r>
        <w:t xml:space="preserve">171 seconds at 70, 160, and 410 million parameters), but ACT’s time grows faster (29, 168, and 815 seconds). We have not isolated the reason. A plausible one is that the implementation solves several linear systems per module in every layer, which may grow faster with width than gradient training does, but we did not test this. The effect is a property of our implementation rather than of the method, and a cheaper implementation would shift the boundary of the useful range. It shows, however, that a transfer method’s gain and its cost have to be measured at the scale at which it will be used. The 410-million run is a single upgrade with a single seed, and its drift (0.46) is lower than that of the 160-million run it is compared with (0.60).</w:t>
      </w:r>
    </w:p>
    <w:bookmarkEnd w:id="26"/>
    <w:bookmarkStart w:id="27" w:name="where-does-act-help"/>
    <w:p>
      <w:pPr>
        <w:pStyle w:val="Heading1"/>
      </w:pPr>
      <w:r>
        <w:t xml:space="preserve">8. Where Does ACT Help?</w:t>
      </w:r>
    </w:p>
    <w:p>
      <w:pPr>
        <w:pStyle w:val="FirstParagraph"/>
      </w:pPr>
      <w:r>
        <w:rPr>
          <w:bCs/>
          <w:b/>
        </w:rPr>
        <w:t xml:space="preserve">Dependence on upgrade size.</w:t>
      </w:r>
      <w:r>
        <w:t xml:space="preserve"> </w:t>
      </w:r>
      <w:r>
        <w:t xml:space="preserve">Across the five Pythia upgrades, ACT’s gain over copying rises monotonically with the activation drift (Table 5), matching the controlled simulation of Section 6, where the gain also grows with drift (Table 1).</w:t>
      </w:r>
      <w:r>
        <w:t xml:space="preserve"> </w:t>
      </w:r>
      <w:r>
        <w:t xml:space="preserve">The selected anchoring strength is consistent with this account for the largest Pythia upgrade: it falls with activation drift (Spearman</w:t>
      </w:r>
      <w:r>
        <w:t xml:space="preserve"> </w:t>
      </w:r>
      <m:oMath>
        <m:r>
          <m:rPr>
            <m:sty m:val="p"/>
          </m:rPr>
          <m:t>−</m:t>
        </m:r>
        <m:r>
          <m:t>0.35</m:t>
        </m:r>
      </m:oMath>
      <w:r>
        <w:t xml:space="preserve">,</w:t>
      </w:r>
      <w:r>
        <w:t xml:space="preserve"> </w:t>
      </w:r>
      <m:oMath>
        <m:r>
          <m:t>p</m:t>
        </m:r>
        <m:r>
          <m:rPr>
            <m:sty m:val="p"/>
          </m:rPr>
          <m:t>=</m:t>
        </m:r>
        <m:r>
          <m:t>0.016</m:t>
        </m:r>
      </m:oMath>
      <w:r>
        <w:t xml:space="preserve">), as in the simulation (</w:t>
      </w:r>
      <m:oMath>
        <m:r>
          <m:rPr>
            <m:sty m:val="p"/>
          </m:rPr>
          <m:t>−</m:t>
        </m:r>
        <m:r>
          <m:t>0.30</m:t>
        </m:r>
      </m:oMath>
      <w:r>
        <w:t xml:space="preserve">), so the correction is allowed to move further from the copied adapter where the model moved more.</w:t>
      </w:r>
    </w:p>
    <w:p>
      <w:pPr>
        <w:pStyle w:val="BodyText"/>
      </w:pPr>
      <w:r>
        <w:rPr>
          <w:bCs/>
          <w:b/>
        </w:rPr>
        <w:t xml:space="preserve">The instruction-tuned exception.</w:t>
      </w:r>
      <w:r>
        <w:t xml:space="preserve"> </w:t>
      </w:r>
      <w:r>
        <w:t xml:space="preserve">On SmolLM2 the selected anchoring strength instead rises with drift (Spearman</w:t>
      </w:r>
      <w:r>
        <w:t xml:space="preserve"> </w:t>
      </w:r>
      <m:oMath>
        <m:r>
          <m:rPr>
            <m:sty m:val="p"/>
          </m:rPr>
          <m:t>+</m:t>
        </m:r>
        <m:r>
          <m:t>0.78</m:t>
        </m:r>
      </m:oMath>
      <w:r>
        <w:t xml:space="preserve">): the validation criterion pulls the correction back toward the copied adapter where drift is large. We tested three possible reasons.</w:t>
      </w:r>
      <w:r>
        <w:t xml:space="preserve"> </w:t>
      </w:r>
      <w:r>
        <w:t xml:space="preserve">The first is the</w:t>
      </w:r>
      <w:r>
        <w:t xml:space="preserve"> </w:t>
      </w:r>
      <w:r>
        <w:rPr>
          <w:iCs/>
          <w:i/>
        </w:rPr>
        <w:t xml:space="preserve">upgrade type</w:t>
      </w:r>
      <w:r>
        <w:t xml:space="preserve">: the simulation rotates the hidden basis, which ACT can undo, whereas instruction tuning moves weights within a shared basis. We re-ran the simulation with a dense random perturbation and with a</w:t>
      </w:r>
      <w:r>
        <w:t xml:space="preserve"> </w:t>
      </w:r>
      <w:r>
        <w:t xml:space="preserve">rank-8 weight update (a fine-tuning-like change) in a shared basis. The second is a</w:t>
      </w:r>
      <w:r>
        <w:t xml:space="preserve"> </w:t>
      </w:r>
      <w:r>
        <w:rPr>
          <w:iCs/>
          <w:i/>
        </w:rPr>
        <w:t xml:space="preserve">mismatch of objective</w:t>
      </w:r>
      <w:r>
        <w:t xml:space="preserve">: in the simulation the target task is by construction the same change the source adapter made, whereas on real models retraining may learn something the source adapter never encoded.</w:t>
      </w:r>
      <w:r>
        <w:t xml:space="preserve"> </w:t>
      </w:r>
      <w:r>
        <w:t xml:space="preserve">We mix the target task with a fresh rank-4 change with weight</w:t>
      </w:r>
      <w:r>
        <w:t xml:space="preserve"> </w:t>
      </w:r>
      <m:oMath>
        <m:r>
          <m:t>τ</m:t>
        </m:r>
        <m:r>
          <m:rPr>
            <m:sty m:val="p"/>
          </m:rPr>
          <m:t>∈</m:t>
        </m:r>
        <m:r>
          <m:rPr>
            <m:sty m:val="p"/>
          </m:rPr>
          <m:t>{</m:t>
        </m:r>
        <m:r>
          <m:t>0</m:t>
        </m:r>
        <m:r>
          <m:rPr>
            <m:sty m:val="p"/>
          </m:rPr>
          <m:t>,</m:t>
        </m:r>
        <m:r>
          <m:t>0.5</m:t>
        </m:r>
        <m:r>
          <m:rPr>
            <m:sty m:val="p"/>
          </m:rPr>
          <m:t>,</m:t>
        </m:r>
        <m:r>
          <m:t>0.9</m:t>
        </m:r>
        <m:r>
          <m:rPr>
            <m:sty m:val="p"/>
          </m:rPr>
          <m:t>}</m:t>
        </m:r>
      </m:oMath>
      <w:r>
        <w:t xml:space="preserve">. The third is</w:t>
      </w:r>
      <w:r>
        <w:t xml:space="preserve"> </w:t>
      </w:r>
      <w:r>
        <w:rPr>
          <w:iCs/>
          <w:i/>
        </w:rPr>
        <w:t xml:space="preserve">calibration data</w:t>
      </w:r>
      <w:r>
        <w:t xml:space="preserve">: ACT calibrates on prompts, whereas recovery is measured on answer tokens. We re-ran the smallest Pythia upgrade calibrating on prompt and answer tokens.</w:t>
      </w:r>
    </w:p>
    <w:p>
      <w:pPr>
        <w:pStyle w:val="TableCaption"/>
      </w:pPr>
      <w:r>
        <w:t xml:space="preserve">Simulated ACT−copy recovery gain (two seeds per cell; ACT wins in all 12 conditions). Controlled simulation, not real models.</w:t>
      </w:r>
    </w:p>
    <w:tbl>
      <w:tblPr>
        <w:tblStyle w:val="Table"/>
        <w:tblW w:type="dxa" w:w="9360"/>
        <w:tblLook w:firstRow="1" w:lastRow="0" w:firstColumn="0" w:lastColumn="0" w:noHBand="0" w:noVBand="0" w:val="0020"/>
        <w:jc w:val="start"/>
        <w:tblCaption w:val="Simulated ACT−copy recovery gain (two seeds per cell; ACT wins in all 12 conditions). Controlled simulation, not real models."/>
        <w:tblLayout w:type="fixed"/>
        <w:tblBorders>
          <w:top w:val="single" w:sz="12" w:color="000000"/>
          <w:bottom w:val="single" w:sz="12" w:color="000000"/>
        </w:tblBorders>
      </w:tblPr>
      <w:tblGrid>
        <w:gridCol w:w="3456"/>
        <w:gridCol w:w="1967"/>
        <w:gridCol w:w="1967"/>
        <w:gridCol w:w="1967"/>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Upgrade</w:t>
            </w:r>
          </w:p>
        </w:tc>
        <w:tc>
          <w:tcPr>
            <w:tcW w:type="dxa" w:w="1968"/>
            <w:tcBorders>
              <w:bottom w:val="single" w:sz="6" w:color="000000"/>
            </w:tcBorders>
          </w:tcPr>
          <w:p>
            <w:pPr>
              <w:pStyle w:val="Compact"/>
              <w:spacing w:line="240" w:lineRule="auto"/>
              <w:jc w:val="left"/>
            </w:pPr>
            <w:r>
              <w:rPr>
                <w:rFonts w:ascii="Times New Roman" w:hAnsi="Times New Roman"/>
                <w:sz w:val="20"/>
              </w:rPr>
              <w:t xml:space="preserve">Task overlap</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0.5</w:t>
            </w:r>
          </w:p>
        </w:tc>
        <w:tc>
          <w:tcPr>
            <w:tcW w:type="dxa" w:w="1968"/>
            <w:tcBorders>
              <w:bottom w:val="single" w:sz="6" w:color="000000"/>
            </w:tcBorders>
          </w:tcPr>
          <w:p>
            <w:pPr>
              <w:pStyle w:val="Compact"/>
              <w:spacing w:line="240" w:lineRule="auto"/>
              <w:jc w:val="center"/>
            </w:pPr>
            <w:r>
              <w:rPr>
                <w:rFonts w:ascii="Times New Roman" w:hAnsi="Times New Roman"/>
                <w:sz w:val="20"/>
              </w:rPr>
              <w:t xml:space="preserve">Drift 0.8</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+0.060</w:t>
            </w:r>
          </w:p>
        </w:tc>
        <w:tc>
          <w:tcPr>
            <w:tcW w:type="dxa" w:w="1968"/>
          </w:tcPr>
          <w:p>
            <w:pPr>
              <w:pStyle w:val="Compact"/>
              <w:spacing w:line="240" w:lineRule="auto"/>
              <w:jc w:val="center"/>
            </w:pPr>
            <w:r>
              <w:rPr>
                <w:rFonts w:ascii="Times New Roman" w:hAnsi="Times New Roman"/>
                <w:sz w:val="20"/>
              </w:rPr>
              <w:t xml:space="preserve">+0.177</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+0.056</w:t>
            </w:r>
          </w:p>
        </w:tc>
        <w:tc>
          <w:tcPr>
            <w:tcW w:type="dxa" w:w="1968"/>
          </w:tcPr>
          <w:p>
            <w:pPr>
              <w:pStyle w:val="Compact"/>
              <w:spacing w:line="240" w:lineRule="auto"/>
              <w:jc w:val="center"/>
            </w:pPr>
            <w:r>
              <w:rPr>
                <w:rFonts w:ascii="Times New Roman" w:hAnsi="Times New Roman"/>
                <w:sz w:val="20"/>
              </w:rPr>
              <w:t xml:space="preserve">+0.165</w:t>
            </w:r>
          </w:p>
        </w:tc>
      </w:tr>
      <w:tr>
        <w:tc>
          <w:tcPr>
            <w:tcW w:type="dxa" w:w="3456"/>
          </w:tcPr>
          <w:p>
            <w:pPr>
              <w:pStyle w:val="Compact"/>
              <w:spacing w:line="240" w:lineRule="auto"/>
              <w:jc w:val="left"/>
            </w:pPr>
            <w:r>
              <w:rPr>
                <w:rFonts w:ascii="Times New Roman" w:hAnsi="Times New Roman"/>
                <w:sz w:val="20"/>
              </w:rPr>
              <w:t xml:space="preserve">Rotation</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+0.048</w:t>
            </w:r>
          </w:p>
        </w:tc>
        <w:tc>
          <w:tcPr>
            <w:tcW w:type="dxa" w:w="1968"/>
          </w:tcPr>
          <w:p>
            <w:pPr>
              <w:pStyle w:val="Compact"/>
              <w:spacing w:line="240" w:lineRule="auto"/>
              <w:jc w:val="center"/>
            </w:pPr>
            <w:r>
              <w:rPr>
                <w:rFonts w:ascii="Times New Roman" w:hAnsi="Times New Roman"/>
                <w:sz w:val="20"/>
              </w:rPr>
              <w:t xml:space="preserve">+0.131</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w:t>
            </w:r>
          </w:p>
        </w:tc>
        <w:tc>
          <w:tcPr>
            <w:tcW w:type="dxa" w:w="1968"/>
          </w:tcPr>
          <w:p>
            <w:pPr>
              <w:pStyle w:val="Compact"/>
              <w:spacing w:line="240" w:lineRule="auto"/>
              <w:jc w:val="center"/>
            </w:pPr>
            <w:r>
              <w:rPr>
                <w:rFonts w:ascii="Times New Roman" w:hAnsi="Times New Roman"/>
                <w:sz w:val="20"/>
              </w:rPr>
              <w:t xml:space="preserve">+0.073</w:t>
            </w:r>
          </w:p>
        </w:tc>
        <w:tc>
          <w:tcPr>
            <w:tcW w:type="dxa" w:w="1968"/>
          </w:tcPr>
          <w:p>
            <w:pPr>
              <w:pStyle w:val="Compact"/>
              <w:spacing w:line="240" w:lineRule="auto"/>
              <w:jc w:val="center"/>
            </w:pPr>
            <w:r>
              <w:rPr>
                <w:rFonts w:ascii="Times New Roman" w:hAnsi="Times New Roman"/>
                <w:sz w:val="20"/>
              </w:rPr>
              <w:t xml:space="preserve">+0.256</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0.5</w:t>
            </w:r>
          </w:p>
        </w:tc>
        <w:tc>
          <w:tcPr>
            <w:tcW w:type="dxa" w:w="1968"/>
          </w:tcPr>
          <w:p>
            <w:pPr>
              <w:pStyle w:val="Compact"/>
              <w:spacing w:line="240" w:lineRule="auto"/>
              <w:jc w:val="center"/>
            </w:pPr>
            <w:r>
              <w:rPr>
                <w:rFonts w:ascii="Times New Roman" w:hAnsi="Times New Roman"/>
                <w:sz w:val="20"/>
              </w:rPr>
              <w:t xml:space="preserve">+0.094</w:t>
            </w:r>
          </w:p>
        </w:tc>
        <w:tc>
          <w:tcPr>
            <w:tcW w:type="dxa" w:w="1968"/>
          </w:tcPr>
          <w:p>
            <w:pPr>
              <w:pStyle w:val="Compact"/>
              <w:spacing w:line="240" w:lineRule="auto"/>
              <w:jc w:val="center"/>
            </w:pPr>
            <w:r>
              <w:rPr>
                <w:rFonts w:ascii="Times New Roman" w:hAnsi="Times New Roman"/>
                <w:sz w:val="20"/>
              </w:rPr>
              <w:t xml:space="preserve">+0.287</w:t>
            </w:r>
          </w:p>
        </w:tc>
      </w:tr>
      <w:tr>
        <w:tc>
          <w:tcPr>
            <w:tcW w:type="dxa" w:w="3456"/>
          </w:tcPr>
          <w:p>
            <w:pPr>
              <w:pStyle w:val="Compact"/>
              <w:spacing w:line="240" w:lineRule="auto"/>
              <w:jc w:val="left"/>
            </w:pPr>
            <w:r>
              <w:rPr>
                <w:rFonts w:ascii="Times New Roman" w:hAnsi="Times New Roman"/>
                <w:sz w:val="20"/>
              </w:rPr>
              <w:t xml:space="preserve">Rank-8 update</w:t>
            </w:r>
          </w:p>
        </w:tc>
        <w:tc>
          <w:tcPr>
            <w:tcW w:type="dxa" w:w="1968"/>
          </w:tcPr>
          <w:p>
            <w:pPr>
              <w:pStyle w:val="Compact"/>
              <w:spacing w:line="240" w:lineRule="auto"/>
              <w:jc w:val="left"/>
            </w:pPr>
            <w:r>
              <w:rPr>
                <w:rFonts w:ascii="Times New Roman" w:hAnsi="Times New Roman"/>
                <w:sz w:val="20"/>
              </w:rPr>
              <w:t xml:space="preserve">τ = 0.9</w:t>
            </w:r>
          </w:p>
        </w:tc>
        <w:tc>
          <w:tcPr>
            <w:tcW w:type="dxa" w:w="1968"/>
          </w:tcPr>
          <w:p>
            <w:pPr>
              <w:pStyle w:val="Compact"/>
              <w:spacing w:line="240" w:lineRule="auto"/>
              <w:jc w:val="center"/>
            </w:pPr>
            <w:r>
              <w:rPr>
                <w:rFonts w:ascii="Times New Roman" w:hAnsi="Times New Roman"/>
                <w:sz w:val="20"/>
              </w:rPr>
              <w:t xml:space="preserve">+0.125</w:t>
            </w:r>
          </w:p>
        </w:tc>
        <w:tc>
          <w:tcPr>
            <w:tcW w:type="dxa" w:w="1968"/>
          </w:tcPr>
          <w:p>
            <w:pPr>
              <w:pStyle w:val="Compact"/>
              <w:spacing w:line="240" w:lineRule="auto"/>
              <w:jc w:val="center"/>
            </w:pPr>
            <w:r>
              <w:rPr>
                <w:rFonts w:ascii="Times New Roman" w:hAnsi="Times New Roman"/>
                <w:sz w:val="20"/>
              </w:rPr>
              <w:t xml:space="preserve">+0.331</w:t>
            </w:r>
          </w:p>
        </w:tc>
      </w:tr>
    </w:tbl>
    <w:p>
      <w:pPr>
        <w:pStyle w:val="BodyText"/>
      </w:pPr>
      <w:r>
        <w:t xml:space="preserve">In simulation ACT keeps a gain of 0.05 to 0.33 under both upgrade types and every task overlap (Table 7), so neither the upgrade type nor the task mismatch explains the exception. Calibrating on prompt and answer tokens leaves ACT level with copy on the smallest Pythia upgrade (</w:t>
      </w:r>
      <m:oMath>
        <m:sSub>
          <m:e>
            <m:r>
              <m:t>R</m:t>
            </m:r>
          </m:e>
          <m:sub>
            <m:r>
              <m:t>C</m:t>
            </m:r>
          </m:sub>
        </m:sSub>
        <m:r>
          <m:rPr>
            <m:sty m:val="p"/>
          </m:rPr>
          <m:t>=</m:t>
        </m:r>
        <m:r>
          <m:t>0.958</m:t>
        </m:r>
      </m:oMath>
      <w:r>
        <w:t xml:space="preserve">,</w:t>
      </w:r>
      <w:r>
        <w:t xml:space="preserve"> </w:t>
      </w:r>
      <m:oMath>
        <m:sSub>
          <m:e>
            <m:r>
              <m:t>R</m:t>
            </m:r>
          </m:e>
          <m:sub>
            <m:r>
              <m:t>A</m:t>
            </m:r>
          </m:sub>
        </m:sSub>
        <m:r>
          <m:rPr>
            <m:sty m:val="p"/>
          </m:rPr>
          <m:t>=</m:t>
        </m:r>
        <m:r>
          <m:t>0.955</m:t>
        </m:r>
      </m:oMath>
      <w:r>
        <w:t xml:space="preserve">), but that test has limited power because copy already recovers 96% there, and it does not bear on SmolLM2.</w:t>
      </w:r>
      <w:r>
        <w:t xml:space="preserve"> </w:t>
      </w:r>
      <w:r>
        <w:t xml:space="preserve">We therefore have not identified why ACT fails on the instruction-tuned pair. Untested candidates include the upgrade type itself (continued pre-training against instruction tuning), model scale, properties of real transformers absent from the simulation (residual connections, normalization, attention), and the fact that LoRA’s</w:t>
      </w:r>
      <w:r>
        <w:t xml:space="preserve"> </w:t>
      </w:r>
      <m:oMath>
        <m:r>
          <m:t>A</m:t>
        </m:r>
      </m:oMath>
      <w:r>
        <w:t xml:space="preserve"> </w:t>
      </w:r>
      <w:r>
        <w:t xml:space="preserve">matrix stays close to its initialization in short fine-tuning, which would make an</w:t>
      </w:r>
      <w:r>
        <w:t xml:space="preserve"> </w:t>
      </w:r>
      <m:oMath>
        <m:r>
          <m:t>A</m:t>
        </m:r>
      </m:oMath>
      <w:r>
        <w:t xml:space="preserve">-only correction less informative. The honest summary is that ACT helped where we expected it to and did not where copy was already adequate or, in one case, where it was not.</w:t>
      </w:r>
    </w:p>
    <w:bookmarkEnd w:id="27"/>
    <w:bookmarkStart w:id="28" w:name="X588d1f1a78d3c0e9a2040b70bfd247f247d44a6"/>
    <w:p>
      <w:pPr>
        <w:pStyle w:val="Heading1"/>
      </w:pPr>
      <w:r>
        <w:t xml:space="preserve">9. Robustness to the Upgrade-Arrival Assumption</w:t>
      </w:r>
    </w:p>
    <w:p>
      <w:pPr>
        <w:pStyle w:val="FirstParagraph"/>
      </w:pPr>
      <w:r>
        <w:t xml:space="preserve">The closed forms assume exponential release intervals and GBM value. We simulate the threshold policy with</w:t>
      </w:r>
      <w:r>
        <w:t xml:space="preserve"> </w:t>
      </w:r>
      <w:r>
        <w:t xml:space="preserve">40</w:t>
      </w:r>
      <w:r>
        <w:t xml:space="preserve">,</w:t>
      </w:r>
      <w:r>
        <w:t xml:space="preserve">000 paths (time step</w:t>
      </w:r>
      <w:r>
        <w:t xml:space="preserve"> </w:t>
      </w:r>
      <m:oMath>
        <m:r>
          <m:t>1</m:t>
        </m:r>
        <m:r>
          <m:rPr>
            <m:sty m:val="p"/>
          </m:rPr>
          <m:t>/</m:t>
        </m:r>
        <m:r>
          <m:t>200</m:t>
        </m:r>
      </m:oMath>
      <w:r>
        <w:t xml:space="preserve"> </w:t>
      </w:r>
      <w:r>
        <w:t xml:space="preserve">year, barrier shift of Broadie et al., 1997) using the measured recovery rates and cost ratio of the large Pythia upgrade</w:t>
      </w:r>
      <w:r>
        <w:t xml:space="preserve"> </w:t>
      </w:r>
      <w:r>
        <w:t xml:space="preserve">(</w:t>
      </w:r>
      <m:oMath>
        <m:sSub>
          <m:e>
            <m:r>
              <m:t>R</m:t>
            </m:r>
          </m:e>
          <m:sub>
            <m:r>
              <m:t>C</m:t>
            </m:r>
          </m:sub>
        </m:sSub>
        <m:r>
          <m:rPr>
            <m:sty m:val="p"/>
          </m:rPr>
          <m:t>=</m:t>
        </m:r>
        <m:r>
          <m:t>0.319</m:t>
        </m:r>
      </m:oMath>
      <w:r>
        <w:t xml:space="preserve">,</w:t>
      </w:r>
      <w:r>
        <w:t xml:space="preserve"> </w:t>
      </w:r>
      <m:oMath>
        <m:sSub>
          <m:e>
            <m:r>
              <m:t>R</m:t>
            </m:r>
          </m:e>
          <m:sub>
            <m:r>
              <m:t>A</m:t>
            </m:r>
          </m:sub>
        </m:sSub>
        <m:r>
          <m:rPr>
            <m:sty m:val="p"/>
          </m:rPr>
          <m:t>=</m:t>
        </m:r>
        <m:r>
          <m:t>0.717</m:t>
        </m:r>
      </m:oMath>
      <w:r>
        <w:t xml:space="preserve">,</w:t>
      </w:r>
      <w:r>
        <w:t xml:space="preserve"> </w:t>
      </w:r>
      <m:oMath>
        <m:sSub>
          <m:e>
            <m:r>
              <m:t>C</m:t>
            </m:r>
          </m:e>
          <m:sub>
            <m:r>
              <m:t>A</m:t>
            </m:r>
          </m:sub>
        </m:sSub>
        <m:r>
          <m:rPr>
            <m:sty m:val="p"/>
          </m:rPr>
          <m:t>=</m:t>
        </m:r>
        <m:r>
          <m:t>0.36</m:t>
        </m:r>
        <m:sSub>
          <m:e>
            <m:r>
              <m:t>C</m:t>
            </m:r>
          </m:e>
          <m:sub>
            <m:r>
              <m:t>N</m:t>
            </m:r>
          </m:sub>
        </m:sSub>
      </m:oMath>
      <w:r>
        <w:t xml:space="preserve">). Epoch lengths keep the mean</w:t>
      </w:r>
      <w:r>
        <w:t xml:space="preserve"> </w:t>
      </w:r>
      <m:oMath>
        <m:r>
          <m:t>1</m:t>
        </m:r>
        <m:r>
          <m:rPr>
            <m:sty m:val="p"/>
          </m:rPr>
          <m:t>/</m:t>
        </m:r>
        <m:r>
          <m:t>μ</m:t>
        </m:r>
      </m:oMath>
      <w:r>
        <w:t xml:space="preserve"> </w:t>
      </w:r>
      <w:r>
        <w:t xml:space="preserve">and vary in dispersion: two-phase hyperexponential (coefficient of</w:t>
      </w:r>
      <w:r>
        <w:t xml:space="preserve"> </w:t>
      </w:r>
      <w:r>
        <w:t xml:space="preserve">variation, CV, of 2 and 3), which mimics clustered releases; Erlang (CV</w:t>
      </w:r>
      <w:r>
        <w:t xml:space="preserve"> </w:t>
      </w:r>
      <m:oMath>
        <m:r>
          <m:rPr>
            <m:sty m:val="p"/>
          </m:rPr>
          <m:t>=</m:t>
        </m:r>
        <m:r>
          <m:t>0.5</m:t>
        </m:r>
      </m:oMath>
      <w:r>
        <w:t xml:space="preserve">); and deterministic (CV</w:t>
      </w:r>
      <w:r>
        <w:t xml:space="preserve"> </w:t>
      </w:r>
      <m:oMath>
        <m:r>
          <m:rPr>
            <m:sty m:val="p"/>
          </m:rPr>
          <m:t>=</m:t>
        </m:r>
        <m:r>
          <m:t>0</m:t>
        </m:r>
      </m:oMath>
      <w:r>
        <w:t xml:space="preserve">). We</w:t>
      </w:r>
      <w:r>
        <w:t xml:space="preserve"> </w:t>
      </w:r>
      <w:r>
        <w:t xml:space="preserve">also add compound Poisson jumps to</w:t>
      </w:r>
      <w:r>
        <w:t xml:space="preserve"> </w:t>
      </w:r>
      <m:oMath>
        <m:r>
          <m:rPr>
            <m:sty m:val="p"/>
          </m:rPr>
          <m:t>log</m:t>
        </m:r>
        <m:r>
          <m:t>v</m:t>
        </m:r>
      </m:oMath>
      <w:r>
        <w:t xml:space="preserve"> </w:t>
      </w:r>
      <w:r>
        <w:t xml:space="preserve">(rates one and three per year, normal log-sizes with mean 0.2 and standard</w:t>
      </w:r>
      <w:r>
        <w:t xml:space="preserve"> </w:t>
      </w:r>
      <w:r>
        <w:t xml:space="preserve">deviation 0.3), with the drift compensated so that</w:t>
      </w:r>
      <w:r>
        <w:t xml:space="preserve"> </w:t>
      </w:r>
      <m:oMath>
        <m:r>
          <m:rPr>
            <m:sty m:val="p"/>
            <m:scr m:val="double-struck"/>
          </m:rPr>
          <m:t>E</m:t>
        </m:r>
        <m:d>
          <m:dPr>
            <m:begChr m:val="["/>
            <m:endChr m:val="]"/>
            <m:sepChr m:val=""/>
            <m:grow/>
          </m:dPr>
          <m:e>
            <m:r>
              <m:t>v</m:t>
            </m:r>
          </m:e>
        </m:d>
      </m:oMath>
      <w:r>
        <w:t xml:space="preserve"> </w:t>
      </w:r>
      <w:r>
        <w:t xml:space="preserve">still grows at</w:t>
      </w:r>
      <w:r>
        <w:t xml:space="preserve"> </w:t>
      </w:r>
      <m:oMath>
        <m:r>
          <m:t>g</m:t>
        </m:r>
      </m:oMath>
      <w:r>
        <w:t xml:space="preserve">. The Poisson baseline reproduces the</w:t>
      </w:r>
      <w:r>
        <w:t xml:space="preserve"> </w:t>
      </w:r>
      <w:r>
        <w:t xml:space="preserve">closed form within simulation error (for example, 0.3651</w:t>
      </w:r>
      <w:r>
        <w:t xml:space="preserve"> </w:t>
      </w:r>
      <m:oMath>
        <m:r>
          <m:rPr>
            <m:sty m:val="p"/>
          </m:rPr>
          <m:t>±</m:t>
        </m:r>
      </m:oMath>
      <w:r>
        <w:t xml:space="preserve"> </w:t>
      </w:r>
      <w:r>
        <w:t xml:space="preserve">0.0020 versus 0.3624 at</w:t>
      </w:r>
      <w:r>
        <w:t xml:space="preserve"> </w:t>
      </w:r>
      <m:oMath>
        <m:sSub>
          <m:e>
            <m:r>
              <m:t>v</m:t>
            </m:r>
          </m:e>
          <m:sub>
            <m:r>
              <m:t>0</m:t>
            </m:r>
          </m:sub>
        </m:sSub>
        <m:r>
          <m:rPr>
            <m:sty m:val="p"/>
          </m:rPr>
          <m:t>=</m:t>
        </m:r>
        <m:r>
          <m:t>1.0</m:t>
        </m:r>
      </m:oMath>
      <w:r>
        <w:t xml:space="preserve"> </w:t>
      </w:r>
      <w:r>
        <w:t xml:space="preserve">for copy).</w:t>
      </w:r>
    </w:p>
    <w:p>
      <w:pPr>
        <w:pStyle w:val="TableCaption"/>
      </w:pPr>
      <w:r>
        <w:t xml:space="preserve">Optimal ACT threshold, cost of using the Poisson threshold, and ACT-optimal region (large Pythia upgrade).</w:t>
      </w:r>
    </w:p>
    <w:tbl>
      <w:tblPr>
        <w:tblStyle w:val="Table"/>
        <w:tblW w:type="dxa" w:w="9360"/>
        <w:tblLook w:firstRow="1" w:lastRow="0" w:firstColumn="0" w:lastColumn="0" w:noHBand="0" w:noVBand="0" w:val="0020"/>
        <w:jc w:val="start"/>
        <w:tblCaption w:val="Optimal ACT threshold, cost of using the Poisson threshold, and ACT-optimal region (large Pythia upgrade)."/>
        <w:tblLayout w:type="fixed"/>
        <w:tblBorders>
          <w:top w:val="single" w:sz="12" w:color="000000"/>
          <w:bottom w:val="single" w:sz="12" w:color="000000"/>
        </w:tblBorders>
      </w:tblPr>
      <w:tblGrid>
        <w:gridCol w:w="3456"/>
        <w:gridCol w:w="1475"/>
        <w:gridCol w:w="1475"/>
        <w:gridCol w:w="1475"/>
        <w:gridCol w:w="1475"/>
      </w:tblGrid>
      <w:tr>
        <w:trPr>
          <w:tblHeader w:val="true"/>
        </w:trPr>
        <w:tc>
          <w:tcPr>
            <w:tcW w:type="dxa" w:w="3456"/>
            <w:tcBorders>
              <w:bottom w:val="single" w:sz="6" w:color="000000"/>
            </w:tcBorders>
          </w:tcPr>
          <w:p>
            <w:pPr>
              <w:pStyle w:val="Compact"/>
              <w:spacing w:line="240" w:lineRule="auto"/>
              <w:jc w:val="left"/>
            </w:pPr>
            <w:r>
              <w:rPr>
                <w:rFonts w:ascii="Times New Roman" w:hAnsi="Times New Roman"/>
                <w:sz w:val="20"/>
              </w:rPr>
              <w:t xml:space="preserve">Scenario</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Best θ</w:t>
            </w:r>
            <w:r>
              <w:rPr>
                <w:rFonts w:ascii="Times New Roman" w:hAnsi="Times New Roman"/>
                <w:sz w:val="20"/>
                <w:vertAlign w:val="subscript"/>
              </w:rPr>
              <w:t xml:space="preserve">A</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(ACT)</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Regret (copy)</w:t>
            </w:r>
          </w:p>
        </w:tc>
        <w:tc>
          <w:tcPr>
            <w:tcW w:type="dxa" w:w="1476"/>
            <w:tcBorders>
              <w:bottom w:val="single" w:sz="6" w:color="000000"/>
            </w:tcBorders>
          </w:tcPr>
          <w:p>
            <w:pPr>
              <w:pStyle w:val="Compact"/>
              <w:spacing w:line="240" w:lineRule="auto"/>
              <w:jc w:val="center"/>
            </w:pPr>
            <w:r>
              <w:rPr>
                <w:rFonts w:ascii="Times New Roman" w:hAnsi="Times New Roman"/>
                <w:sz w:val="20"/>
              </w:rPr>
              <w:t xml:space="preserve">ACT optimal for</w:t>
            </w:r>
          </w:p>
        </w:tc>
      </w:tr>
      <w:tr>
        <w:tc>
          <w:tcPr>
            <w:tcW w:type="dxa" w:w="3456"/>
          </w:tcPr>
          <w:p>
            <w:pPr>
              <w:pStyle w:val="Compact"/>
              <w:spacing w:line="240" w:lineRule="auto"/>
              <w:jc w:val="left"/>
            </w:pPr>
            <w:r>
              <w:rPr>
                <w:rFonts w:ascii="Times New Roman" w:hAnsi="Times New Roman"/>
                <w:sz w:val="20"/>
              </w:rPr>
              <w:t xml:space="preserve">Poisson (CV = 1)</w:t>
            </w:r>
          </w:p>
        </w:tc>
        <w:tc>
          <w:tcPr>
            <w:tcW w:type="dxa" w:w="1476"/>
          </w:tcPr>
          <w:p>
            <w:pPr>
              <w:pStyle w:val="Compact"/>
              <w:spacing w:line="240" w:lineRule="auto"/>
              <w:jc w:val="center"/>
            </w:pPr>
            <w:r>
              <w:rPr>
                <w:rFonts w:ascii="Times New Roman" w:hAnsi="Times New Roman"/>
                <w:sz w:val="20"/>
              </w:rPr>
              <w:t xml:space="preserve">8.68</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[1.77, 4.36)</w:t>
            </w:r>
          </w:p>
        </w:tc>
      </w:tr>
      <w:tr>
        <w:tc>
          <w:tcPr>
            <w:tcW w:type="dxa" w:w="3456"/>
          </w:tcPr>
          <w:p>
            <w:pPr>
              <w:pStyle w:val="Compact"/>
              <w:spacing w:line="240" w:lineRule="auto"/>
              <w:jc w:val="left"/>
            </w:pPr>
            <w:r>
              <w:rPr>
                <w:rFonts w:ascii="Times New Roman" w:hAnsi="Times New Roman"/>
                <w:sz w:val="20"/>
              </w:rPr>
              <w:t xml:space="preserve">Hyperexponential, CV = 2</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0.5%</w:t>
            </w:r>
          </w:p>
        </w:tc>
        <w:tc>
          <w:tcPr>
            <w:tcW w:type="dxa" w:w="1476"/>
          </w:tcPr>
          <w:p>
            <w:pPr>
              <w:pStyle w:val="Compact"/>
              <w:spacing w:line="240" w:lineRule="auto"/>
              <w:jc w:val="center"/>
            </w:pPr>
            <w:r>
              <w:rPr>
                <w:rFonts w:ascii="Times New Roman" w:hAnsi="Times New Roman"/>
                <w:sz w:val="20"/>
              </w:rPr>
              <w:t xml:space="preserve">1.1%</w:t>
            </w:r>
          </w:p>
        </w:tc>
        <w:tc>
          <w:tcPr>
            <w:tcW w:type="dxa" w:w="1476"/>
          </w:tcPr>
          <w:p>
            <w:pPr>
              <w:pStyle w:val="Compact"/>
              <w:spacing w:line="240" w:lineRule="auto"/>
              <w:jc w:val="center"/>
            </w:pPr>
            <w:r>
              <w:rPr>
                <w:rFonts w:ascii="Times New Roman" w:hAnsi="Times New Roman"/>
                <w:sz w:val="20"/>
              </w:rPr>
              <w:t xml:space="preserve">[2.19, 5.06)</w:t>
            </w:r>
          </w:p>
        </w:tc>
      </w:tr>
      <w:tr>
        <w:tc>
          <w:tcPr>
            <w:tcW w:type="dxa" w:w="3456"/>
          </w:tcPr>
          <w:p>
            <w:pPr>
              <w:pStyle w:val="Compact"/>
              <w:spacing w:line="240" w:lineRule="auto"/>
              <w:jc w:val="left"/>
            </w:pPr>
            <w:r>
              <w:rPr>
                <w:rFonts w:ascii="Times New Roman" w:hAnsi="Times New Roman"/>
                <w:sz w:val="20"/>
              </w:rPr>
              <w:t xml:space="preserve">Hyperexponential, CV = 3</w:t>
            </w:r>
          </w:p>
        </w:tc>
        <w:tc>
          <w:tcPr>
            <w:tcW w:type="dxa" w:w="1476"/>
          </w:tcPr>
          <w:p>
            <w:pPr>
              <w:pStyle w:val="Compact"/>
              <w:spacing w:line="240" w:lineRule="auto"/>
              <w:jc w:val="center"/>
            </w:pPr>
            <w:r>
              <w:rPr>
                <w:rFonts w:ascii="Times New Roman" w:hAnsi="Times New Roman"/>
                <w:sz w:val="20"/>
              </w:rPr>
              <w:t xml:space="preserve">6.68</w:t>
            </w:r>
          </w:p>
        </w:tc>
        <w:tc>
          <w:tcPr>
            <w:tcW w:type="dxa" w:w="1476"/>
          </w:tcPr>
          <w:p>
            <w:pPr>
              <w:pStyle w:val="Compact"/>
              <w:spacing w:line="240" w:lineRule="auto"/>
              <w:jc w:val="center"/>
            </w:pPr>
            <w:r>
              <w:rPr>
                <w:rFonts w:ascii="Times New Roman" w:hAnsi="Times New Roman"/>
                <w:sz w:val="20"/>
              </w:rPr>
              <w:t xml:space="preserve">0.7%</w:t>
            </w:r>
          </w:p>
        </w:tc>
        <w:tc>
          <w:tcPr>
            <w:tcW w:type="dxa" w:w="1476"/>
          </w:tcPr>
          <w:p>
            <w:pPr>
              <w:pStyle w:val="Compact"/>
              <w:spacing w:line="240" w:lineRule="auto"/>
              <w:jc w:val="center"/>
            </w:pPr>
            <w:r>
              <w:rPr>
                <w:rFonts w:ascii="Times New Roman" w:hAnsi="Times New Roman"/>
                <w:sz w:val="20"/>
              </w:rPr>
              <w:t xml:space="preserve">2.3%</w:t>
            </w:r>
          </w:p>
        </w:tc>
        <w:tc>
          <w:tcPr>
            <w:tcW w:type="dxa" w:w="1476"/>
          </w:tcPr>
          <w:p>
            <w:pPr>
              <w:pStyle w:val="Compact"/>
              <w:spacing w:line="240" w:lineRule="auto"/>
              <w:jc w:val="center"/>
            </w:pPr>
            <w:r>
              <w:rPr>
                <w:rFonts w:ascii="Times New Roman" w:hAnsi="Times New Roman"/>
                <w:sz w:val="20"/>
              </w:rPr>
              <w:t xml:space="preserve">[2.23, 5.38)</w:t>
            </w:r>
          </w:p>
        </w:tc>
      </w:tr>
      <w:tr>
        <w:tc>
          <w:tcPr>
            <w:tcW w:type="dxa" w:w="3456"/>
          </w:tcPr>
          <w:p>
            <w:pPr>
              <w:pStyle w:val="Compact"/>
              <w:spacing w:line="240" w:lineRule="auto"/>
              <w:jc w:val="left"/>
            </w:pPr>
            <w:r>
              <w:rPr>
                <w:rFonts w:ascii="Times New Roman" w:hAnsi="Times New Roman"/>
                <w:sz w:val="20"/>
              </w:rPr>
              <w:t xml:space="preserve">Erlang, CV = 0.5</w:t>
            </w:r>
          </w:p>
        </w:tc>
        <w:tc>
          <w:tcPr>
            <w:tcW w:type="dxa" w:w="1476"/>
          </w:tcPr>
          <w:p>
            <w:pPr>
              <w:pStyle w:val="Compact"/>
              <w:spacing w:line="240" w:lineRule="auto"/>
              <w:jc w:val="center"/>
            </w:pPr>
            <w:r>
              <w:rPr>
                <w:rFonts w:ascii="Times New Roman" w:hAnsi="Times New Roman"/>
                <w:sz w:val="20"/>
              </w:rPr>
              <w:t xml:space="preserve">16.70†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0.4%</w:t>
            </w:r>
          </w:p>
        </w:tc>
        <w:tc>
          <w:tcPr>
            <w:tcW w:type="dxa" w:w="1476"/>
          </w:tcPr>
          <w:p>
            <w:pPr>
              <w:pStyle w:val="Compact"/>
              <w:spacing w:line="240" w:lineRule="auto"/>
              <w:jc w:val="center"/>
            </w:pPr>
            <w:r>
              <w:rPr>
                <w:rFonts w:ascii="Times New Roman" w:hAnsi="Times New Roman"/>
                <w:sz w:val="20"/>
              </w:rPr>
              <w:t xml:space="preserve">[1.73, 4.34)</w:t>
            </w:r>
          </w:p>
        </w:tc>
      </w:tr>
      <w:tr>
        <w:tc>
          <w:tcPr>
            <w:tcW w:type="dxa" w:w="3456"/>
          </w:tcPr>
          <w:p>
            <w:pPr>
              <w:pStyle w:val="Compact"/>
              <w:spacing w:line="240" w:lineRule="auto"/>
              <w:jc w:val="left"/>
            </w:pPr>
            <w:r>
              <w:rPr>
                <w:rFonts w:ascii="Times New Roman" w:hAnsi="Times New Roman"/>
                <w:sz w:val="20"/>
              </w:rPr>
              <w:t xml:space="preserve">Deterministic</w:t>
            </w:r>
          </w:p>
        </w:tc>
        <w:tc>
          <w:tcPr>
            <w:tcW w:type="dxa" w:w="1476"/>
          </w:tcPr>
          <w:p>
            <w:pPr>
              <w:pStyle w:val="Compact"/>
              <w:spacing w:line="240" w:lineRule="auto"/>
              <w:jc w:val="center"/>
            </w:pPr>
            <w:r>
              <w:rPr>
                <w:rFonts w:ascii="Times New Roman" w:hAnsi="Times New Roman"/>
                <w:sz w:val="20"/>
              </w:rPr>
              <w:t xml:space="preserve">19.04†</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0.6%</w:t>
            </w:r>
          </w:p>
        </w:tc>
        <w:tc>
          <w:tcPr>
            <w:tcW w:type="dxa" w:w="1476"/>
          </w:tcPr>
          <w:p>
            <w:pPr>
              <w:pStyle w:val="Compact"/>
              <w:spacing w:line="240" w:lineRule="auto"/>
              <w:jc w:val="center"/>
            </w:pPr>
            <w:r>
              <w:rPr>
                <w:rFonts w:ascii="Times New Roman" w:hAnsi="Times New Roman"/>
                <w:sz w:val="20"/>
              </w:rPr>
              <w:t xml:space="preserve">[1.75, 4.40)</w:t>
            </w:r>
          </w:p>
        </w:tc>
      </w:tr>
      <w:tr>
        <w:tc>
          <w:tcPr>
            <w:tcW w:type="dxa" w:w="3456"/>
          </w:tcPr>
          <w:p>
            <w:pPr>
              <w:pStyle w:val="Compact"/>
              <w:spacing w:line="240" w:lineRule="auto"/>
              <w:jc w:val="left"/>
            </w:pPr>
            <w:r>
              <w:rPr>
                <w:rFonts w:ascii="Times New Roman" w:hAnsi="Times New Roman"/>
                <w:sz w:val="20"/>
              </w:rPr>
              <w:t xml:space="preserve">Poisson + jumps (1/yr)</w:t>
            </w:r>
          </w:p>
        </w:tc>
        <w:tc>
          <w:tcPr>
            <w:tcW w:type="dxa" w:w="1476"/>
          </w:tcPr>
          <w:p>
            <w:pPr>
              <w:pStyle w:val="Compact"/>
              <w:spacing w:line="240" w:lineRule="auto"/>
              <w:jc w:val="center"/>
            </w:pPr>
            <w:r>
              <w:rPr>
                <w:rFonts w:ascii="Times New Roman" w:hAnsi="Times New Roman"/>
                <w:sz w:val="20"/>
              </w:rPr>
              <w:t xml:space="preserve">9.01</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[1.88, 4.56)</w:t>
            </w:r>
          </w:p>
        </w:tc>
      </w:tr>
      <w:tr>
        <w:tc>
          <w:tcPr>
            <w:tcW w:type="dxa" w:w="3456"/>
          </w:tcPr>
          <w:p>
            <w:pPr>
              <w:pStyle w:val="Compact"/>
              <w:spacing w:line="240" w:lineRule="auto"/>
              <w:jc w:val="left"/>
            </w:pPr>
            <w:r>
              <w:rPr>
                <w:rFonts w:ascii="Times New Roman" w:hAnsi="Times New Roman"/>
                <w:sz w:val="20"/>
              </w:rPr>
              <w:t xml:space="preserve">Poisson + jumps (3/yr)</w:t>
            </w:r>
          </w:p>
        </w:tc>
        <w:tc>
          <w:tcPr>
            <w:tcW w:type="dxa" w:w="1476"/>
          </w:tcPr>
          <w:p>
            <w:pPr>
              <w:pStyle w:val="Compact"/>
              <w:spacing w:line="240" w:lineRule="auto"/>
              <w:jc w:val="center"/>
            </w:pPr>
            <w:r>
              <w:rPr>
                <w:rFonts w:ascii="Times New Roman" w:hAnsi="Times New Roman"/>
                <w:sz w:val="20"/>
              </w:rPr>
              <w:t xml:space="preserve">9.90</w:t>
            </w:r>
          </w:p>
        </w:tc>
        <w:tc>
          <w:tcPr>
            <w:tcW w:type="dxa" w:w="1476"/>
          </w:tcPr>
          <w:p>
            <w:pPr>
              <w:pStyle w:val="Compact"/>
              <w:spacing w:line="240" w:lineRule="auto"/>
              <w:jc w:val="center"/>
            </w:pPr>
            <w:r>
              <w:rPr>
                <w:rFonts w:ascii="Times New Roman" w:hAnsi="Times New Roman"/>
                <w:sz w:val="20"/>
              </w:rPr>
              <w:t xml:space="preserve">0.0%</w:t>
            </w:r>
          </w:p>
        </w:tc>
        <w:tc>
          <w:tcPr>
            <w:tcW w:type="dxa" w:w="1476"/>
          </w:tcPr>
          <w:p>
            <w:pPr>
              <w:pStyle w:val="Compact"/>
              <w:spacing w:line="240" w:lineRule="auto"/>
              <w:jc w:val="center"/>
            </w:pPr>
            <w:r>
              <w:rPr>
                <w:rFonts w:ascii="Times New Roman" w:hAnsi="Times New Roman"/>
                <w:sz w:val="20"/>
              </w:rPr>
              <w:t xml:space="preserve">0.1%</w:t>
            </w:r>
          </w:p>
        </w:tc>
        <w:tc>
          <w:tcPr>
            <w:tcW w:type="dxa" w:w="1476"/>
          </w:tcPr>
          <w:p>
            <w:pPr>
              <w:pStyle w:val="Compact"/>
              <w:spacing w:line="240" w:lineRule="auto"/>
              <w:jc w:val="center"/>
            </w:pPr>
            <w:r>
              <w:rPr>
                <w:rFonts w:ascii="Times New Roman" w:hAnsi="Times New Roman"/>
                <w:sz w:val="20"/>
              </w:rPr>
              <w:t xml:space="preserve">[2.08, 4.82)</w:t>
            </w:r>
          </w:p>
        </w:tc>
      </w:tr>
    </w:tbl>
    <w:p>
      <w:pPr>
        <w:pStyle w:val="BodyText"/>
      </w:pPr>
      <w:r>
        <w:t xml:space="preserve">† At or near the upper edge of the threshold grid, so the regret is a lower bound.</w:t>
      </w:r>
      <w:r>
        <w:t xml:space="preserve"> </w:t>
      </w:r>
      <w:r>
        <w:t xml:space="preserve">Regret is the average proportional excess cost of the Poisson threshold over the best threshold on the grid,</w:t>
      </w:r>
      <w:r>
        <w:t xml:space="preserve"> </w:t>
      </w:r>
      <w:r>
        <w:t xml:space="preserve">across starting values well below the threshold.</w:t>
      </w:r>
    </w:p>
    <w:p>
      <w:pPr>
        <w:pStyle w:val="BodyText"/>
      </w:pPr>
      <w:r>
        <w:t xml:space="preserve">Three patterns emerge. First, clustered releases shift the optimal ACT threshold down by about 23% and regular schedules shift it up by a factor of about two: with clustered releases the next upgrade tends to follow soon and</w:t>
      </w:r>
      <w:r>
        <w:t xml:space="preserve"> </w:t>
      </w:r>
      <w:r>
        <w:t xml:space="preserve">waiting is less valuable, while a predictable cadence allows firms to wait longer. Second, using the Poisson threshold</w:t>
      </w:r>
      <w:r>
        <w:t xml:space="preserve"> </w:t>
      </w:r>
      <w:r>
        <w:t xml:space="preserve">in the wrong environment costs at most 2.3% of expected cost, because the cost curve is flat near the optimum.</w:t>
      </w:r>
      <w:r>
        <w:t xml:space="preserve"> </w:t>
      </w:r>
      <w:r>
        <w:t xml:space="preserve">Third, the range in which ACT is optimal is stable: its lower end stays between 1.7 and 2.2 and its upper end between 4.3 and 5.4 (the closed-form range is 1.8 to 4.4). The qualitative conclusion that a transfer method has a bounded region of use</w:t>
      </w:r>
      <w:r>
        <w:t xml:space="preserve"> </w:t>
      </w:r>
      <w:r>
        <w:t xml:space="preserve">therefore does not depend on Poisson arrivals. Clustering is modeled as a renewal process rather than a self-exciting</w:t>
      </w:r>
      <w:r>
        <w:t xml:space="preserve"> </w:t>
      </w:r>
      <w:r>
        <w:t xml:space="preserve">process, so dependence between consecutive intervals is not captured.</w:t>
      </w:r>
    </w:p>
    <w:bookmarkEnd w:id="28"/>
    <w:bookmarkStart w:id="29" w:name="using-the-rule-in-practice"/>
    <w:p>
      <w:pPr>
        <w:pStyle w:val="Heading1"/>
      </w:pPr>
      <w:r>
        <w:t xml:space="preserve">10. Using the Rule in Practice</w:t>
      </w:r>
    </w:p>
    <w:p>
      <w:pPr>
        <w:pStyle w:val="FirstParagraph"/>
      </w:pPr>
      <w:r>
        <w:t xml:space="preserve">The model is meant to be used with a small amount of data that a team already has. We describe the procedure and illustrate it with two of our upgrades.</w:t>
      </w:r>
    </w:p>
    <w:p>
      <w:pPr>
        <w:numPr>
          <w:ilvl w:val="0"/>
          <w:numId w:val="1002"/>
        </w:numPr>
      </w:pPr>
      <w:r>
        <w:rPr>
          <w:iCs/>
          <w:i/>
        </w:rPr>
        <w:t xml:space="preserve">Measure recovery of the cheap option.</w:t>
      </w:r>
      <w:r>
        <w:t xml:space="preserve"> </w:t>
      </w:r>
      <w:r>
        <w:t xml:space="preserve">After an upgrade, evaluate three configurations on a held-out set of task examples:</w:t>
      </w:r>
      <w:r>
        <w:t xml:space="preserve"> </w:t>
      </w:r>
      <w:r>
        <w:t xml:space="preserve">the new model without the adapter, the old adapter copied onto the new model, and (once, to calibrate) an adapter retrained on the new model. Compute</w:t>
      </w:r>
      <w:r>
        <w:t xml:space="preserve"> </w:t>
      </w:r>
      <m:oMath>
        <m:sSub>
          <m:e>
            <m:r>
              <m:t>R</m:t>
            </m:r>
          </m:e>
          <m:sub>
            <m:r>
              <m:t>C</m:t>
            </m:r>
          </m:sub>
        </m:sSub>
        <m:r>
          <m:rPr>
            <m:sty m:val="p"/>
          </m:rPr>
          <m:t>=</m:t>
        </m:r>
        <m:d>
          <m:dPr>
            <m:begChr m:val="("/>
            <m:endChr m:val=")"/>
            <m:sepChr m:val=""/>
            <m:grow/>
          </m:dPr>
          <m:e>
            <m:sSub>
              <m:e>
                <m:r>
                  <m:t>L</m:t>
                </m:r>
              </m:e>
              <m:sub>
                <m:r>
                  <m:rPr>
                    <m:nor/>
                    <m:sty m:val="p"/>
                  </m:rPr>
                  <m:t>none</m:t>
                </m:r>
              </m:sub>
            </m:sSub>
            <m:r>
              <m:rPr>
                <m:sty m:val="p"/>
              </m:rPr>
              <m:t>−</m:t>
            </m:r>
            <m:sSub>
              <m:e>
                <m:r>
                  <m:t>L</m:t>
                </m:r>
              </m:e>
              <m:sub>
                <m:r>
                  <m:rPr>
                    <m:nor/>
                    <m:sty m:val="p"/>
                  </m:rPr>
                  <m:t>copy</m:t>
                </m:r>
              </m:sub>
            </m:sSub>
          </m:e>
        </m:d>
        <m:r>
          <m:rPr>
            <m:sty m:val="p"/>
          </m:rPr>
          <m:t>/</m:t>
        </m:r>
        <m:d>
          <m:dPr>
            <m:begChr m:val="("/>
            <m:endChr m:val=")"/>
            <m:sepChr m:val=""/>
            <m:grow/>
          </m:dPr>
          <m:e>
            <m:sSub>
              <m:e>
                <m:r>
                  <m:t>L</m:t>
                </m:r>
              </m:e>
              <m:sub>
                <m:r>
                  <m:rPr>
                    <m:nor/>
                    <m:sty m:val="p"/>
                  </m:rPr>
                  <m:t>none</m:t>
                </m:r>
              </m:sub>
            </m:sSub>
            <m:r>
              <m:rPr>
                <m:sty m:val="p"/>
              </m:rPr>
              <m:t>−</m:t>
            </m:r>
            <m:sSub>
              <m:e>
                <m:r>
                  <m:t>L</m:t>
                </m:r>
              </m:e>
              <m:sub>
                <m:r>
                  <m:rPr>
                    <m:nor/>
                    <m:sty m:val="p"/>
                  </m:rPr>
                  <m:t>retrain</m:t>
                </m:r>
              </m:sub>
            </m:sSub>
          </m:e>
        </m:d>
      </m:oMath>
      <w:r>
        <w:t xml:space="preserve">. Our evaluations used 200 examples.</w:t>
      </w:r>
    </w:p>
    <w:p>
      <w:pPr>
        <w:numPr>
          <w:ilvl w:val="0"/>
          <w:numId w:val="1002"/>
        </w:numPr>
      </w:pPr>
      <w:r>
        <w:rPr>
          <w:iCs/>
          <w:i/>
        </w:rPr>
        <w:t xml:space="preserve">Estimate the remaining inputs.</w:t>
      </w:r>
      <w:r>
        <w:t xml:space="preserve"> </w:t>
      </w:r>
      <w:r>
        <w:t xml:space="preserve">The release rate</w:t>
      </w:r>
      <w:r>
        <w:t xml:space="preserve"> </w:t>
      </w:r>
      <m:oMath>
        <m:r>
          <m:t>μ</m:t>
        </m:r>
      </m:oMath>
      <w:r>
        <w:t xml:space="preserve"> </w:t>
      </w:r>
      <w:r>
        <w:t xml:space="preserve">comes from the provider’s release history, the discount rate</w:t>
      </w:r>
      <w:r>
        <w:t xml:space="preserve"> </w:t>
      </w:r>
      <m:oMath>
        <m:r>
          <m:t>ρ</m:t>
        </m:r>
      </m:oMath>
      <w:r>
        <w:t xml:space="preserve"> </w:t>
      </w:r>
      <w:r>
        <w:t xml:space="preserve">from the</w:t>
      </w:r>
      <w:r>
        <w:t xml:space="preserve"> </w:t>
      </w:r>
      <w:r>
        <w:t xml:space="preserve">organization’s hurdle rate, the value volatility</w:t>
      </w:r>
      <w:r>
        <w:t xml:space="preserve"> </w:t>
      </w:r>
      <m:oMath>
        <m:r>
          <m:t>σ</m:t>
        </m:r>
      </m:oMath>
      <w:r>
        <w:t xml:space="preserve"> </w:t>
      </w:r>
      <w:r>
        <w:t xml:space="preserve">and growth</w:t>
      </w:r>
      <w:r>
        <w:t xml:space="preserve"> </w:t>
      </w:r>
      <m:oMath>
        <m:r>
          <m:t>g</m:t>
        </m:r>
      </m:oMath>
      <w:r>
        <w:t xml:space="preserve"> </w:t>
      </w:r>
      <w:r>
        <w:t xml:space="preserve">from the business metric the task supports, and the retraining cost</w:t>
      </w:r>
      <w:r>
        <w:t xml:space="preserve"> </w:t>
      </w:r>
      <m:oMath>
        <m:sSub>
          <m:e>
            <m:r>
              <m:t>C</m:t>
            </m:r>
          </m:e>
          <m:sub>
            <m:r>
              <m:t>N</m:t>
            </m:r>
          </m:sub>
        </m:sSub>
      </m:oMath>
      <w:r>
        <w:t xml:space="preserve"> </w:t>
      </w:r>
      <w:r>
        <w:t xml:space="preserve">from the full cost of the last retraining, including data and revalidation labor.</w:t>
      </w:r>
    </w:p>
    <w:p>
      <w:pPr>
        <w:numPr>
          <w:ilvl w:val="0"/>
          <w:numId w:val="1002"/>
        </w:numPr>
      </w:pPr>
      <w:r>
        <w:rPr>
          <w:iCs/>
          <w:i/>
        </w:rPr>
        <w:t xml:space="preserve">Apply the threshold.</w:t>
      </w:r>
      <w:r>
        <w:t xml:space="preserve"> </w:t>
      </w:r>
      <w:r>
        <w:t xml:space="preserve">Retrain immediately if the annual value at stake exceeds</w:t>
      </w:r>
      <w:r>
        <w:t xml:space="preserve"> </w:t>
      </w:r>
      <m:oMath>
        <m:sSup>
          <m:e>
            <m:r>
              <m:t>v</m:t>
            </m:r>
          </m:e>
          <m:sup>
            <m:r>
              <m:rPr>
                <m:sty m:val="p"/>
              </m:rPr>
              <m:t>*</m:t>
            </m:r>
          </m:sup>
        </m:sSup>
        <m:d>
          <m:dPr>
            <m:begChr m:val="("/>
            <m:endChr m:val=")"/>
            <m:sepChr m:val=""/>
            <m:grow/>
          </m:dPr>
          <m:e>
            <m:sSub>
              <m:e>
                <m:r>
                  <m:t>R</m:t>
                </m:r>
              </m:e>
              <m:sub>
                <m:r>
                  <m:t>C</m:t>
                </m:r>
              </m:sub>
            </m:sSub>
          </m:e>
        </m:d>
      </m:oMath>
      <w:r>
        <w:t xml:space="preserve">; otherwise keep the copied adapter and monitor.</w:t>
      </w:r>
      <w:r>
        <w:t xml:space="preserve"> </w:t>
      </w:r>
      <w:r>
        <w:t xml:space="preserve">With the baseline parameters, a small Pythia upgrade (</w:t>
      </w:r>
      <m:oMath>
        <m:sSub>
          <m:e>
            <m:r>
              <m:t>R</m:t>
            </m:r>
          </m:e>
          <m:sub>
            <m:r>
              <m:t>C</m:t>
            </m:r>
          </m:sub>
        </m:sSub>
        <m:r>
          <m:rPr>
            <m:sty m:val="p"/>
          </m:rPr>
          <m:t>=</m:t>
        </m:r>
        <m:r>
          <m:t>0.96</m:t>
        </m:r>
      </m:oMath>
      <w:r>
        <w:t xml:space="preserve">) gives</w:t>
      </w:r>
      <w:r>
        <w:t xml:space="preserve"> </w:t>
      </w:r>
      <m:oMath>
        <m:sSup>
          <m:e>
            <m:r>
              <m:t>v</m:t>
            </m:r>
          </m:e>
          <m:sup>
            <m:r>
              <m:rPr>
                <m:sty m:val="p"/>
              </m:rPr>
              <m:t>*</m:t>
            </m:r>
          </m:sup>
        </m:sSup>
        <m:r>
          <m:rPr>
            <m:sty m:val="p"/>
          </m:rPr>
          <m:t>=</m:t>
        </m:r>
        <m:r>
          <m:t>55.6</m:t>
        </m:r>
        <m:r>
          <m:t> </m:t>
        </m:r>
        <m:sSub>
          <m:e>
            <m:r>
              <m:t>C</m:t>
            </m:r>
          </m:e>
          <m:sub>
            <m:r>
              <m:t>N</m:t>
            </m:r>
          </m:sub>
        </m:sSub>
      </m:oMath>
      <w:r>
        <w:t xml:space="preserve">, so almost any task should keep the copy. After the largest upgrade (</w:t>
      </w:r>
      <m:oMath>
        <m:sSub>
          <m:e>
            <m:r>
              <m:t>R</m:t>
            </m:r>
          </m:e>
          <m:sub>
            <m:r>
              <m:t>C</m:t>
            </m:r>
          </m:sub>
        </m:sSub>
        <m:r>
          <m:rPr>
            <m:sty m:val="p"/>
          </m:rPr>
          <m:t>=</m:t>
        </m:r>
        <m:r>
          <m:t>0.32</m:t>
        </m:r>
      </m:oMath>
      <w:r>
        <w:t xml:space="preserve">) the threshold falls to</w:t>
      </w:r>
      <w:r>
        <w:t xml:space="preserve"> </w:t>
      </w:r>
      <m:oMath>
        <m:r>
          <m:t>3.6</m:t>
        </m:r>
        <m:r>
          <m:t> </m:t>
        </m:r>
        <m:sSub>
          <m:e>
            <m:r>
              <m:t>C</m:t>
            </m:r>
          </m:e>
          <m:sub>
            <m:r>
              <m:t>N</m:t>
            </m:r>
          </m:sub>
        </m:sSub>
      </m:oMath>
      <w:r>
        <w:t xml:space="preserve">, and a task worth more than that should be retrained at once.</w:t>
      </w:r>
    </w:p>
    <w:p>
      <w:pPr>
        <w:numPr>
          <w:ilvl w:val="0"/>
          <w:numId w:val="1002"/>
        </w:numPr>
      </w:pPr>
      <w:r>
        <w:rPr>
          <w:iCs/>
          <w:i/>
        </w:rPr>
        <w:t xml:space="preserve">Price any alternative method.</w:t>
      </w:r>
      <w:r>
        <w:t xml:space="preserve"> </w:t>
      </w:r>
      <w:r>
        <w:t xml:space="preserve">A transfer procedure that costs</w:t>
      </w:r>
      <w:r>
        <w:t xml:space="preserve"> </w:t>
      </w:r>
      <m:oMath>
        <m:sSub>
          <m:e>
            <m:r>
              <m:t>C</m:t>
            </m:r>
          </m:e>
          <m:sub>
            <m:r>
              <m:t>A</m:t>
            </m:r>
          </m:sub>
        </m:sSub>
      </m:oMath>
      <w:r>
        <w:t xml:space="preserve"> </w:t>
      </w:r>
      <w:r>
        <w:t xml:space="preserve">is worth buying only if its recovery exceeds the break-even level in</w:t>
      </w:r>
      <w:r>
        <w:t xml:space="preserve"> </w:t>
      </w:r>
      <w:r>
        <w:t xml:space="preserve">Table 3. After the large Pythia upgrade, a procedure costing 36% of</w:t>
      </w:r>
      <w:r>
        <w:t xml:space="preserve"> </w:t>
      </w:r>
      <m:oMath>
        <m:sSub>
          <m:e>
            <m:r>
              <m:t>C</m:t>
            </m:r>
          </m:e>
          <m:sub>
            <m:r>
              <m:t>N</m:t>
            </m:r>
          </m:sub>
        </m:sSub>
      </m:oMath>
      <w:r>
        <w:t xml:space="preserve"> </w:t>
      </w:r>
      <w:r>
        <w:t xml:space="preserve">must reach a recovery of 0.62; ACT reached 0.69 to 0.72, so it is worth buying for adapters worth between 1.8 and 4.4 times</w:t>
      </w:r>
      <w:r>
        <w:t xml:space="preserve"> </w:t>
      </w:r>
      <m:oMath>
        <m:sSub>
          <m:e>
            <m:r>
              <m:t>C</m:t>
            </m:r>
          </m:e>
          <m:sub>
            <m:r>
              <m:t>N</m:t>
            </m:r>
          </m:sub>
        </m:sSub>
      </m:oMath>
      <w:r>
        <w:t xml:space="preserve"> </w:t>
      </w:r>
      <w:r>
        <w:t xml:space="preserve">per year, and not outside that range. On the instruction-tuned pair a</w:t>
      </w:r>
      <w:r>
        <w:t xml:space="preserve"> </w:t>
      </w:r>
      <w:r>
        <w:t xml:space="preserve">procedure costing 65% of</w:t>
      </w:r>
      <w:r>
        <w:t xml:space="preserve"> </w:t>
      </w:r>
      <m:oMath>
        <m:sSub>
          <m:e>
            <m:r>
              <m:t>C</m:t>
            </m:r>
          </m:e>
          <m:sub>
            <m:r>
              <m:t>N</m:t>
            </m:r>
          </m:sub>
        </m:sSub>
      </m:oMath>
      <w:r>
        <w:t xml:space="preserve"> </w:t>
      </w:r>
      <w:r>
        <w:t xml:space="preserve">would need a recovery of 0.92, a gain of 21 points over copy, which ACT did not deliver.</w:t>
      </w:r>
    </w:p>
    <w:p>
      <w:pPr>
        <w:pStyle w:val="FirstParagraph"/>
      </w:pPr>
      <w:r>
        <w:t xml:space="preserve">Three cautions apply. The thresholds scale with the full retraining cost, so a team that omits labeling and validation labor from</w:t>
      </w:r>
      <w:r>
        <w:t xml:space="preserve"> </w:t>
      </w:r>
      <m:oMath>
        <m:sSub>
          <m:e>
            <m:r>
              <m:t>C</m:t>
            </m:r>
          </m:e>
          <m:sub>
            <m:r>
              <m:t>N</m:t>
            </m:r>
          </m:sub>
        </m:sSub>
      </m:oMath>
      <w:r>
        <w:t xml:space="preserve"> </w:t>
      </w:r>
      <w:r>
        <w:t xml:space="preserve">will retrain too early. And</w:t>
      </w:r>
      <w:r>
        <w:t xml:space="preserve"> </w:t>
      </w:r>
      <m:oMath>
        <m:sSub>
          <m:e>
            <m:r>
              <m:t>R</m:t>
            </m:r>
          </m:e>
          <m:sub>
            <m:r>
              <m:t>C</m:t>
            </m:r>
          </m:sub>
        </m:sSub>
      </m:oMath>
      <w:r>
        <w:t xml:space="preserve"> </w:t>
      </w:r>
      <w:r>
        <w:t xml:space="preserve">is task-specific: the same upgrade can leave a summarization adapter nearly intact and a reasoning adapter badly degraded, so the measurement in step 1 should be repeated for each adapter that matters. Finally, a transfer method’s cost ratio depends on model scale and implementation (in our runs ACT’s rose from 0.14 to 0.70 between 70 and 410 million parameters), so</w:t>
      </w:r>
      <w:r>
        <w:t xml:space="preserve"> </w:t>
      </w:r>
      <m:oMath>
        <m:sSub>
          <m:e>
            <m:r>
              <m:t>C</m:t>
            </m:r>
          </m:e>
          <m:sub>
            <m:r>
              <m:t>A</m:t>
            </m:r>
          </m:sub>
        </m:sSub>
      </m:oMath>
      <w:r>
        <w:t xml:space="preserve"> </w:t>
      </w:r>
      <w:r>
        <w:t xml:space="preserve">should be measured at the model size in use.</w:t>
      </w:r>
    </w:p>
    <w:bookmarkEnd w:id="29"/>
    <w:bookmarkStart w:id="30" w:name="discussion-and-conclusion"/>
    <w:p>
      <w:pPr>
        <w:pStyle w:val="Heading1"/>
      </w:pPr>
      <w:r>
        <w:t xml:space="preserve">11. Discussion and Conclusion</w:t>
      </w:r>
    </w:p>
    <w:p>
      <w:pPr>
        <w:pStyle w:val="FirstParagraph"/>
      </w:pPr>
      <w:r>
        <w:t xml:space="preserve">For managers, the model reduces AI-asset maintenance to four measurable quantities: the release rate, the volatility of the value at stake, the retraining cost, and the recovery of the available transfer method. It yields a threshold for retraining and a price ceiling for transfer tooling.</w:t>
      </w:r>
      <w:r>
        <w:t xml:space="preserve"> </w:t>
      </w:r>
      <w:r>
        <w:t xml:space="preserve">Our measurements suggest a practical default that depends on the size of the upgrade: when the model moved little, copying the old adapter restores most of the retraining benefit, the retraining threshold is high, and a transfer method must beat copying by only a few points, but at a cost it rarely does; when the model moved a lot, copying collapses, and a cheap closed-form transfer such as ACT can be the cheapest policy over a middle range of adapter values, although in our series its gain covered its cost only at the largest upgrade, and at 410 million parameters, where its compute cost relative to retraining rose to 0.70, not even there.</w:t>
      </w:r>
      <w:r>
        <w:t xml:space="preserve"> </w:t>
      </w:r>
      <w:r>
        <w:t xml:space="preserve">For providers, upgrades that preserve internal representations raise recovery and so raise the value of customers’ existing adapters.</w:t>
      </w:r>
    </w:p>
    <w:p>
      <w:pPr>
        <w:pStyle w:val="BodyText"/>
      </w:pPr>
      <w:r>
        <w:t xml:space="preserve">For researchers, the instruction-tuned pair is a caution. A method can help where the problem is severe and fail on a different kind of upgrade of similar size, and the decision-theoretic break-even makes this visible in a way an accuracy table does not.</w:t>
      </w:r>
    </w:p>
    <w:p>
      <w:pPr>
        <w:pStyle w:val="BodyText"/>
      </w:pPr>
      <w:r>
        <w:rPr>
          <w:bCs/>
          <w:b/>
        </w:rPr>
        <w:t xml:space="preserve">Limitations.</w:t>
      </w:r>
      <w:r>
        <w:t xml:space="preserve"> </w:t>
      </w:r>
      <w:r>
        <w:t xml:space="preserve">First,</w:t>
      </w:r>
      <w:r>
        <w:t xml:space="preserve"> </w:t>
      </w:r>
      <m:oMath>
        <m:sSub>
          <m:e>
            <m:r>
              <m:t>C</m:t>
            </m:r>
          </m:e>
          <m:sub>
            <m:r>
              <m:t>N</m:t>
            </m:r>
          </m:sub>
        </m:sSub>
      </m:oMath>
      <w:r>
        <w:t xml:space="preserve"> </w:t>
      </w:r>
      <w:r>
        <w:t xml:space="preserve">and</w:t>
      </w:r>
      <w:r>
        <w:t xml:space="preserve"> </w:t>
      </w:r>
      <m:oMath>
        <m:sSub>
          <m:e>
            <m:r>
              <m:t>C</m:t>
            </m:r>
          </m:e>
          <m:sub>
            <m:r>
              <m:t>A</m:t>
            </m:r>
          </m:sub>
        </m:sSub>
      </m:oMath>
      <w:r>
        <w:t xml:space="preserve"> </w:t>
      </w:r>
      <w:r>
        <w:t xml:space="preserve">are measured in compute time; data acquisition and revalidation labor</w:t>
      </w:r>
      <w:r>
        <w:t xml:space="preserve"> </w:t>
      </w:r>
      <w:r>
        <w:t xml:space="preserve">are excluded and would lower every cost ratio and raise the thresholds. Second, we ran ten upgrades of models with 70 to 410 million parameters, on a single task (GSM8K), with 200 evaluation examples each. The drift series covers one model family, and only the largest upgrade at 160 million parameters has a replicate; the 70- and 410-million runs have one seed each, and the 410-million run covers a single upgrade. The results do not speak to frontier models or to other tasks.</w:t>
      </w:r>
      <w:r>
        <w:t xml:space="preserve"> </w:t>
      </w:r>
      <w:r>
        <w:t xml:space="preserve">Third, the instruction-tuned pair is an unexplained exception, and we cannot say whether it reflects the upgrade type, the model scale, or something else. The rise of ACT’s relative compute cost with model size is also unexplained, and may reflect our implementation. Fourth, ACT’s gain rises steadily with upgrade size, but it covers ACT’s measured cost only at the largest upgrade, with the next largest narrowly short; the boundary lies between drifts of 0.56 and 0.60 for this implementation and cost, and it would move with a cheaper or better method. Fifth, value follows a stylized diffusion, and recovery is treated as known at the start of an epoch, whereas in</w:t>
      </w:r>
      <w:r>
        <w:t xml:space="preserve"> </w:t>
      </w:r>
      <w:r>
        <w:t xml:space="preserve">practice it must be estimated. Sixth, robustness runs use one recovery pair and renewal rather than self-exciting arrivals, and the release-interval distribution is not estimated from the release history of a real model family.</w:t>
      </w:r>
    </w:p>
    <w:p>
      <w:pPr>
        <w:pStyle w:val="BodyText"/>
      </w:pPr>
      <w:r>
        <w:rPr>
          <w:bCs/>
          <w:b/>
        </w:rPr>
        <w:t xml:space="preserve">Reproducibility.</w:t>
      </w:r>
      <w:r>
        <w:t xml:space="preserve"> </w:t>
      </w:r>
      <w:r>
        <w:t xml:space="preserve">Code, simulation seeds, and result files are described in the Data availability statement.</w:t>
      </w:r>
    </w:p>
    <w:bookmarkEnd w:id="30"/>
    <w:bookmarkStart w:id="31" w:name="credit-authorship-contribution-statement"/>
    <w:p>
      <w:pPr>
        <w:pStyle w:val="Heading1"/>
      </w:pPr>
      <w:r>
        <w:t xml:space="preserve">CRediT authorship contribution statement</w:t>
      </w:r>
    </w:p>
    <w:p>
      <w:pPr>
        <w:pStyle w:val="FirstParagraph"/>
      </w:pPr>
      <w:r>
        <w:t xml:space="preserve">Ook Lee: Conceptualization, Methodology, Writing – review &amp; editing.</w:t>
      </w:r>
      <w:r>
        <w:t xml:space="preserve"> </w:t>
      </w:r>
      <w:r>
        <w:rPr>
          <w:bCs/>
          <w:b/>
        </w:rPr>
        <w:t xml:space="preserve">[Author to confirm roles and add any co-authors.]</w:t>
      </w:r>
    </w:p>
    <w:bookmarkEnd w:id="31"/>
    <w:bookmarkStart w:id="32" w:name="declaration-of-competing-interest"/>
    <w:p>
      <w:pPr>
        <w:pStyle w:val="Heading1"/>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r>
        <w:t xml:space="preserve"> </w:t>
      </w:r>
      <w:r>
        <w:rPr>
          <w:bCs/>
          <w:b/>
        </w:rPr>
        <w:t xml:space="preserve">[Author to confirm.]</w:t>
      </w:r>
    </w:p>
    <w:bookmarkEnd w:id="32"/>
    <w:bookmarkStart w:id="33"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Claude (Anthropic) to assist with writing and running the simulation and experiment code, analyzing results, and drafting and language-editing the manuscript. After using this tool, the author reviewed and edited the content as needed and takes full responsibility for the content of the publication.</w:t>
      </w:r>
      <w:r>
        <w:t xml:space="preserve"> </w:t>
      </w:r>
      <w:r>
        <w:rPr>
          <w:bCs/>
          <w:b/>
        </w:rPr>
        <w:t xml:space="preserve">[Author to confirm that this statement is accurate before submission.]</w:t>
      </w:r>
    </w:p>
    <w:bookmarkEnd w:id="33"/>
    <w:bookmarkStart w:id="34" w:name="data-availability"/>
    <w:p>
      <w:pPr>
        <w:pStyle w:val="Heading1"/>
      </w:pPr>
      <w:r>
        <w:t xml:space="preserve">Data availability</w:t>
      </w:r>
    </w:p>
    <w:p>
      <w:pPr>
        <w:pStyle w:val="FirstParagraph"/>
      </w:pPr>
      <w:r>
        <w:t xml:space="preserve">The code, simulation seeds, and result files are available at https://github.com/ooklee-sudo/fluffy-meme (branch claude/elegant-johnson-xo3pqu).</w:t>
      </w:r>
      <w:r>
        <w:t xml:space="preserve"> </w:t>
      </w:r>
      <w:r>
        <w:rPr>
          <w:bCs/>
          <w:b/>
        </w:rPr>
        <w:t xml:space="preserve">[Author to confirm that the repository is accessible to reviewers and to archive a permanent copy in a DOI-issuing repository before submission.]</w:t>
      </w:r>
    </w:p>
    <w:bookmarkEnd w:id="34"/>
    <w:bookmarkStart w:id="35" w:name="appendix-a.-proof-sketches"/>
    <w:p>
      <w:pPr>
        <w:pStyle w:val="Heading1"/>
      </w:pPr>
      <w:r>
        <w:t xml:space="preserve">Appendix A. Proof Sketches</w:t>
      </w:r>
    </w:p>
    <w:p>
      <w:pPr>
        <w:pStyle w:val="FirstParagraph"/>
      </w:pPr>
      <w:r>
        <w:rPr>
          <w:bCs/>
          <w:b/>
        </w:rPr>
        <w:t xml:space="preserve">Proposition 1.</w:t>
      </w:r>
      <w:r>
        <w:t xml:space="preserve"> </w:t>
      </w:r>
      <w:r>
        <w:t xml:space="preserve">Independence of</w:t>
      </w:r>
      <w:r>
        <w:t xml:space="preserve"> </w:t>
      </w:r>
      <m:oMath>
        <m:r>
          <m:t>τ</m:t>
        </m:r>
      </m:oMath>
      <w:r>
        <w:t xml:space="preserve"> </w:t>
      </w:r>
      <w:r>
        <w:t xml:space="preserve">turns discounting into</w:t>
      </w:r>
      <w:r>
        <w:t xml:space="preserve"> </w:t>
      </w:r>
      <m:oMath>
        <m:sSup>
          <m:e>
            <m:r>
              <m:t>e</m:t>
            </m:r>
          </m:e>
          <m:sup>
            <m:r>
              <m:rPr>
                <m:sty m:val="p"/>
              </m:rPr>
              <m:t>−</m:t>
            </m:r>
            <m:d>
              <m:dPr>
                <m:begChr m:val="("/>
                <m:endChr m:val=")"/>
                <m:sepChr m:val=""/>
                <m:grow/>
              </m:dPr>
              <m:e>
                <m:r>
                  <m:t>ρ</m:t>
                </m:r>
                <m:r>
                  <m:rPr>
                    <m:sty m:val="p"/>
                  </m:rPr>
                  <m:t>+</m:t>
                </m:r>
                <m:r>
                  <m:t>μ</m:t>
                </m:r>
              </m:e>
            </m:d>
            <m:r>
              <m:t>t</m:t>
            </m:r>
          </m:sup>
        </m:sSup>
      </m:oMath>
      <w:r>
        <w:t xml:space="preserve">. Without</w:t>
      </w:r>
      <w:r>
        <w:t xml:space="preserve"> </w:t>
      </w:r>
      <w:r>
        <w:t xml:space="preserve">retraining, the expected loss is</w:t>
      </w:r>
      <w:r>
        <w:t xml:space="preserve"> </w:t>
      </w:r>
      <m:oMath>
        <m:r>
          <m:rPr>
            <m:sty m:val="p"/>
            <m:scr m:val="double-struck"/>
          </m:rPr>
          <m:t>E</m:t>
        </m:r>
        <m:nary>
          <m:naryPr>
            <m:chr m:val="∫"/>
            <m:limLoc m:val="subSup"/>
            <m:subHide m:val="off"/>
            <m:supHide m:val="off"/>
          </m:naryPr>
          <m:sub>
            <m:r>
              <m:t>0</m:t>
            </m:r>
          </m:sub>
          <m:sup>
            <m:r>
              <m:rPr>
                <m:sty m:val="p"/>
              </m:rPr>
              <m:t>∞</m:t>
            </m:r>
          </m:sup>
          <m:e>
            <m:sSup>
              <m:e>
                <m:r>
                  <m:t>e</m:t>
                </m:r>
              </m:e>
              <m:sup>
                <m:r>
                  <m:rPr>
                    <m:sty m:val="p"/>
                  </m:rPr>
                  <m:t>−</m:t>
                </m:r>
                <m:d>
                  <m:dPr>
                    <m:begChr m:val="("/>
                    <m:endChr m:val=")"/>
                    <m:sepChr m:val=""/>
                    <m:grow/>
                  </m:dPr>
                  <m:e>
                    <m:r>
                      <m:t>ρ</m:t>
                    </m:r>
                    <m:r>
                      <m:rPr>
                        <m:sty m:val="p"/>
                      </m:rPr>
                      <m:t>+</m:t>
                    </m:r>
                    <m:r>
                      <m:t>μ</m:t>
                    </m:r>
                  </m:e>
                </m:d>
                <m:r>
                  <m:t>t</m:t>
                </m:r>
              </m:sup>
            </m:sSup>
          </m:e>
        </m:nary>
        <m:d>
          <m:dPr>
            <m:begChr m:val="("/>
            <m:endChr m:val=")"/>
            <m:sepChr m:val=""/>
            <m:grow/>
          </m:dPr>
          <m:e>
            <m:r>
              <m:t>1</m:t>
            </m:r>
            <m:r>
              <m:rPr>
                <m:sty m:val="p"/>
              </m:rPr>
              <m:t>−</m:t>
            </m:r>
            <m:r>
              <m:t>R</m:t>
            </m:r>
          </m:e>
        </m:d>
        <m:sSub>
          <m:e>
            <m:r>
              <m:t>v</m:t>
            </m:r>
          </m:e>
          <m:sub>
            <m:r>
              <m:t>t</m:t>
            </m:r>
          </m:sub>
        </m:sSub>
        <m:r>
          <m:t> </m:t>
        </m:r>
        <m:r>
          <m:t>d</m:t>
        </m:r>
        <m:r>
          <m:t>t</m:t>
        </m:r>
        <m:r>
          <m:rPr>
            <m:sty m:val="p"/>
          </m:rPr>
          <m:t>=</m:t>
        </m:r>
        <m:d>
          <m:dPr>
            <m:begChr m:val="("/>
            <m:endChr m:val=")"/>
            <m:sepChr m:val=""/>
            <m:grow/>
          </m:dPr>
          <m:e>
            <m:r>
              <m:t>1</m:t>
            </m:r>
            <m:r>
              <m:rPr>
                <m:sty m:val="p"/>
              </m:rPr>
              <m:t>−</m:t>
            </m:r>
            <m:r>
              <m:t>R</m:t>
            </m:r>
          </m:e>
        </m:d>
        <m:r>
          <m:t>v</m:t>
        </m:r>
        <m:r>
          <m:rPr>
            <m:sty m:val="p"/>
          </m:rPr>
          <m:t>/</m:t>
        </m:r>
        <m:d>
          <m:dPr>
            <m:begChr m:val="("/>
            <m:endChr m:val=")"/>
            <m:sepChr m:val=""/>
            <m:grow/>
          </m:dPr>
          <m:e>
            <m:r>
              <m:t>ρ</m:t>
            </m:r>
            <m:r>
              <m:rPr>
                <m:sty m:val="p"/>
              </m:rPr>
              <m:t>+</m:t>
            </m:r>
            <m:r>
              <m:t>μ</m:t>
            </m:r>
            <m:r>
              <m:rPr>
                <m:sty m:val="p"/>
              </m:rPr>
              <m:t>−</m:t>
            </m:r>
            <m:r>
              <m:t>g</m:t>
            </m:r>
          </m:e>
        </m:d>
        <m:r>
          <m:rPr>
            <m:sty m:val="p"/>
          </m:rPr>
          <m:t>=</m:t>
        </m:r>
        <m:r>
          <m:t>k</m:t>
        </m:r>
        <m:r>
          <m:t>v</m:t>
        </m:r>
      </m:oMath>
      <w:r>
        <w:t xml:space="preserve">. Retraining at</w:t>
      </w:r>
      <w:r>
        <w:t xml:space="preserve"> </w:t>
      </w:r>
      <m:oMath>
        <m:r>
          <m:t>T</m:t>
        </m:r>
      </m:oMath>
      <w:r>
        <w:t xml:space="preserve"> </w:t>
      </w:r>
      <w:r>
        <w:t xml:space="preserve">removes the remaining loss</w:t>
      </w:r>
      <w:r>
        <w:t xml:space="preserve"> </w:t>
      </w:r>
      <m:oMath>
        <m:r>
          <m:t>k</m:t>
        </m:r>
        <m:sSub>
          <m:e>
            <m:r>
              <m:t>v</m:t>
            </m:r>
          </m:e>
          <m:sub>
            <m:r>
              <m:t>T</m:t>
            </m:r>
          </m:sub>
        </m:sSub>
      </m:oMath>
      <w:r>
        <w:t xml:space="preserve"> </w:t>
      </w:r>
      <w:r>
        <w:t xml:space="preserve">at cost</w:t>
      </w:r>
      <w:r>
        <w:t xml:space="preserve"> </w:t>
      </w:r>
      <m:oMath>
        <m:sSub>
          <m:e>
            <m:r>
              <m:t>C</m:t>
            </m:r>
          </m:e>
          <m:sub>
            <m:r>
              <m:t>N</m:t>
            </m:r>
          </m:sub>
        </m:sSub>
      </m:oMath>
      <w:r>
        <w:t xml:space="preserve">, so the retraining benefit is</w:t>
      </w:r>
      <w:r>
        <w:t xml:space="preserve"> </w:t>
      </w:r>
      <m:oMath>
        <m:r>
          <m:t>F</m:t>
        </m:r>
        <m:d>
          <m:dPr>
            <m:begChr m:val="("/>
            <m:endChr m:val=")"/>
            <m:sepChr m:val=""/>
            <m:grow/>
          </m:dPr>
          <m:e>
            <m:r>
              <m:t>v</m:t>
            </m:r>
          </m:e>
        </m:d>
        <m:r>
          <m:rPr>
            <m:sty m:val="p"/>
          </m:rPr>
          <m:t>=</m:t>
        </m:r>
        <m:sSub>
          <m:e>
            <m:r>
              <m:rPr>
                <m:sty m:val="p"/>
              </m:rPr>
              <m:t>sup</m:t>
            </m:r>
          </m:e>
          <m:sub>
            <m:r>
              <m:t>T</m:t>
            </m:r>
          </m:sub>
        </m:sSub>
        <m:r>
          <m:rPr>
            <m:sty m:val="p"/>
            <m:scr m:val="double-struck"/>
          </m:rPr>
          <m:t>E</m:t>
        </m:r>
        <m:d>
          <m:dPr>
            <m:begChr m:val="["/>
            <m:endChr m:val="]"/>
            <m:sepChr m:val=""/>
            <m:grow/>
          </m:dPr>
          <m:e>
            <m:sSup>
              <m:e>
                <m:r>
                  <m:t>e</m:t>
                </m:r>
              </m:e>
              <m:sup>
                <m:r>
                  <m:rPr>
                    <m:sty m:val="p"/>
                  </m:rPr>
                  <m:t>−</m:t>
                </m:r>
                <m:d>
                  <m:dPr>
                    <m:begChr m:val="("/>
                    <m:endChr m:val=")"/>
                    <m:sepChr m:val=""/>
                    <m:grow/>
                  </m:dPr>
                  <m:e>
                    <m:r>
                      <m:t>ρ</m:t>
                    </m:r>
                    <m:r>
                      <m:rPr>
                        <m:sty m:val="p"/>
                      </m:rPr>
                      <m:t>+</m:t>
                    </m:r>
                    <m:r>
                      <m:t>μ</m:t>
                    </m:r>
                  </m:e>
                </m:d>
                <m:r>
                  <m:t>T</m:t>
                </m:r>
              </m:sup>
            </m:sSup>
            <m:d>
              <m:dPr>
                <m:begChr m:val="("/>
                <m:endChr m:val=")"/>
                <m:sepChr m:val=""/>
                <m:grow/>
              </m:dPr>
              <m:e>
                <m:r>
                  <m:t>k</m:t>
                </m:r>
                <m:sSub>
                  <m:e>
                    <m:r>
                      <m:t>v</m:t>
                    </m:r>
                  </m:e>
                  <m:sub>
                    <m:r>
                      <m:t>T</m:t>
                    </m:r>
                  </m:sub>
                </m:sSub>
                <m:r>
                  <m:rPr>
                    <m:sty m:val="p"/>
                  </m:rPr>
                  <m:t>−</m:t>
                </m:r>
                <m:sSub>
                  <m:e>
                    <m:r>
                      <m:t>C</m:t>
                    </m:r>
                  </m:e>
                  <m:sub>
                    <m:r>
                      <m:t>N</m:t>
                    </m:r>
                  </m:sub>
                </m:sSub>
              </m:e>
            </m:d>
          </m:e>
        </m:d>
      </m:oMath>
      <w:r>
        <w:t xml:space="preserve">, a perpetual-call problem with payoff slope</w:t>
      </w:r>
      <w:r>
        <w:t xml:space="preserve"> </w:t>
      </w:r>
      <m:oMath>
        <m:r>
          <m:t>k</m:t>
        </m:r>
      </m:oMath>
      <w:r>
        <w:t xml:space="preserve"> </w:t>
      </w:r>
      <w:r>
        <w:t xml:space="preserve">and strike</w:t>
      </w:r>
      <w:r>
        <w:t xml:space="preserve"> </w:t>
      </w:r>
      <m:oMath>
        <m:sSub>
          <m:e>
            <m:r>
              <m:t>C</m:t>
            </m:r>
          </m:e>
          <m:sub>
            <m:r>
              <m:t>N</m:t>
            </m:r>
          </m:sub>
        </m:sSub>
      </m:oMath>
      <w:r>
        <w:t xml:space="preserve">. Standard</w:t>
      </w:r>
      <w:r>
        <w:t xml:space="preserve"> </w:t>
      </w:r>
      <w:r>
        <w:t xml:space="preserve">arguments (Dixit and Pindyck, 1994) give a threshold rule, with</w:t>
      </w:r>
      <w:r>
        <w:t xml:space="preserve"> </w:t>
      </w:r>
      <m:oMath>
        <m:r>
          <m:t>F</m:t>
        </m:r>
        <m:d>
          <m:dPr>
            <m:begChr m:val="("/>
            <m:endChr m:val=")"/>
            <m:sepChr m:val=""/>
            <m:grow/>
          </m:dPr>
          <m:e>
            <m:r>
              <m:t>v</m:t>
            </m:r>
          </m:e>
        </m:d>
        <m:r>
          <m:rPr>
            <m:sty m:val="p"/>
          </m:rPr>
          <m:t>=</m:t>
        </m:r>
        <m:r>
          <m:t>A</m:t>
        </m:r>
        <m:sSup>
          <m:e>
            <m:r>
              <m:t>v</m:t>
            </m:r>
          </m:e>
          <m:sup>
            <m:r>
              <m:t>β</m:t>
            </m:r>
          </m:sup>
        </m:sSup>
      </m:oMath>
      <w:r>
        <w:t xml:space="preserve"> </w:t>
      </w:r>
      <w:r>
        <w:t xml:space="preserve">below the threshold. Value matching</w:t>
      </w:r>
      <w:r>
        <w:t xml:space="preserve"> </w:t>
      </w:r>
      <w:r>
        <w:t xml:space="preserve">and smooth pasting at</w:t>
      </w:r>
      <w:r>
        <w:t xml:space="preserve"> </w:t>
      </w:r>
      <m:oMath>
        <m:sSup>
          <m:e>
            <m:r>
              <m:t>v</m:t>
            </m:r>
          </m:e>
          <m:sup>
            <m:r>
              <m:rPr>
                <m:sty m:val="p"/>
              </m:rPr>
              <m:t>*</m:t>
            </m:r>
          </m:sup>
        </m:sSup>
      </m:oMath>
      <w:r>
        <w:t xml:space="preserve"> </w:t>
      </w:r>
      <w:r>
        <w:t xml:space="preserve">yield</w:t>
      </w:r>
      <w:r>
        <w:t xml:space="preserve"> </w:t>
      </w:r>
      <m:oMath>
        <m:sSup>
          <m:e>
            <m:r>
              <m:t>v</m:t>
            </m:r>
          </m:e>
          <m:sup>
            <m:r>
              <m:rPr>
                <m:sty m:val="p"/>
              </m:rPr>
              <m:t>*</m:t>
            </m:r>
          </m:sup>
        </m:sSup>
        <m:r>
          <m:rPr>
            <m:sty m:val="p"/>
          </m:rPr>
          <m:t>=</m:t>
        </m:r>
        <m:r>
          <m:t>β</m:t>
        </m:r>
        <m:sSub>
          <m:e>
            <m:r>
              <m:t>C</m:t>
            </m:r>
          </m:e>
          <m:sub>
            <m:r>
              <m:t>N</m:t>
            </m:r>
          </m:sub>
        </m:sSub>
        <m:r>
          <m:rPr>
            <m:sty m:val="p"/>
          </m:rPr>
          <m:t>/</m:t>
        </m:r>
        <m:d>
          <m:dPr>
            <m:begChr m:val="("/>
            <m:endChr m:val=")"/>
            <m:sepChr m:val=""/>
            <m:grow/>
          </m:dPr>
          <m:e>
            <m:d>
              <m:dPr>
                <m:begChr m:val="("/>
                <m:endChr m:val=")"/>
                <m:sepChr m:val=""/>
                <m:grow/>
              </m:dPr>
              <m:e>
                <m:r>
                  <m:t>β</m:t>
                </m:r>
                <m:r>
                  <m:rPr>
                    <m:sty m:val="p"/>
                  </m:rPr>
                  <m:t>−</m:t>
                </m:r>
                <m:r>
                  <m:t>1</m:t>
                </m:r>
              </m:e>
            </m:d>
            <m:r>
              <m:t>k</m:t>
            </m:r>
          </m:e>
        </m:d>
      </m:oMath>
      <w:r>
        <w:t xml:space="preserve"> </w:t>
      </w:r>
      <w:r>
        <w:t xml:space="preserve">and</w:t>
      </w:r>
      <w:r>
        <w:t xml:space="preserve"> </w:t>
      </w:r>
      <m:oMath>
        <m:r>
          <m:t>A</m:t>
        </m:r>
        <m:r>
          <m:rPr>
            <m:sty m:val="p"/>
          </m:rPr>
          <m:t>=</m:t>
        </m:r>
        <m:d>
          <m:dPr>
            <m:begChr m:val="("/>
            <m:endChr m:val=")"/>
            <m:sepChr m:val=""/>
            <m:grow/>
          </m:dPr>
          <m:e>
            <m:r>
              <m:t>k</m:t>
            </m:r>
            <m:sSup>
              <m:e>
                <m:r>
                  <m:t>v</m:t>
                </m:r>
              </m:e>
              <m:sup>
                <m:r>
                  <m:rPr>
                    <m:sty m:val="p"/>
                  </m:rPr>
                  <m:t>*</m:t>
                </m:r>
              </m:sup>
            </m:sSup>
            <m:r>
              <m:rPr>
                <m:sty m:val="p"/>
              </m:rPr>
              <m:t>−</m:t>
            </m:r>
            <m:sSub>
              <m:e>
                <m:r>
                  <m:t>C</m:t>
                </m:r>
              </m:e>
              <m:sub>
                <m:r>
                  <m:t>N</m:t>
                </m:r>
              </m:sub>
            </m:sSub>
          </m:e>
        </m:d>
        <m:r>
          <m:rPr>
            <m:sty m:val="p"/>
          </m:rPr>
          <m:t>/</m:t>
        </m:r>
        <m:sSup>
          <m:e>
            <m:sSup>
              <m:e>
                <m:r>
                  <m:t>v</m:t>
                </m:r>
              </m:e>
              <m:sup>
                <m:r>
                  <m:rPr>
                    <m:sty m:val="p"/>
                  </m:rPr>
                  <m:t>*</m:t>
                </m:r>
              </m:sup>
            </m:sSup>
          </m:e>
          <m:sup>
            <m:r>
              <m:t>β</m:t>
            </m:r>
          </m:sup>
        </m:sSup>
      </m:oMath>
      <w:r>
        <w:t xml:space="preserve">. Using</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which follows from</w:t>
      </w:r>
      <w:r>
        <w:t xml:space="preserve"> </w:t>
      </w:r>
      <m:oMath>
        <m:r>
          <m:t>Q</m:t>
        </m:r>
        <m:d>
          <m:dPr>
            <m:begChr m:val="("/>
            <m:endChr m:val=")"/>
            <m:sepChr m:val=""/>
            <m:grow/>
          </m:dPr>
          <m:e>
            <m:r>
              <m:t>β</m:t>
            </m:r>
          </m:e>
        </m:d>
        <m:r>
          <m:rPr>
            <m:sty m:val="p"/>
          </m:rPr>
          <m:t>=</m:t>
        </m:r>
        <m:r>
          <m:t>0</m:t>
        </m:r>
      </m:oMath>
      <w:r>
        <w:t xml:space="preserve">, gives the second form of</w:t>
      </w:r>
      <w:r>
        <w:t xml:space="preserve"> </w:t>
      </w:r>
      <m:oMath>
        <m:sSup>
          <m:e>
            <m:r>
              <m:t>v</m:t>
            </m:r>
          </m:e>
          <m:sup>
            <m:r>
              <m:rPr>
                <m:sty m:val="p"/>
              </m:rPr>
              <m:t>*</m:t>
            </m:r>
          </m:sup>
        </m:sSup>
      </m:oMath>
      <w:r>
        <w:t xml:space="preserve">.</w:t>
      </w:r>
    </w:p>
    <w:p>
      <w:pPr>
        <w:pStyle w:val="BodyText"/>
      </w:pPr>
      <w:r>
        <w:rPr>
          <w:bCs/>
          <w:b/>
        </w:rPr>
        <w:t xml:space="preserve">Proposition 2.</w:t>
      </w:r>
      <w:r>
        <w:t xml:space="preserve"> </w:t>
      </w:r>
      <w:r>
        <w:t xml:space="preserve">Monotonicity in</w:t>
      </w:r>
      <w:r>
        <w:t xml:space="preserve"> </w:t>
      </w:r>
      <m:oMath>
        <m:r>
          <m:t>R</m:t>
        </m:r>
      </m:oMath>
      <w:r>
        <w:t xml:space="preserve"> </w:t>
      </w:r>
      <w:r>
        <w:t xml:space="preserve">is immediate from</w:t>
      </w:r>
      <w:r>
        <w:t xml:space="preserve"> </w:t>
      </w:r>
      <m:oMath>
        <m:r>
          <m:t>1</m:t>
        </m:r>
        <m:r>
          <m:rPr>
            <m:sty m:val="p"/>
          </m:rPr>
          <m:t>/</m:t>
        </m:r>
        <m:d>
          <m:dPr>
            <m:begChr m:val="("/>
            <m:endChr m:val=")"/>
            <m:sepChr m:val=""/>
            <m:grow/>
          </m:dPr>
          <m:e>
            <m:r>
              <m:t>1</m:t>
            </m:r>
            <m:r>
              <m:rPr>
                <m:sty m:val="p"/>
              </m:rPr>
              <m:t>−</m:t>
            </m:r>
            <m:r>
              <m:t>R</m:t>
            </m:r>
          </m:e>
        </m:d>
      </m:oMath>
      <w:r>
        <w:t xml:space="preserve">. Since</w:t>
      </w:r>
      <w:r>
        <w:t xml:space="preserve"> </w:t>
      </w:r>
      <m:oMath>
        <m:r>
          <m:t>Q</m:t>
        </m:r>
        <m:d>
          <m:dPr>
            <m:begChr m:val="("/>
            <m:endChr m:val=")"/>
            <m:sepChr m:val=""/>
            <m:grow/>
          </m:dPr>
          <m:e>
            <m:r>
              <m:t>β</m:t>
            </m:r>
          </m:e>
        </m:d>
      </m:oMath>
      <w:r>
        <w:t xml:space="preserve"> </w:t>
      </w:r>
      <w:r>
        <w:t xml:space="preserve">increases in</w:t>
      </w:r>
      <w:r>
        <w:t xml:space="preserve"> </w:t>
      </w:r>
      <m:oMath>
        <m:r>
          <m:t>β</m:t>
        </m:r>
      </m:oMath>
      <w:r>
        <w:t xml:space="preserve"> </w:t>
      </w:r>
      <w:r>
        <w:t xml:space="preserve">on</w:t>
      </w:r>
      <w:r>
        <w:t xml:space="preserve"> </w:t>
      </w:r>
      <m:oMath>
        <m:d>
          <m:dPr>
            <m:begChr m:val="("/>
            <m:endChr m:val=")"/>
            <m:sepChr m:val=""/>
            <m:grow/>
          </m:dPr>
          <m:e>
            <m:r>
              <m:t>1</m:t>
            </m:r>
            <m:r>
              <m:rPr>
                <m:sty m:val="p"/>
              </m:rPr>
              <m:t>,</m:t>
            </m:r>
            <m:r>
              <m:rPr>
                <m:sty m:val="p"/>
              </m:rPr>
              <m:t>∞</m:t>
            </m:r>
          </m:e>
        </m:d>
      </m:oMath>
      <w:r>
        <w:t xml:space="preserve"> </w:t>
      </w:r>
      <w:r>
        <w:t xml:space="preserve">and decreases in</w:t>
      </w:r>
      <w:r>
        <w:t xml:space="preserve"> </w:t>
      </w:r>
      <m:oMath>
        <m:r>
          <m:t>ρ</m:t>
        </m:r>
        <m:r>
          <m:rPr>
            <m:sty m:val="p"/>
          </m:rPr>
          <m:t>+</m:t>
        </m:r>
        <m:r>
          <m:t>μ</m:t>
        </m:r>
      </m:oMath>
      <w:r>
        <w:t xml:space="preserve">,</w:t>
      </w:r>
      <w:r>
        <w:t xml:space="preserve"> </w:t>
      </w:r>
      <m:oMath>
        <m:r>
          <m:t>β</m:t>
        </m:r>
      </m:oMath>
      <w:r>
        <w:t xml:space="preserve"> </w:t>
      </w:r>
      <w:r>
        <w:t xml:space="preserve">is increasing in</w:t>
      </w:r>
      <w:r>
        <w:t xml:space="preserve"> </w:t>
      </w:r>
      <m:oMath>
        <m:r>
          <m:t>ρ</m:t>
        </m:r>
        <m:r>
          <m:rPr>
            <m:sty m:val="p"/>
          </m:rPr>
          <m:t>+</m:t>
        </m:r>
        <m:r>
          <m:t>μ</m:t>
        </m:r>
      </m:oMath>
      <w:r>
        <w:t xml:space="preserve">, and</w:t>
      </w:r>
      <w:r>
        <w:t xml:space="preserve"> </w:t>
      </w:r>
      <m:oMath>
        <m:sSup>
          <m:e>
            <m:r>
              <m:t>v</m:t>
            </m:r>
          </m:e>
          <m:sup>
            <m:r>
              <m:rPr>
                <m:sty m:val="p"/>
              </m:rPr>
              <m:t>*</m:t>
            </m:r>
          </m:sup>
        </m:sSup>
        <m:r>
          <m:rPr>
            <m:sty m:val="p"/>
          </m:rPr>
          <m:t>=</m:t>
        </m:r>
        <m:sSub>
          <m:e>
            <m:r>
              <m:t>C</m:t>
            </m:r>
          </m:e>
          <m:sub>
            <m:r>
              <m:t>N</m:t>
            </m:r>
          </m:sub>
        </m:sSub>
        <m:r>
          <m:t>β</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d>
          <m:dPr>
            <m:begChr m:val="("/>
            <m:endChr m:val=")"/>
            <m:sepChr m:val=""/>
            <m:grow/>
          </m:dPr>
          <m:e>
            <m:r>
              <m:t>1</m:t>
            </m:r>
            <m:r>
              <m:rPr>
                <m:sty m:val="p"/>
              </m:rPr>
              <m:t>−</m:t>
            </m:r>
            <m:r>
              <m:t>R</m:t>
            </m:r>
          </m:e>
        </m:d>
      </m:oMath>
      <w:r>
        <w:t xml:space="preserve"> </w:t>
      </w:r>
      <w:r>
        <w:t xml:space="preserve">is increasing in</w:t>
      </w:r>
      <w:r>
        <w:t xml:space="preserve"> </w:t>
      </w:r>
      <m:oMath>
        <m:r>
          <m:t>β</m:t>
        </m:r>
      </m:oMath>
      <w:r>
        <w:t xml:space="preserve">. For</w:t>
      </w:r>
      <w:r>
        <w:t xml:space="preserve"> </w:t>
      </w:r>
      <m:oMath>
        <m:r>
          <m:t>σ</m:t>
        </m:r>
      </m:oMath>
      <w:r>
        <w:t xml:space="preserve">,</w:t>
      </w:r>
      <w:r>
        <w:t xml:space="preserve"> </w:t>
      </w:r>
      <m:oMath>
        <m:r>
          <m:t>β</m:t>
        </m:r>
      </m:oMath>
      <w:r>
        <w:t xml:space="preserve"> </w:t>
      </w:r>
      <w:r>
        <w:t xml:space="preserve">is decreasing in</w:t>
      </w:r>
      <w:r>
        <w:t xml:space="preserve"> </w:t>
      </w:r>
      <m:oMath>
        <m:r>
          <m:t>σ</m:t>
        </m:r>
      </m:oMath>
      <w:r>
        <w:t xml:space="preserve"> </w:t>
      </w:r>
      <w:r>
        <w:t xml:space="preserve">and</w:t>
      </w:r>
      <w:r>
        <w:t xml:space="preserve"> </w:t>
      </w:r>
      <m:oMath>
        <m:sSup>
          <m:e>
            <m:r>
              <m:t>v</m:t>
            </m:r>
          </m:e>
          <m:sup>
            <m:r>
              <m:rPr>
                <m:sty m:val="p"/>
              </m:rPr>
              <m:t>*</m:t>
            </m:r>
          </m:sup>
        </m:sSup>
        <m:r>
          <m:rPr>
            <m:sty m:val="p"/>
          </m:rPr>
          <m:t>=</m:t>
        </m:r>
        <m:f>
          <m:fPr>
            <m:type m:val="bar"/>
          </m:fPr>
          <m:num>
            <m:r>
              <m:t>β</m:t>
            </m:r>
          </m:num>
          <m:den>
            <m:r>
              <m:t>β</m:t>
            </m:r>
            <m:r>
              <m:rPr>
                <m:sty m:val="p"/>
              </m:rPr>
              <m:t>−</m:t>
            </m:r>
            <m:r>
              <m:t>1</m:t>
            </m:r>
          </m:den>
        </m:f>
        <m:r>
          <m:t> </m:t>
        </m:r>
        <m:sSub>
          <m:e>
            <m:r>
              <m:t>C</m:t>
            </m:r>
          </m:e>
          <m:sub>
            <m:r>
              <m:t>N</m:t>
            </m:r>
          </m:sub>
        </m:sSub>
        <m:d>
          <m:dPr>
            <m:begChr m:val="("/>
            <m:endChr m:val=")"/>
            <m:sepChr m:val=""/>
            <m:grow/>
          </m:dPr>
          <m:e>
            <m:r>
              <m:t>ρ</m:t>
            </m:r>
            <m:r>
              <m:rPr>
                <m:sty m:val="p"/>
              </m:rPr>
              <m:t>+</m:t>
            </m:r>
            <m:r>
              <m:t>μ</m:t>
            </m:r>
            <m:r>
              <m:rPr>
                <m:sty m:val="p"/>
              </m:rPr>
              <m:t>−</m:t>
            </m:r>
            <m:r>
              <m:t>g</m:t>
            </m:r>
          </m:e>
        </m:d>
        <m:r>
          <m:rPr>
            <m:sty m:val="p"/>
          </m:rPr>
          <m:t>/</m:t>
        </m:r>
        <m:d>
          <m:dPr>
            <m:begChr m:val="("/>
            <m:endChr m:val=")"/>
            <m:sepChr m:val=""/>
            <m:grow/>
          </m:dPr>
          <m:e>
            <m:r>
              <m:t>1</m:t>
            </m:r>
            <m:r>
              <m:rPr>
                <m:sty m:val="p"/>
              </m:rPr>
              <m:t>−</m:t>
            </m:r>
            <m:r>
              <m:t>R</m:t>
            </m:r>
          </m:e>
        </m:d>
      </m:oMath>
      <w:r>
        <w:t xml:space="preserve"> </w:t>
      </w:r>
      <w:r>
        <w:t xml:space="preserve">with</w:t>
      </w:r>
      <w:r>
        <w:t xml:space="preserve"> </w:t>
      </w:r>
      <m:oMath>
        <m:r>
          <m:t>ρ</m:t>
        </m:r>
        <m:r>
          <m:rPr>
            <m:sty m:val="p"/>
          </m:rPr>
          <m:t>+</m:t>
        </m:r>
        <m:r>
          <m:t>μ</m:t>
        </m:r>
        <m:r>
          <m:rPr>
            <m:sty m:val="p"/>
          </m:rPr>
          <m:t>−</m:t>
        </m:r>
        <m:r>
          <m:t>g</m:t>
        </m:r>
      </m:oMath>
      <w:r>
        <w:t xml:space="preserve"> </w:t>
      </w:r>
      <w:r>
        <w:t xml:space="preserve">independent of</w:t>
      </w:r>
      <w:r>
        <w:t xml:space="preserve"> </w:t>
      </w:r>
      <m:oMath>
        <m:r>
          <m:t>σ</m:t>
        </m:r>
      </m:oMath>
      <w:r>
        <w:t xml:space="preserve">, so</w:t>
      </w:r>
      <w:r>
        <w:t xml:space="preserve"> </w:t>
      </w:r>
      <m:oMath>
        <m:sSup>
          <m:e>
            <m:r>
              <m:t>v</m:t>
            </m:r>
          </m:e>
          <m:sup>
            <m:r>
              <m:rPr>
                <m:sty m:val="p"/>
              </m:rPr>
              <m:t>*</m:t>
            </m:r>
          </m:sup>
        </m:sSup>
      </m:oMath>
      <w:r>
        <w:t xml:space="preserve"> </w:t>
      </w:r>
      <w:r>
        <w:t xml:space="preserve">increases as</w:t>
      </w:r>
      <w:r>
        <w:t xml:space="preserve"> </w:t>
      </w:r>
      <m:oMath>
        <m:r>
          <m:t>β</m:t>
        </m:r>
        <m:r>
          <m:rPr>
            <m:sty m:val="p"/>
          </m:rPr>
          <m:t>/</m:t>
        </m:r>
        <m:d>
          <m:dPr>
            <m:begChr m:val="("/>
            <m:endChr m:val=")"/>
            <m:sepChr m:val=""/>
            <m:grow/>
          </m:dPr>
          <m:e>
            <m:r>
              <m:t>β</m:t>
            </m:r>
            <m:r>
              <m:rPr>
                <m:sty m:val="p"/>
              </m:rPr>
              <m:t>−</m:t>
            </m:r>
            <m:r>
              <m:t>1</m:t>
            </m:r>
          </m:e>
        </m:d>
      </m:oMath>
      <w:r>
        <w:t xml:space="preserve"> </w:t>
      </w:r>
      <w:r>
        <w:t xml:space="preserve">rises.</w:t>
      </w:r>
    </w:p>
    <w:p>
      <w:pPr>
        <w:pStyle w:val="BodyText"/>
      </w:pPr>
      <w:r>
        <w:rPr>
          <w:bCs/>
          <w:b/>
        </w:rPr>
        <w:t xml:space="preserve">Proposition 3.</w:t>
      </w:r>
      <w:r>
        <w:t xml:space="preserve"> </w:t>
      </w:r>
      <w:r>
        <w:t xml:space="preserve">ACT is strictly cheaper than both alternatives at</w:t>
      </w:r>
      <w:r>
        <w:t xml:space="preserve"> </w:t>
      </w:r>
      <m:oMath>
        <m:r>
          <m:t>v</m:t>
        </m:r>
      </m:oMath>
      <w:r>
        <w:t xml:space="preserve"> </w:t>
      </w:r>
      <w:r>
        <w:t xml:space="preserve">if and only if</w:t>
      </w:r>
      <w:r>
        <w:t xml:space="preserve"> </w:t>
      </w:r>
      <m:oMath>
        <m:sSub>
          <m:e>
            <m:r>
              <m:t>C</m:t>
            </m:r>
          </m:e>
          <m:sub>
            <m:r>
              <m:t>A</m:t>
            </m:r>
          </m:sub>
        </m:sSub>
        <m:r>
          <m:rPr>
            <m:sty m:val="p"/>
          </m:rPr>
          <m:t>+</m:t>
        </m:r>
        <m:sSub>
          <m:e>
            <m:r>
              <m:t>k</m:t>
            </m:r>
          </m:e>
          <m:sub>
            <m:r>
              <m:t>A</m:t>
            </m:r>
          </m:sub>
        </m:sSub>
        <m:r>
          <m:t>v</m:t>
        </m:r>
        <m:r>
          <m:rPr>
            <m:sty m:val="p"/>
          </m:rPr>
          <m:t>−</m:t>
        </m:r>
        <m:sSub>
          <m:e>
            <m:r>
              <m:t>F</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that is,</w:t>
      </w:r>
      <w:r>
        <w:t xml:space="preserve"> </w:t>
      </w:r>
      <m:oMath>
        <m:sSub>
          <m:e>
            <m:r>
              <m:t>C</m:t>
            </m:r>
          </m:e>
          <m:sub>
            <m:r>
              <m:t>A</m:t>
            </m:r>
          </m:sub>
        </m:sSub>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Such a</w:t>
      </w:r>
      <w:r>
        <w:t xml:space="preserve"> </w:t>
      </w:r>
      <m:oMath>
        <m:r>
          <m:t>v</m:t>
        </m:r>
      </m:oMath>
      <w:r>
        <w:t xml:space="preserve"> </w:t>
      </w:r>
      <w:r>
        <w:t xml:space="preserve">exists if and only if</w:t>
      </w:r>
      <w:r>
        <w:t xml:space="preserve"> </w:t>
      </w:r>
      <m:oMath>
        <m:sSub>
          <m:e>
            <m:r>
              <m:t>C</m:t>
            </m:r>
          </m:e>
          <m:sub>
            <m:r>
              <m:t>A</m:t>
            </m:r>
          </m:sub>
        </m:sSub>
      </m:oMath>
      <w:r>
        <w:t xml:space="preserve"> </w:t>
      </w:r>
      <w:r>
        <w:t xml:space="preserve">is smaller than the supremum</w:t>
      </w:r>
      <w:r>
        <w:t xml:space="preserve"> </w:t>
      </w:r>
      <m:oMath>
        <m:r>
          <m:t>Γ</m:t>
        </m:r>
      </m:oMath>
      <w:r>
        <w:t xml:space="preserve"> </w:t>
      </w:r>
      <w:r>
        <w:t xml:space="preserve">of the right-hand side. The set of such</w:t>
      </w:r>
      <w:r>
        <w:t xml:space="preserve"> </w:t>
      </w:r>
      <m:oMath>
        <m:r>
          <m:t>v</m:t>
        </m:r>
      </m:oMath>
      <w:r>
        <w:t xml:space="preserve"> </w:t>
      </w:r>
      <w:r>
        <w:t xml:space="preserve">is as stated by definition.</w:t>
      </w:r>
    </w:p>
    <w:bookmarkEnd w:id="35"/>
    <w:bookmarkStart w:id="36" w:name="references"/>
    <w:p>
      <w:pPr>
        <w:pStyle w:val="Heading1"/>
      </w:pPr>
      <w:r>
        <w:t xml:space="preserve">References</w:t>
      </w:r>
    </w:p>
    <w:p>
      <w:pPr>
        <w:pStyle w:val="FirstParagraph"/>
      </w:pPr>
      <w:r>
        <w:t xml:space="preserve">Benaroch M, Kauffman RJ (1999) A case for using real options pricing analysis to evaluate information technology project investments.</w:t>
      </w:r>
      <w:r>
        <w:t xml:space="preserve"> </w:t>
      </w:r>
      <w:r>
        <w:rPr>
          <w:iCs/>
          <w:i/>
        </w:rPr>
        <w:t xml:space="preserve">Inform. Systems Res.</w:t>
      </w:r>
      <w:r>
        <w:t xml:space="preserve"> </w:t>
      </w:r>
      <w:r>
        <w:t xml:space="preserve">10(1):70–86.</w:t>
      </w:r>
    </w:p>
    <w:p>
      <w:pPr>
        <w:pStyle w:val="BodyText"/>
      </w:pPr>
      <w:r>
        <w:t xml:space="preserve">Benaroch M (2002) Managing information technology investment risk: A real options perspective.</w:t>
      </w:r>
      <w:r>
        <w:t xml:space="preserve"> </w:t>
      </w:r>
      <w:r>
        <w:rPr>
          <w:iCs/>
          <w:i/>
        </w:rPr>
        <w:t xml:space="preserve">J. Management Inform. Systems</w:t>
      </w:r>
      <w:r>
        <w:t xml:space="preserve"> </w:t>
      </w:r>
      <w:r>
        <w:t xml:space="preserve">19(2):43–84.</w:t>
      </w:r>
    </w:p>
    <w:p>
      <w:pPr>
        <w:pStyle w:val="BodyText"/>
      </w:pPr>
      <w:r>
        <w:t xml:space="preserve">Biderman S, et al. (2023) Pythia: A suite for analyzing large language models across training and scaling.</w:t>
      </w:r>
      <w:r>
        <w:t xml:space="preserve"> </w:t>
      </w:r>
      <w:r>
        <w:rPr>
          <w:iCs/>
          <w:i/>
        </w:rPr>
        <w:t xml:space="preserve">Proc. 40th Internat. Conf. Machine Learn.</w:t>
      </w:r>
    </w:p>
    <w:p>
      <w:pPr>
        <w:pStyle w:val="BodyText"/>
      </w:pPr>
      <w:r>
        <w:t xml:space="preserve">Broadie M, Glasserman P, Kou S (1997) A continuity correction for discrete barrier options.</w:t>
      </w:r>
      <w:r>
        <w:t xml:space="preserve"> </w:t>
      </w:r>
      <w:r>
        <w:rPr>
          <w:iCs/>
          <w:i/>
        </w:rPr>
        <w:t xml:space="preserve">Math. Finance</w:t>
      </w:r>
      <w:r>
        <w:t xml:space="preserve"> </w:t>
      </w:r>
      <w:r>
        <w:t xml:space="preserve">7(4):325–349.</w:t>
      </w:r>
    </w:p>
    <w:p>
      <w:pPr>
        <w:pStyle w:val="BodyText"/>
      </w:pPr>
      <w:r>
        <w:t xml:space="preserve">Cobbe K, et al. (2021) Training verifiers to solve math word problems. arXiv:2110.14168.</w:t>
      </w:r>
    </w:p>
    <w:p>
      <w:pPr>
        <w:pStyle w:val="BodyText"/>
      </w:pPr>
      <w:r>
        <w:t xml:space="preserve">Dixit AK, Pindyck RS (1994)</w:t>
      </w:r>
      <w:r>
        <w:t xml:space="preserve"> </w:t>
      </w:r>
      <w:r>
        <w:rPr>
          <w:iCs/>
          <w:i/>
        </w:rPr>
        <w:t xml:space="preserve">Investment under Uncertainty</w:t>
      </w:r>
      <w:r>
        <w:t xml:space="preserve"> </w:t>
      </w:r>
      <w:r>
        <w:t xml:space="preserve">(Princeton University Press, Princeton, NJ).</w:t>
      </w:r>
    </w:p>
    <w:p>
      <w:pPr>
        <w:pStyle w:val="BodyText"/>
      </w:pPr>
      <w:r>
        <w:t xml:space="preserve">Houlsby N, et al. (2019) Parameter-efficient transfer learning for NLP.</w:t>
      </w:r>
      <w:r>
        <w:t xml:space="preserve"> </w:t>
      </w:r>
      <w:r>
        <w:rPr>
          <w:iCs/>
          <w:i/>
        </w:rPr>
        <w:t xml:space="preserve">Proc. 36th Internat. Conf. Machine Learn.</w:t>
      </w:r>
    </w:p>
    <w:p>
      <w:pPr>
        <w:pStyle w:val="BodyText"/>
      </w:pPr>
      <w:r>
        <w:t xml:space="preserve">Hu EJ, et al. (2022) LoRA: Low-rank adaptation of large language models.</w:t>
      </w:r>
      <w:r>
        <w:t xml:space="preserve"> </w:t>
      </w:r>
      <w:r>
        <w:rPr>
          <w:iCs/>
          <w:i/>
        </w:rPr>
        <w:t xml:space="preserve">Internat. Conf. Learn. Representations</w:t>
      </w:r>
      <w:r>
        <w:t xml:space="preserve">.</w:t>
      </w:r>
    </w:p>
    <w:p>
      <w:pPr>
        <w:pStyle w:val="BodyText"/>
      </w:pPr>
      <w:r>
        <w:t xml:space="preserve">Ilharco G, et al. (2023) Editing models with task arithmetic.</w:t>
      </w:r>
      <w:r>
        <w:t xml:space="preserve"> </w:t>
      </w:r>
      <w:r>
        <w:rPr>
          <w:iCs/>
          <w:i/>
        </w:rPr>
        <w:t xml:space="preserve">Internat. Conf. Learn. Representations</w:t>
      </w:r>
      <w:r>
        <w:t xml:space="preserve">.</w:t>
      </w:r>
    </w:p>
    <w:p>
      <w:pPr>
        <w:pStyle w:val="BodyText"/>
      </w:pPr>
      <w:r>
        <w:t xml:space="preserve">Kirkpatrick J, et al. (2017) Overcoming catastrophic forgetting in neural networks.</w:t>
      </w:r>
      <w:r>
        <w:t xml:space="preserve"> </w:t>
      </w:r>
      <w:r>
        <w:rPr>
          <w:iCs/>
          <w:i/>
        </w:rPr>
        <w:t xml:space="preserve">Proc. Natl. Acad. Sci.</w:t>
      </w:r>
      <w:r>
        <w:t xml:space="preserve"> </w:t>
      </w:r>
      <w:r>
        <w:t xml:space="preserve">114(13):3521–3526.</w:t>
      </w:r>
    </w:p>
    <w:p>
      <w:pPr>
        <w:pStyle w:val="BodyText"/>
      </w:pPr>
      <w:r>
        <w:t xml:space="preserve">McDonald R, Siegel D (1986) The value of waiting to invest.</w:t>
      </w:r>
      <w:r>
        <w:t xml:space="preserve"> </w:t>
      </w:r>
      <w:r>
        <w:rPr>
          <w:iCs/>
          <w:i/>
        </w:rPr>
        <w:t xml:space="preserve">Quart. J. Econom.</w:t>
      </w:r>
      <w:r>
        <w:t xml:space="preserve"> </w:t>
      </w:r>
      <w:r>
        <w:t xml:space="preserve">101(4):707–727.</w:t>
      </w:r>
    </w:p>
    <w:p>
      <w:pPr>
        <w:pStyle w:val="BodyText"/>
      </w:pPr>
      <w:r>
        <w:t xml:space="preserve">Merton RC (1976) Option pricing when underlying stock returns are discontinuous.</w:t>
      </w:r>
      <w:r>
        <w:t xml:space="preserve"> </w:t>
      </w:r>
      <w:r>
        <w:rPr>
          <w:iCs/>
          <w:i/>
        </w:rPr>
        <w:t xml:space="preserve">J. Financial Econom.</w:t>
      </w:r>
      <w:r>
        <w:t xml:space="preserve"> </w:t>
      </w:r>
      <w:r>
        <w:t xml:space="preserve">3(1–2):125–144.</w:t>
      </w:r>
    </w:p>
    <w:p>
      <w:pPr>
        <w:pStyle w:val="BodyText"/>
      </w:pPr>
      <w:r>
        <w:t xml:space="preserve">Sculley D, et al. (2015) Hidden technical debt in machine learning systems.</w:t>
      </w:r>
      <w:r>
        <w:t xml:space="preserve"> </w:t>
      </w:r>
      <w:r>
        <w:rPr>
          <w:iCs/>
          <w:i/>
        </w:rPr>
        <w:t xml:space="preserve">Adv. Neural Inform. Processing Systems</w:t>
      </w:r>
      <w:r>
        <w:t xml:space="preserve"> </w:t>
      </w:r>
      <w:r>
        <w:t xml:space="preserve">28.</w:t>
      </w:r>
    </w:p>
    <w:bookmarkEnd w:id="36"/>
    <w:sectPr>
      <w:pgSz w:w="12240" w:h="15840"/>
      <w:pgMar w:left="1440" w:right="1440" w:top="1440" w:bottom="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20" w:before="180" w:line="36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120" w:before="36" w:line="36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120" w:before="100" w:line="360" w:lineRule="auto"/>
      <w:jc w:val="both"/>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120" w:before="2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b w:val="0"/>
      <w:i/>
      <w:color w:val="000000"/>
      <w:sz w:val="22"/>
    </w:rPr>
  </w:style>
  <w:style w:customStyle="1" w:styleId="TableCaption" w:type="paragraph">
    <w:name w:val="Table Caption"/>
    <w:basedOn w:val="Caption"/>
    <w:pPr>
      <w:keepNext/>
    </w:pPr>
    <w:rPr>
      <w:rFonts w:ascii="Times New Roman" w:hAnsi="Times New Roman" w:eastAsia="Times New Roman" w:cs="Times New Roman"/>
      <w:b w:val="0"/>
      <w:color w:val="000000"/>
      <w:sz w:val="22"/>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Adapter Transfer Worth Its Cost? A Decision Model for Maintaining Fine-Tuned Language-Model Adapters Across Foundation-Model Upgrades</dc:title>
  <dc:creator/>
  <cp:keywords/>
  <dcterms:created xsi:type="dcterms:W3CDTF">2026-10-10T23:36:39Z</dcterms:created>
  <dcterms:modified xsi:type="dcterms:W3CDTF">2026-10-10T23:36:39Z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Organizations that build on foundation models they do not control must decide, after every provider upgrade, whether to retrain the adapters that hold their task knowledge, to keep reusing them, or to apply a cheaper transfer procedure. We formulate this problem as optimal stopping in which upgrades arrive stochastically, the value at stake evolves randomly, and a transfer method is characterized by the share of the retraining benefit it recovers and by its cost. The solution is a closed-form retraining threshold together with a break-even recovery that any transfer method must exceed to be worth its price. We measure recovery on open model pairs. Within one model family, copying the old adapter restores 96 percent of the retraining benefit after a small upgrade, 55 percent after a larger one, and only 32 to 36 percent after the largest (two seeds); after instruction tuning it restores 71 percent. A label-free, closed-form transfer method, Anchored Calibration Transfer (ACT), improves on copying by an amount that rises steadily with the size of the upgrade. After the largest upgrade it restores 69 to 72 percent at about a third of the retraining compute time, which makes it the cost-minimizing policy for adapters whose annual value is roughly 1.8 to 4.4 times the retraining cost. The pattern repeats at 70 and 410 million parameters, but ACT’s compute time relative to retraining rises from 0.14 to 0.70 in our implementation, so at 410 million it no longer pays. After smaller upgrades its gain does not cover its cost, and on an instruction-tuned pair it gives no gain at all, for a reason we could not identify. Simulations with clustered and regular release schedules and with jump risk show that the policy ranking is robust, although the optimal threshold moves by 20 percent or more. The model gives practitioners a checkable rule for when transfer is worth buying.</vt:lpwstr>
  </property>
  <property fmtid="{D5CDD505-2E9C-101B-9397-08002B2CF9AE}" pid="3" name="date">
    <vt:lpwstr/>
  </property>
</Properties>
</file>