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seven propositions, each with a pre-registered operationalization (P1–P5 in Section 3.5; P6 and P7 in the plans cited in Sections 4.3 and 4.8).</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r>
        <w:t xml:space="preserve"> </w:t>
      </w:r>
      <w:r>
        <w:t xml:space="preserve">P7 (timing surprisal): a post also carries information in when it arrives. If the market holds a predictive distribution over the poster’s timing, a post at an improbable time has high surprisal, S = −ln f(gap | past), and, holding content novelty, prior uncertainty and market state constant, should be followed by a larger |reaction|. (P7 is not supported; Section 4.3.)</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p>
      <w:pPr>
        <w:pStyle w:val="BodyText"/>
      </w:pPr>
      <w:r>
        <w:t xml:space="preserve">A homogeneous Poisson process is rejected in every series we examined, including Elon Musk’s account and the 2017–2021 Twitter series. A dynamic negative-binomial model with self-excitation fits the multi-year series best, and daily conflict events from GDELT remove at most a quarter of the dispersion, so the idea that posts merely report Poisson external events is not supported. These exploratory comparisons, which were run after the main results were seen, are reported in Appendix D.</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p>
      <w:pPr>
        <w:pStyle w:val="BodyText"/>
      </w:pPr>
      <w:r>
        <w:rPr>
          <w:bCs/>
          <w:b/>
        </w:rPr>
        <w:t xml:space="preserve">Matched-hour placebo and pre-post drift.</w:t>
      </w:r>
      <w:r>
        <w:t xml:space="preserve"> </w:t>
      </w:r>
      <w:r>
        <w:t xml:space="preserve">To check that the co-movement is not an artefact of the hours in which posts happen to fall, we drew fake post times in the same clock hour on neighbouring days (with the same weekday status, at least two hours from any labelled post; 10,000 draws; ANALYSIS_PLAN_H5C_H8.md). On the adjudicated human-labelled posts (26 de-escalation, 14 escalation, after a three-hour cluster filter), the mean directional 30-minute return after the post is +0.62% for de-escalation and +0.53% for escalation, against placebo means of +0.05% and 95th percentiles of 0.22% and 0.26% (shares of placebo draws at least as large: below 0.0001 and 0.0003). The same test with model labels gives smaller but comparable results. The 30 minutes before the post also exceed the placebo for de-escalation (+0.57%, and +0.86% over the preceding hour; both below 0.0001) and, on the 30-minute window only, for escalation (+0.29%, p = 0.016). Tick counts in the half hour before a de-escalation post are 28% above those of comparable hours. We therefore describe the pre-post movement as drift larger than in comparable hours whose cause is not identified: it does not show leakage or the conduct of any party, and the market may be reacting to news that the post then repeats. Which of the three posting classes was reported first elsewhere makes no difference to the pre-post drift (30 events, p = 0.90).</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replication,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robustness, TF-IDF novelty</w:t>
            </w:r>
          </w:p>
        </w:tc>
        <w:tc>
          <w:tcPr/>
          <w:p>
            <w:pPr>
              <w:pStyle w:val="Compact"/>
              <w:jc w:val="left"/>
            </w:pPr>
            <w:r>
              <w:t xml:space="preserve">+0.52 (SE 0.36)</w:t>
            </w:r>
          </w:p>
        </w:tc>
        <w:tc>
          <w:tcPr/>
          <w:p>
            <w:pPr>
              <w:pStyle w:val="Compact"/>
              <w:jc w:val="left"/>
            </w:pPr>
            <w:r>
              <w:t xml:space="preserve">0.073</w:t>
            </w:r>
          </w:p>
        </w:tc>
        <w:tc>
          <w:tcPr/>
          <w:p>
            <w:pPr>
              <w:pStyle w:val="Compact"/>
              <w:jc w:val="left"/>
            </w:pPr>
            <w:r>
              <w:t xml:space="preserve">—</w:t>
            </w:r>
          </w:p>
        </w:tc>
      </w:tr>
      <w:tr>
        <w:tc>
          <w:tcPr/>
          <w:p>
            <w:pPr>
              <w:pStyle w:val="Compact"/>
              <w:jc w:val="left"/>
            </w:pPr>
            <w:r>
              <w:t xml:space="preserve">P2 prior uncertainty U</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P3 N_c × U</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Supported (marginal)</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Consistent</w:t>
            </w:r>
          </w:p>
        </w:tc>
      </w:tr>
      <w:tr>
        <w:tc>
          <w:tcPr/>
          <w:p>
            <w:pPr>
              <w:pStyle w:val="Compact"/>
              <w:jc w:val="left"/>
            </w:pPr>
            <w:r>
              <w:t xml:space="preserve">P7 timing surprisal S (pooled, n = 685)</w:t>
            </w:r>
          </w:p>
        </w:tc>
        <w:tc>
          <w:tcPr/>
          <w:p>
            <w:pPr>
              <w:pStyle w:val="Compact"/>
              <w:jc w:val="left"/>
            </w:pPr>
            <w:r>
              <w:t xml:space="preserve">+0.04 SD (SE 0.065)</w:t>
            </w:r>
          </w:p>
        </w:tc>
        <w:tc>
          <w:tcPr/>
          <w:p>
            <w:pPr>
              <w:pStyle w:val="Compact"/>
              <w:jc w:val="left"/>
            </w:pPr>
            <w:r>
              <w:t xml:space="preserve">0.27</w:t>
            </w:r>
          </w:p>
        </w:tc>
        <w:tc>
          <w:tcPr/>
          <w:p>
            <w:pPr>
              <w:pStyle w:val="Compact"/>
              <w:jc w:val="left"/>
            </w:pPr>
            <w:r>
              <w:t xml:space="preserve">Not supported</w:t>
            </w:r>
          </w:p>
        </w:tc>
      </w:tr>
      <w:tr>
        <w:tc>
          <w:tcPr/>
          <w:p>
            <w:pPr>
              <w:pStyle w:val="Compact"/>
              <w:jc w:val="left"/>
            </w:pPr>
            <w:r>
              <w:t xml:space="preserve">P5 redundancy</w:t>
            </w:r>
          </w:p>
        </w:tc>
        <w:tc>
          <w:tcPr/>
          <w:p>
            <w:pPr>
              <w:pStyle w:val="Compact"/>
              <w:jc w:val="left"/>
            </w:pPr>
            <w:r>
              <w:t xml:space="preserve">corr(N_c, same-topic posts in prior 24 h) −0.10</w:t>
            </w:r>
          </w:p>
        </w:tc>
        <w:tc>
          <w:tcPr/>
          <w:p>
            <w:pPr>
              <w:pStyle w:val="Compact"/>
              <w:jc w:val="left"/>
            </w:pPr>
            <w:r>
              <w:t xml:space="preserve">—</w:t>
            </w:r>
          </w:p>
        </w:tc>
        <w:tc>
          <w:tcPr/>
          <w:p>
            <w:pPr>
              <w:pStyle w:val="Compact"/>
              <w:jc w:val="left"/>
            </w:pPr>
            <w: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a small number of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 Sixth, the timing of a post, as opposed to its content, carries no detectable additional information about the 30-minute reaction (P7). Seventh, posting is not Poisson in any series we examined; it is overdispersed and, in multi-year series, self-exciting, a pattern that Elon Musk’s account also shows. Taken together, the measurable implications of the information-theoretic account that held are the descriptive ones (mutual information in the closure sample, and prior uncertainty in the volatility-confounded tariff sample); those about novelty, interaction, state-dependent sign and timing did not. An exploratory probe of another actor who times his own events, LLM developers, found the same non-Poisson, calendar-bound arrival and larger absolute market moves on release days, without a direction (Appendix D.3). Daily conflict events remove at most a quarter of the dispersion of posting, so an account in which posts merely report Poisson external events is not supported (Appendix D.2).</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tests of Appendix D (arrival models, event explanation, LLM releases) were run after the main results were seen and are exploratory; the event counts come from a media-based database that the posts themselves influence, the release list is crowd-edited, and the 31 listed-developer releases give little power. 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that humans accept for only about half of the model-agreed signals,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a pre-registered comparison of dispersion and self-excitation between accounts of people who use posts to influence others and matched ordinary accounts (ANALYSIS_PLAN_ACCOUNTS.md; registered, not run, because suitable data have not been established), a comparison group of externally caused events for the self-timed-event probe, release times of day for tick-level analysis of releases, and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J. Gleditsch (ed.), Cham: Springer, pp. 113–127.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[verify]</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Database of Events, Language, and Tone,</w:t>
      </w:r>
      <w:r>
        <w:t xml:space="preserve">”</w:t>
      </w:r>
      <w:r>
        <w:t xml:space="preserve"> </w:t>
      </w:r>
      <w:r>
        <w:t xml:space="preserve">paper presented at the International Studies Association Annual Convention. [verify]</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[verify]</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Pittsburgh: Boxwood Press. [verify]</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Start w:id="68" w:name="Xb7c8b0c006d32ef17360e7965bd4f74c3382ab2"/>
    <w:p>
      <w:pPr>
        <w:pStyle w:val="Heading2"/>
      </w:pPr>
      <w:r>
        <w:t xml:space="preserve">Appendix D. Exploratory analyses of arrival and of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65"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Sections 4.7–4.8),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65"/>
    <w:bookmarkStart w:id="66"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66"/>
    <w:bookmarkStart w:id="67"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4.2)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67"/>
    <w:bookmarkEnd w:id="68"/>
    <w:bookmarkEnd w:id="69"/>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2026-10-14T22:22:32Z</dcterms:created>
  <dcterms:modified xsi:type="dcterms:W3CDTF">2026-10-14T22:22:32Z</dcterms:modified>
</cp:coreProperties>
</file>

<file path=docProps/custom.xml><?xml version="1.0" encoding="utf-8"?>
<Properties xmlns="http://schemas.openxmlformats.org/officeDocument/2006/custom-properties" xmlns:vt="http://schemas.openxmlformats.org/officeDocument/2006/docPropsVTypes"/>
</file>