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i w:val="false"/>
          <w:iCs w:val="false"/>
          <w:color w:val="000000"/>
          <w:sz w:val="32"/>
          <w:szCs w:val="32"/>
        </w:rPr>
        <w:t xml:space="preserve">Cover letter and contribution statement</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Senior Editor, Information Systems Research</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Please consider the enclosed Research Note, “The Sampling Temperature Is Not the Decision State: Effective Decision Temperature and the Governance of LLM Agents.” Author identifiers have been removed from the manuscript for double-anonymous review, and the abstract is under 300 words. This letter also contains the contribution statement required since June 1, 2023.</w:t>
      </w:r>
    </w:p>
    <w:p>
      <w:pPr>
        <w:pStyle w:val="Heading1"/>
      </w:pPr>
      <w:r>
        <w:rPr>
          <w:rFonts w:ascii="Times New Roman" w:cs="Times New Roman" w:eastAsia="Times New Roman" w:hAnsi="Times New Roman"/>
          <w:b/>
          <w:bCs/>
          <w:i w:val="false"/>
          <w:iCs w:val="false"/>
          <w:color w:val="1F4E79"/>
          <w:sz w:val="26"/>
          <w:szCs w:val="26"/>
        </w:rPr>
        <w:t xml:space="preserve">Contribution statement (under 500 words)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note contributes to information systems research on delegation to agentic artifacts (Baird &amp; Maruping, 2021; Berente, Gu, Recker, &amp; Santhanam, 2021). That literature assigns rights and responsibilities on evidence of capability and treats autonomy, learning, and inscrutability as the managerial problem. What it does not offer the organization is a construct for the decision state an agent is in when a task is left with it. We supply one.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bridge we build is a formal correspondence, not a metaphor with felt experience. Sampling a token from a softmax is a random-utility choice with Gumbel-distributed shocks, and so it follows the logit rule of quantal response theory (McFadden, 1974; McKelvey &amp; Palfrey, 1995). We define effective decision temperature, Teff, as the temperature at which observed tokens are best explained by a clean-context reference valuation of the same task. Teff is identified only because the reference differs from the sampling distribution. Entropy describes concentration, while Teff describes whether concentrated choices track task value. Rigid failure is low entropy with elevated Teff.</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Four propositions follow, and we state the performance prediction conditionally rather than as a general law of temperature. Pressure raises Teff above the nominal sampling temperature. An inverted-U in accuracy appears only when an off-path attractor is sticky at low temperature and escapable at moderate temperature. Content contamination strengthens pressure when it sits near a dominant token. A context reset addresses context-level distortion but not a change in weights. State-contingent delegation is an implication of observable states, conditional on oversight capacity, reversibility, error costs, and alarm trust; it is not a tested finding.</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 three-stage illustration shows that the indicators can be computed. On synthetic logits, Teff separates from nominal temperature under pressure, and the inverted-U appears only for an attractor built to be sticky and escapable. On SmolLM2-135M-Instruct, the same rule reads next-token log-probabilities: pressure lifts Teff far above a nominal T = 0.15 and the model locks in to a repeated letter, but no accuracy inverted-U appears because the planted error is either absorbed or too sticky to escape. On Qwen2.5-3B-Instruct, which solves the task, an off-path attractor of intermediate strength does produce an inverted-U, with its peak near T = 2 to 2.5, while contamination has no measurable effect. The operational point is that a dashboard reporting only the decoding parameter misreads the agent’s decision state.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For practice and policy, the note argues against taking a use statistic or a sampling hyperparameter as evidence that delegated work is under control. Incident playbooks that always reset, or that retrain whenever output looks wrong, do not match the source of the distortion. The broader discourse on generative-agent governance needs a state variable that can be estimated, along with a clear statement of what occupation-level or network claims would require. The note specifies those tests but does not claim to have run them.</w:t>
      </w:r>
    </w:p>
    <w:p>
      <w:pPr>
        <w:pStyle w:val="Heading1"/>
      </w:pPr>
      <w:r>
        <w:rPr>
          <w:rFonts w:ascii="Times New Roman" w:cs="Times New Roman" w:eastAsia="Times New Roman" w:hAnsi="Times New Roman"/>
          <w:b/>
          <w:bCs/>
          <w:i w:val="false"/>
          <w:iCs w:val="false"/>
          <w:color w:val="1F4E79"/>
          <w:sz w:val="26"/>
          <w:szCs w:val="26"/>
        </w:rPr>
        <w:t xml:space="preserve">Suggested Senior Editors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ScholarOne form asks for two preferred Senior Editors. Please nominate editors whose portfolios cover AI in organizations, digital artifacts, or IS design and governance, and avoid anyone at the authors’ institution or a recent coauthor. Replace the placeholders below before upload.</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Preferred SE 1: [name, affiliation, one-sentence fit].</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Preferred SE 2: [name, affiliation, one-sentence fit].</w:t>
      </w:r>
    </w:p>
    <w:p>
      <w:pPr>
        <w:pStyle w:val="Heading1"/>
      </w:pPr>
      <w:r>
        <w:rPr>
          <w:rFonts w:ascii="Times New Roman" w:cs="Times New Roman" w:eastAsia="Times New Roman" w:hAnsi="Times New Roman"/>
          <w:b/>
          <w:bCs/>
          <w:i w:val="false"/>
          <w:iCs w:val="false"/>
          <w:color w:val="1F4E79"/>
          <w:sz w:val="26"/>
          <w:szCs w:val="26"/>
        </w:rPr>
        <w:t xml:space="preserve">Article type and certifications</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Article type: Research Note. The manuscript is not a special-issue submission, has not previously been submitted to Information Systems Research, and is not under review elsewhere. Generative AI was used to help revise structure and prose; the authors reviewed the text, the reported cell means, and the code paths, and they take responsibility for the content. Code and cell-level files for the open-weight runs will be deposited on acceptance, or in an anonymized repository at submission if the office requires it. The clean-context reference must be recomputed on any rerun, since Teff estimated from the sampling logits recovers only nominal temperature.</w:t>
      </w:r>
    </w:p>
    <w:p>
      <w:pPr>
        <w:pStyle w:val="Heading1"/>
      </w:pPr>
      <w:r>
        <w:rPr>
          <w:rFonts w:ascii="Times New Roman" w:cs="Times New Roman" w:eastAsia="Times New Roman" w:hAnsi="Times New Roman"/>
          <w:b/>
          <w:bCs/>
          <w:i w:val="false"/>
          <w:iCs w:val="false"/>
          <w:color w:val="1F4E79"/>
          <w:sz w:val="26"/>
          <w:szCs w:val="26"/>
        </w:rPr>
        <w:t xml:space="preserve">What this revision deliberately does not claim</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An earlier draft framed the paper as a theory of multi-agent stability governance, with eight propositions and three design principles, and attached a 135M measurement note as illustration. That package asked Information Systems Research to accept untested network and delegation propositions as contributions. This version narrows the claim to the identification of Teff. It states the inverted-U as a boundary regime rather than a failed general law, replaces affective language with content contamination, and moves contagion and circuit breakers to an agenda table. The SmolLM2 alphabet task remains a measurement check and is not evidence about organizational delegation. We would rather have the note reviewed on that narrower claim than desk-rejected over a title the data cannot support.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b w:val="false"/>
        <w:bCs w:val="false"/>
        <w:i w:val="false"/>
        <w:iC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color w:val="1F4E79"/>
        <w:sz w:val="18"/>
        <w:szCs w:val="18"/>
      </w:rPr>
      <w:t xml:space="preserve">Cover letter  ·  Information Systems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2026-10-04T22:43:59.350Z</dcterms:created>
  <dcterms:modified xsi:type="dcterms:W3CDTF">2026-10-04T22:43:59.350Z</dcterms:modified>
</cp:coreProperties>
</file>

<file path=docProps/custom.xml><?xml version="1.0" encoding="utf-8"?>
<Properties xmlns="http://schemas.openxmlformats.org/officeDocument/2006/custom-properties" xmlns:vt="http://schemas.openxmlformats.org/officeDocument/2006/docPropsVTypes"/>
</file>