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Times New Roman" w:cs="Times New Roman" w:eastAsia="Times New Roman" w:hAnsi="Times New Roman"/>
          <w:b/>
          <w:bCs/>
          <w:i w:val="false"/>
          <w:iCs w:val="false"/>
          <w:smallCaps/>
          <w:color w:val="1F4E79"/>
          <w:sz w:val="18"/>
          <w:szCs w:val="18"/>
        </w:rPr>
        <w:t xml:space="preserve">RESEARCH NOTE</w:t>
      </w:r>
    </w:p>
    <w:p>
      <w:pPr>
        <w:spacing w:after="200" w:before="40"/>
      </w:pPr>
      <w:r>
        <w:rPr>
          <w:rFonts w:ascii="Times New Roman" w:cs="Times New Roman" w:eastAsia="Times New Roman" w:hAnsi="Times New Roman"/>
          <w:b/>
          <w:bCs/>
          <w:i w:val="false"/>
          <w:iCs w:val="false"/>
          <w:smallCaps w:val="false"/>
          <w:color w:val="000000"/>
          <w:sz w:val="32"/>
          <w:szCs w:val="32"/>
        </w:rPr>
        <w:t xml:space="preserve">The Sampling Temperature Is Not the Decision State: Effective Decision Temperature and the Governance of LLM Agents</w:t>
      </w:r>
    </w:p>
    <w:p>
      <w:pPr>
        <w:spacing w:after="200" w:before="0" w:line="276"/>
        <w:jc w:val="both"/>
      </w:pPr>
      <w:r>
        <w:rPr>
          <w:rFonts w:ascii="Times New Roman" w:cs="Times New Roman" w:eastAsia="Times New Roman" w:hAnsi="Times New Roman"/>
          <w:b w:val="false"/>
          <w:bCs w:val="false"/>
          <w:i/>
          <w:iCs/>
          <w:smallCaps w:val="false"/>
          <w:color w:val="000000"/>
          <w:sz w:val="20"/>
          <w:szCs w:val="20"/>
        </w:rPr>
        <w:t xml:space="preserve">Prepared for </w:t>
      </w:r>
      <w:r>
        <w:rPr>
          <w:rFonts w:ascii="Times New Roman" w:cs="Times New Roman" w:eastAsia="Times New Roman" w:hAnsi="Times New Roman"/>
          <w:b w:val="false"/>
          <w:bCs w:val="false"/>
          <w:i/>
          <w:iCs/>
          <w:smallCaps w:val="false"/>
          <w:color w:val="000000"/>
          <w:sz w:val="20"/>
          <w:szCs w:val="20"/>
        </w:rPr>
        <w:t xml:space="preserve">Information Systems Research</w:t>
      </w:r>
      <w:r>
        <w:rPr>
          <w:rFonts w:ascii="Times New Roman" w:cs="Times New Roman" w:eastAsia="Times New Roman" w:hAnsi="Times New Roman"/>
          <w:b w:val="false"/>
          <w:bCs w:val="false"/>
          <w:i/>
          <w:iCs/>
          <w:smallCaps w:val="false"/>
          <w:color w:val="000000"/>
          <w:sz w:val="20"/>
          <w:szCs w:val="20"/>
        </w:rPr>
        <w:t xml:space="preserve">. Author identifiers are omitted for double-anonymous review. A contribution statement appears in the cover letter, as required since June 2023.</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Abstract</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Organizations increasingly hand work to large language model (LLM) agents, yet they still treat failures as software defects, as though reliability were a fixed property of the code. For an autoregressive agent it often is not. Research on agentic artifacts theorizes delegation and the problems of autonomy, learning, and inscrutability, but lacks a construct for the decision state of a delegated task.</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Sampling a token from a softmax is a random-utility choice with Gumbel-distributed shocks and follows the logit rule of quantal response theory. Effective decision temperature, Teff, is the temperature at which observed tokens are best explained by a clean-context reference valuation of the same task. It recovers the nominal sampling temperature when context leaves valuations alone and rises when pressure warps logits away from task value. Entropy describes concentration; Teff describes whether concentrated choices track task value. Rigid instability is low entropy with elevated Teff. The construct makes no claim about machine experience.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Pressure raises Teff above the nominal temperature. An inverted-U between nominal temperature and accuracy appears only when an off-path attractor is sticky at low temperature and escapable at moderate temperature. Content contamination should strengthen pressure near a dominant token. A context reset addresses context-level distortion, not a change in weights. Contagion and state-contingent delegation are implications, not tests.</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On synthetic logits, Teff separates from nominal temperature under pressure. On SmolLM2-135M-Instruct, pressure lifts Teff far above a nominal T = 0.15 and no inverted-U appears. On Qwen2.5-3B-Instruct, which solves the task, a planted off-path letter of intermediate strength produces an inverted-U peaking near T = 2, a weak one does not, and contamination has no measurable effect. A dashboard reporting only the decoding parameter misreads the agent’s decision state.</w:t>
      </w:r>
    </w:p>
    <w:p>
      <w:pPr>
        <w:spacing w:after="80" w:before="0" w:line="276"/>
        <w:jc w:val="both"/>
      </w:pPr>
      <w:r>
        <w:rPr>
          <w:rFonts w:ascii="Times New Roman" w:cs="Times New Roman" w:eastAsia="Times New Roman" w:hAnsi="Times New Roman"/>
          <w:b/>
          <w:bCs/>
          <w:i/>
          <w:iCs/>
          <w:smallCaps w:val="false"/>
          <w:color w:val="000000"/>
          <w:sz w:val="22"/>
          <w:szCs w:val="22"/>
        </w:rPr>
        <w:t xml:space="preserve">Keywords: </w:t>
      </w:r>
      <w:r>
        <w:rPr>
          <w:rFonts w:ascii="Times New Roman" w:cs="Times New Roman" w:eastAsia="Times New Roman" w:hAnsi="Times New Roman"/>
          <w:b w:val="false"/>
          <w:bCs w:val="false"/>
          <w:i/>
          <w:iCs/>
          <w:smallCaps w:val="false"/>
          <w:color w:val="000000"/>
          <w:sz w:val="22"/>
          <w:szCs w:val="22"/>
        </w:rPr>
        <w:t xml:space="preserve">agentic IS artifacts; large language models; bounded rationality; quantal response; effective decision temperature; AI governance; delegation</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1. Introduction</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Organizations are shifting from using AI as a tool to delegating work to it. LLM agents draft text, triage requests, call tools, and pass intermediate artifacts to other agents, frequently with little human oversight. Information systems research has started to theorize this shift. Agentic IS artifacts act on behalf of people, who in turn delegate rights and responsibilities to them (Baird &amp; Maruping, 2021), and managing them is difficult because of their autonomy, learning, and inscrutability (Berente, Gu, Recker, &amp; Santhanam, 2021). Practice has not kept pace with this theory. When an error is found, a prompt gets patched or a model gets retrained, and the incident is closed. Behind that routine sits an assumption that the failure is an independent, stable property of the system.</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For an autoregressive agent, that assumption often breaks down. The same weights can perform well in one context and collapse in another. The collapse takes one of two recognizable forms: rigid lock-in to a repeated, erroneous continuation (Holtzman, Buys, Du, Forbes, &amp; Choi, 2020), or disorganized output whose choice distribution no longer follows the task. In a chain of agents, one agent’s output becomes the next agent’s input, so a local state can turn into someone else’s context. Current IS theory can tell an organization whether it may delegate a class of task. It cannot tell the organization whether the agent is, right now, in a state where that delegation is still warranted.</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Machine learning research measures the uncertainty of individual responses (Kadavath et al., 2022; Farquhar, Kossen, Kuhn, &amp; Gal, 2024) and catalogs multi-agent failures once they have occurred (Cemri et al., 2025). These streams can say that a particular output is unreliable, or classify a failure after the fact. They leave open why the same agent drifts between reliable and unreliable states, how that drift can be read from the choice rule the agent actually uses, and what an organization should monitor if it wants to step in before the output is already wrong. These are questions about decision-making and its governance.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We ask a narrower question than the phenomenon invites. How can an organization observe the decision state of an LLM agent, as distinct from the sampling temperature an operator sets, and what does that distinction mean for delegation? Our answer theorizes through a formal correspondence rather than an analogy with felt experience (Ketokivi, Mantere, &amp; Cornelissen, 2017). Drawing a token from a softmax is equivalent to adding Gumbel noise, scaled by temperature, to each logit and picking the largest (McFadden, 1974; McKelvey &amp; Palfrey, 1995). One parameter thus describes both the sampler and the noise in a boundedly rational choice. The correspondence is only as strong as the assumption that logits can be read as valuations, so we specify the reference that makes that reading identifiable. We do not claim that the agent has an affective state.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The note makes three contributions. First, it brings the agent’s decision state into the governance of agentic IS artifacts, locating that state in a quantity, effective decision temperature, which is latent in human choice but can be estimated for an LLM once a clean-context reference is fixed. Second, it separates what the correspondence predicts from what it does not. Pressure and contamination should lift Teff above the nominal temperature, whereas an interior performance band in nominal temperature is a special case rather than a default, and we state the attractor condition at the outset. Third, it shows that the indicators can be computed both on the theory’s own choice rule and on the next-token log-probabilities of two pretrained open-weight models (135M and 3B parameters), and it reports where the predictions hold and where they fail. Network contagion, circuit breakers, and state-contingent delegation are design implications of observable states. They form an agenda, not findings.</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The note proceeds as follows. Section 2 lays out the softmax identity and positions it against IS research on delegation and against existing uncertainty measures. Section 3 defines the constructs and four propositions. Section 4 reports the measurement illustration, Section 5 draws out the governance implication and its boundary conditions, and Section 6 sets out what would have to be shown before that implication could count as evidence.</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2. Theoretical Foundations</w:t>
      </w:r>
    </w:p>
    <w:p>
      <w:pPr>
        <w:pStyle w:val="Heading2"/>
        <w:spacing w:after="120" w:before="280"/>
      </w:pPr>
      <w:r>
        <w:rPr>
          <w:rFonts w:ascii="Times New Roman" w:cs="Times New Roman" w:eastAsia="Times New Roman" w:hAnsi="Times New Roman"/>
          <w:b/>
          <w:bCs/>
          <w:color w:val="1F4E79"/>
          <w:sz w:val="24"/>
          <w:szCs w:val="24"/>
        </w:rPr>
        <w:t xml:space="preserve">2.1 Delegation to an artifact whose behavior is state-dependent</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Agentic IS artifacts differ from earlier information systems because they perceive, decide, and act with some autonomy (Baird &amp; Maruping, 2021). Governance therefore has to address not just whether they work but how they decide. Berente et al. (2021) name autonomy, learning, and inscrutability as the facets that make AI hard to manage, and each takes a state-dependent form in an LLM agent. With autonomy, a failure can run for many steps before anyone notices. With learning, whether through fine-tuning or the accumulation of context within a task, behavior can drift from the behavior on which the decision to delegate was based. With inscrutability, output quality is often the first sign of that drift.</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Organizations typically decide once, on evidence of capability, whether to delegate a task. If behavior depends on an internal state that changes, that evidence is incomplete: the question is no longer only whether an agent can do a task but whether it is currently in a state to do it. Once agents are chained, the system also takes on the interactive complexity and tight coupling that Perrow (1984) identified as the roots of normal accidents. We use that point to motivate why a local state matters, though we do not test network transmission here.</w:t>
      </w:r>
    </w:p>
    <w:p>
      <w:pPr>
        <w:pStyle w:val="Heading2"/>
        <w:spacing w:after="120" w:before="280"/>
      </w:pPr>
      <w:r>
        <w:rPr>
          <w:rFonts w:ascii="Times New Roman" w:cs="Times New Roman" w:eastAsia="Times New Roman" w:hAnsi="Times New Roman"/>
          <w:b/>
          <w:bCs/>
          <w:color w:val="1F4E79"/>
          <w:sz w:val="24"/>
          <w:szCs w:val="24"/>
        </w:rPr>
        <w:t xml:space="preserve">2.2 The softmax identity</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Simon (1955) argued that decision-makers choose under limits of information and computation. Quantal response theory formalizes one such limit. Instead of always picking the best action, an agent picks action i with a probability that rises smoothly with its utility ui (McKelvey &amp; Palfrey, 1995). The standard form is the logit rule, with precision λ:</w:t>
      </w:r>
    </w:p>
    <w:p>
      <w:pPr>
        <w:spacing w:after="80" w:before="80"/>
        <w:jc w:val="center"/>
      </w:pPr>
      <w:r>
        <w:rPr>
          <w:rFonts w:ascii="Times New Roman" w:cs="Times New Roman" w:eastAsia="Times New Roman" w:hAnsi="Times New Roman"/>
          <w:b w:val="false"/>
          <w:bCs w:val="false"/>
          <w:i/>
          <w:iCs/>
          <w:smallCaps w:val="false"/>
          <w:color w:val="000000"/>
          <w:sz w:val="22"/>
          <w:szCs w:val="22"/>
        </w:rPr>
        <w:t xml:space="preserve">P(i) = exp(λ ui) / Σj exp(λ uj).</w:t>
      </w:r>
    </w:p>
    <w:p>
      <w:pPr>
        <w:spacing w:after="140" w:before="0"/>
        <w:jc w:val="center"/>
      </w:pPr>
      <w:r>
        <w:rPr>
          <w:rFonts w:ascii="Times New Roman" w:cs="Times New Roman" w:eastAsia="Times New Roman" w:hAnsi="Times New Roman"/>
          <w:b w:val="false"/>
          <w:bCs w:val="false"/>
          <w:i w:val="false"/>
          <w:iCs w:val="false"/>
          <w:smallCaps w:val="false"/>
          <w:color w:val="000000"/>
          <w:sz w:val="20"/>
          <w:szCs w:val="20"/>
        </w:rPr>
        <w:t xml:space="preserve">(1)</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An LLM chooses its next token using the same functional form. Given logits z over a vocabulary and a temperature T:</w:t>
      </w:r>
    </w:p>
    <w:p>
      <w:pPr>
        <w:spacing w:after="80" w:before="80"/>
        <w:jc w:val="center"/>
      </w:pPr>
      <w:r>
        <w:rPr>
          <w:rFonts w:ascii="Times New Roman" w:cs="Times New Roman" w:eastAsia="Times New Roman" w:hAnsi="Times New Roman"/>
          <w:b w:val="false"/>
          <w:bCs w:val="false"/>
          <w:i/>
          <w:iCs/>
          <w:smallCaps w:val="false"/>
          <w:color w:val="000000"/>
          <w:sz w:val="22"/>
          <w:szCs w:val="22"/>
        </w:rPr>
        <w:t xml:space="preserve">P(y) = exp(zy / T) / Σv exp(zv / T).</w:t>
      </w:r>
    </w:p>
    <w:p>
      <w:pPr>
        <w:spacing w:after="140" w:before="0"/>
        <w:jc w:val="center"/>
      </w:pPr>
      <w:r>
        <w:rPr>
          <w:rFonts w:ascii="Times New Roman" w:cs="Times New Roman" w:eastAsia="Times New Roman" w:hAnsi="Times New Roman"/>
          <w:b w:val="false"/>
          <w:bCs w:val="false"/>
          <w:i w:val="false"/>
          <w:iCs w:val="false"/>
          <w:smallCaps w:val="false"/>
          <w:color w:val="000000"/>
          <w:sz w:val="20"/>
          <w:szCs w:val="20"/>
        </w:rPr>
        <w:t xml:space="preserve">(2)</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Setting λ = 1/T makes the two rules identical in form. At low temperature the agent behaves almost like a deterministic maximizer; at high temperature its choice is barely guided by the logits. The uncertainty of a single choice is its entropy, H = −Σ pi log pi, which falls toward zero as T approaches zero and rises toward the log of the support as T grows. For an LLM agent both the distribution and the chosen token can be observed, and that observability is what allows a behavioral construct to become an operational one.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Sharing an equation does not by itself build a theoretical bridge. Two results give us reason to read the equation as a choice rule rather than a coincidence of functional forms. The first is that drawing a token from the softmax is equivalent to adding independent Gumbel noise, scaled by T, to each logit and taking the largest. This is the random-utility derivation of the logit (McFadden, 1974), and it makes temperature the scale of the random component, just as 1/λ is in quantal response theory. The second is that a language model fine-tuned under a penalty for departing from a reference policy converges to a policy whose log-probability ratio to that reference equals, up to a constant, a scaled reward (Rafailov et al., 2023). Under that training regime, log-probabilities carry value information in a precise sense.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Neither result turns logits into task utilities automatically. What they establish is that the logit rule is the right model of the sampling process, and that a valuation can be recovered once a reference is specified. Effective decision temperature rests on that second step. We make no claim about machine experience. Tokens can look like threat rigidity (Staw, Sandelands, &amp; Dutton, 1981) or a collapse of sensemaking (Weick, 1993) without the agent having either, and resemblance to human behavior may simply be role play (Shanahan, McDonell, &amp; Reynolds, 2023). All the theory claims is that the same decision parameter describes a distortion of choice relative to a stated reference, and we treat that as something to estimate rather than assume.</w:t>
      </w:r>
    </w:p>
    <w:p>
      <w:pPr>
        <w:pStyle w:val="Heading2"/>
        <w:spacing w:after="120" w:before="280"/>
      </w:pPr>
      <w:r>
        <w:rPr>
          <w:rFonts w:ascii="Times New Roman" w:cs="Times New Roman" w:eastAsia="Times New Roman" w:hAnsi="Times New Roman"/>
          <w:b/>
          <w:bCs/>
          <w:color w:val="1F4E79"/>
          <w:sz w:val="24"/>
          <w:szCs w:val="24"/>
        </w:rPr>
        <w:t xml:space="preserve">2.3 What uncertainty measures do not identify</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Models are partly able to judge whether they know an answer (Kadavath et al., 2022), and semantic entropy detects one class of hallucinations (Kuhn, Gal, &amp; Farquhar, 2023; Farquhar et al., 2024). Failure taxonomies, for their part, classify specification faults, inter-agent misalignment, and weak verification after the fact (Cemri et al., 2025). We use token entropy as an indicator but do not treat it as a decision state. Entropy describes concentration; it does not say whether the concentrated mass sits on task value. A greedy loop and a correct greedy solution can have similar entropy. Teff is the quantity that tells them apart, and only relative to a reference that was not used to generate the choices. If Teff is estimated from the same logits that produced the sample, it recovers the nominal temperature by construction and carries no information.</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3. Constructs and Propositions</w:t>
      </w:r>
    </w:p>
    <w:p>
      <w:pPr>
        <w:pStyle w:val="Heading2"/>
        <w:spacing w:after="120" w:before="280"/>
      </w:pPr>
      <w:r>
        <w:rPr>
          <w:rFonts w:ascii="Times New Roman" w:cs="Times New Roman" w:eastAsia="Times New Roman" w:hAnsi="Times New Roman"/>
          <w:b/>
          <w:bCs/>
          <w:color w:val="1F4E79"/>
          <w:sz w:val="24"/>
          <w:szCs w:val="24"/>
        </w:rPr>
        <w:t xml:space="preserve">3.1 Effective decision temperature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Table 1 defines four constructs. We do not treat contagion as a construct in this note, because it follows from coupling. Section 5 discusses it as an implication, not as a measured object.</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1. Constructs.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rPr>
          <w:cantSplit/>
          <w:tblHeader/>
        </w:trPr>
        <w:tc>
          <w:tcPr>
            <w:tcW w:type="dxa" w:w="22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Construct</w:t>
            </w:r>
          </w:p>
        </w:tc>
        <w:tc>
          <w:tcPr>
            <w:tcW w:type="dxa" w:w="368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Definition</w:t>
            </w:r>
          </w:p>
        </w:tc>
        <w:tc>
          <w:tcPr>
            <w:tcW w:type="dxa" w:w="348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Indicator</w:t>
            </w:r>
          </w:p>
        </w:tc>
      </w:tr>
      <w:tr>
        <w:trPr>
          <w:cantSplit/>
          <w:tblHeader w:val="false"/>
        </w:trPr>
        <w:tc>
          <w:tcPr>
            <w:tcW w:type="dxa" w:w="22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Contextual pressure</w:t>
            </w:r>
          </w:p>
        </w:tc>
        <w:tc>
          <w:tcPr>
            <w:tcW w:type="dxa" w:w="36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Inputs impose mutually unsatisfiable demands, penalties, or constraints.</w:t>
            </w:r>
          </w:p>
        </w:tc>
        <w:tc>
          <w:tcPr>
            <w:tcW w:type="dxa" w:w="34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Count or rating of contradictions in the prompt, fixed before output.</w:t>
            </w:r>
          </w:p>
        </w:tc>
      </w:tr>
      <w:tr>
        <w:trPr>
          <w:cantSplit/>
          <w:tblHeader w:val="false"/>
        </w:trPr>
        <w:tc>
          <w:tcPr>
            <w:tcW w:type="dxa" w:w="22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Content contamination</w:t>
            </w:r>
          </w:p>
        </w:tc>
        <w:tc>
          <w:tcPr>
            <w:tcW w:type="dxa" w:w="36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Negatively valenced or defensive content in the current context, or, separately, in the weights.</w:t>
            </w:r>
          </w:p>
        </w:tc>
        <w:tc>
          <w:tcPr>
            <w:tcW w:type="dxa" w:w="34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Share of such content; for weights, distance from a reference model. Not an affective state.</w:t>
            </w:r>
          </w:p>
        </w:tc>
      </w:tr>
      <w:tr>
        <w:trPr>
          <w:cantSplit/>
          <w:tblHeader w:val="false"/>
        </w:trPr>
        <w:tc>
          <w:tcPr>
            <w:tcW w:type="dxa" w:w="22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Effective decision temperature (Teff)</w:t>
            </w:r>
          </w:p>
        </w:tc>
        <w:tc>
          <w:tcPr>
            <w:tcW w:type="dxa" w:w="36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Temperature at which observed tokens are best explained by a clean-context reference valuation.</w:t>
            </w:r>
          </w:p>
        </w:tc>
        <w:tc>
          <w:tcPr>
            <w:tcW w:type="dxa" w:w="34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Maximum-likelihood T given reference logits vt. Report with the log-likelihood of the fit.</w:t>
            </w:r>
          </w:p>
        </w:tc>
      </w:tr>
      <w:tr>
        <w:trPr>
          <w:cantSplit/>
          <w:tblHeader w:val="false"/>
        </w:trPr>
        <w:tc>
          <w:tcPr>
            <w:tcW w:type="dxa" w:w="22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Agent instability</w:t>
            </w:r>
          </w:p>
        </w:tc>
        <w:tc>
          <w:tcPr>
            <w:tcW w:type="dxa" w:w="36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Output leaves its functional band: rigid (low-entropy lock-in off the task) or chaotic (high-entropy incoherence).</w:t>
            </w:r>
          </w:p>
        </w:tc>
        <w:tc>
          <w:tcPr>
            <w:tcW w:type="dxa" w:w="34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Token entropy, repetition, lock-in to a planted token, coherence with the reference path.</w:t>
            </w:r>
          </w:p>
        </w:tc>
      </w:tr>
    </w:tbl>
    <w:p>
      <w:pPr>
        <w:spacing w:after="160" w:before="40"/>
      </w:pPr>
      <w:r>
        <w:rPr>
          <w:rFonts w:ascii="Times New Roman" w:cs="Times New Roman" w:eastAsia="Times New Roman" w:hAnsi="Times New Roman"/>
          <w:b w:val="false"/>
          <w:bCs w:val="false"/>
          <w:i/>
          <w:iCs/>
          <w:smallCaps w:val="false"/>
          <w:color w:val="000000"/>
          <w:sz w:val="18"/>
          <w:szCs w:val="18"/>
        </w:rPr>
        <w:t xml:space="preserve">Notes. Content contamination replaces affective contamination. It refers to the valence of the content being processed, not to an internal emotion. Teff is identified only through a reference that is not the sampling distribution.</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Formally,</w:t>
      </w:r>
    </w:p>
    <w:p>
      <w:pPr>
        <w:spacing w:after="80" w:before="80"/>
        <w:jc w:val="center"/>
      </w:pPr>
      <w:r>
        <w:rPr>
          <w:rFonts w:ascii="Times New Roman" w:cs="Times New Roman" w:eastAsia="Times New Roman" w:hAnsi="Times New Roman"/>
          <w:b w:val="false"/>
          <w:bCs w:val="false"/>
          <w:i/>
          <w:iCs/>
          <w:smallCaps w:val="false"/>
          <w:color w:val="000000"/>
          <w:sz w:val="22"/>
          <w:szCs w:val="22"/>
        </w:rPr>
        <w:t xml:space="preserve">Teff = arg min over T of  − Σt log pref(yt | vt, T),</w:t>
      </w:r>
    </w:p>
    <w:p>
      <w:pPr>
        <w:spacing w:after="140" w:before="0"/>
        <w:jc w:val="center"/>
      </w:pPr>
      <w:r>
        <w:rPr>
          <w:rFonts w:ascii="Times New Roman" w:cs="Times New Roman" w:eastAsia="Times New Roman" w:hAnsi="Times New Roman"/>
          <w:b w:val="false"/>
          <w:bCs w:val="false"/>
          <w:i w:val="false"/>
          <w:iCs w:val="false"/>
          <w:smallCaps w:val="false"/>
          <w:color w:val="000000"/>
          <w:sz w:val="20"/>
          <w:szCs w:val="20"/>
        </w:rPr>
        <w:t xml:space="preserve">(3)</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where yt is the token chosen at step t and pref is the softmax probability of that token when the model’s logits are replaced by a reference valuation vt. We define vt as the logits the same model produces at step t on the same task and history once the pressure and contamination text has been removed. This counterfactual is easy to build in an experiment and can be approximated in an instrumented deployment. Two alternatives answer different questions: the log-probabilities of an unmodified reference model isolate parameter-level change, and an external verifier isolates task value wherever a scoring rule exists. Under this definition, Teff departs from nominal T exactly when context changes valuations relative to the reference, and a functioning agent has Teff near the nominal temperature. Because Teff captures only scale, a poor log-likelihood means that no temperature rationalizes the choices, which is itself a signal about state.</w:t>
      </w:r>
    </w:p>
    <w:p>
      <w:pPr>
        <w:pStyle w:val="Heading2"/>
        <w:spacing w:after="120" w:before="280"/>
      </w:pPr>
      <w:r>
        <w:rPr>
          <w:rFonts w:ascii="Times New Roman" w:cs="Times New Roman" w:eastAsia="Times New Roman" w:hAnsi="Times New Roman"/>
          <w:b/>
          <w:bCs/>
          <w:color w:val="1F4E79"/>
          <w:sz w:val="24"/>
          <w:szCs w:val="24"/>
        </w:rPr>
        <w:t xml:space="preserve">3.2 Propositions</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Contextual pressure is a property of the input and is fixed before any output; instability is a property of the output. The proposition is therefore not true by definition. Contradictory demands leave no continuation that satisfies the whole context, so probability mass either piles onto a few locally attractive tokens or spreads across incompatible ones. Either way, choices follow the clean-context valuation less closely than the sampling temperature would imply.</w:t>
      </w:r>
    </w:p>
    <w:p>
      <w:pPr>
        <w:spacing w:after="160" w:before="0" w:line="276"/>
        <w:jc w:val="both"/>
      </w:pPr>
      <w:r>
        <w:rPr>
          <w:rFonts w:ascii="Times New Roman" w:cs="Times New Roman" w:eastAsia="Times New Roman" w:hAnsi="Times New Roman"/>
          <w:b/>
          <w:bCs/>
          <w:i/>
          <w:iCs/>
          <w:smallCaps w:val="false"/>
          <w:color w:val="000000"/>
          <w:sz w:val="22"/>
          <w:szCs w:val="22"/>
        </w:rPr>
        <w:t xml:space="preserve">Proposition 1. </w:t>
      </w:r>
      <w:r>
        <w:rPr>
          <w:rFonts w:ascii="Times New Roman" w:cs="Times New Roman" w:eastAsia="Times New Roman" w:hAnsi="Times New Roman"/>
          <w:b w:val="false"/>
          <w:bCs w:val="false"/>
          <w:i/>
          <w:iCs/>
          <w:smallCaps w:val="false"/>
          <w:color w:val="000000"/>
          <w:sz w:val="22"/>
          <w:szCs w:val="22"/>
        </w:rPr>
        <w:t xml:space="preserve">Contextual pressure increases agent instability by raising effective decision temperature above the nominal sampling temperature.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Bounded rationality does not imply that performance is always interior in temperature. An inverted-U appears only when three task conditions hold together. First, the agent can start on the correct path at low T, so accuracy is not already at the floor. Second, an early off-path token is written back into the context and warps the next logits. Third, the resulting attractor is sticky enough that greedy decoding cannot leave it, yet leaky enough that moderate noise can. With no attractor, a greedy agent that starts on-path stays on-path, and accuracy falls as T rises. If the attractor is too weak, low T absorbs the error; if it is too strong, mid-range T cannot recover. These regimes are the proposition.</w:t>
      </w:r>
    </w:p>
    <w:p>
      <w:pPr>
        <w:spacing w:after="160" w:before="0" w:line="276"/>
        <w:jc w:val="both"/>
      </w:pPr>
      <w:r>
        <w:rPr>
          <w:rFonts w:ascii="Times New Roman" w:cs="Times New Roman" w:eastAsia="Times New Roman" w:hAnsi="Times New Roman"/>
          <w:b/>
          <w:bCs/>
          <w:i/>
          <w:iCs/>
          <w:smallCaps w:val="false"/>
          <w:color w:val="000000"/>
          <w:sz w:val="22"/>
          <w:szCs w:val="22"/>
        </w:rPr>
        <w:t xml:space="preserve">Proposition 2. </w:t>
      </w:r>
      <w:r>
        <w:rPr>
          <w:rFonts w:ascii="Times New Roman" w:cs="Times New Roman" w:eastAsia="Times New Roman" w:hAnsi="Times New Roman"/>
          <w:b w:val="false"/>
          <w:bCs w:val="false"/>
          <w:i/>
          <w:iCs/>
          <w:smallCaps w:val="false"/>
          <w:color w:val="000000"/>
          <w:sz w:val="22"/>
          <w:szCs w:val="22"/>
        </w:rPr>
        <w:t xml:space="preserve">On compounding tasks that the agent can solve, and only when an off-path attractor is sticky at low T and escapable at moderate T, the relationship between nominal temperature and task performance is inverted-U shaped. Absent an attractor, or given an attractor that is too weak or too strong, accuracy does not have an interior peak. Teff and rigidity can still move.</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2. Boundary regimes for Proposition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420"/>
        <w:gridCol w:w="2420"/>
        <w:gridCol w:w="2420"/>
      </w:tblGrid>
      <w:tr>
        <w:trPr>
          <w:cantSplit/>
          <w:tblHeader/>
        </w:trPr>
        <w:tc>
          <w:tcPr>
            <w:tcW w:type="dxa" w:w="2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Regime</w:t>
            </w:r>
          </w:p>
        </w:tc>
        <w:tc>
          <w:tcPr>
            <w:tcW w:type="dxa" w:w="242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Starts on-path?</w:t>
            </w:r>
          </w:p>
        </w:tc>
        <w:tc>
          <w:tcPr>
            <w:tcW w:type="dxa" w:w="242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Attractor</w:t>
            </w:r>
          </w:p>
        </w:tc>
        <w:tc>
          <w:tcPr>
            <w:tcW w:type="dxa" w:w="242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Accuracy vs. T</w:t>
            </w:r>
          </w:p>
        </w:tc>
      </w:tr>
      <w:tr>
        <w:trPr>
          <w:cantSplit/>
          <w:tblHeader w:val="false"/>
        </w:trPr>
        <w:tc>
          <w:tcPr>
            <w:tcW w:type="dxa" w:w="2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No attractor</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Yes</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None</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Monotone decline</w:t>
            </w:r>
          </w:p>
        </w:tc>
      </w:tr>
      <w:tr>
        <w:trPr>
          <w:cantSplit/>
          <w:tblHeader w:val="false"/>
        </w:trPr>
        <w:tc>
          <w:tcPr>
            <w:tcW w:type="dxa" w:w="21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Weak</w:t>
            </w:r>
          </w:p>
        </w:tc>
        <w:tc>
          <w:tcPr>
            <w:tcW w:type="dxa" w:w="242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Yes</w:t>
            </w:r>
          </w:p>
        </w:tc>
        <w:tc>
          <w:tcPr>
            <w:tcW w:type="dxa" w:w="242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Absorbed at low T</w:t>
            </w:r>
          </w:p>
        </w:tc>
        <w:tc>
          <w:tcPr>
            <w:tcW w:type="dxa" w:w="242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Near-monotone; error repaired</w:t>
            </w:r>
          </w:p>
        </w:tc>
      </w:tr>
      <w:tr>
        <w:trPr>
          <w:cantSplit/>
          <w:tblHeader w:val="false"/>
        </w:trPr>
        <w:tc>
          <w:tcPr>
            <w:tcW w:type="dxa" w:w="2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Sticky, escapable</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Yes</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Locks at low T, leaks at mid T</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Inverted-U</w:t>
            </w:r>
          </w:p>
        </w:tc>
      </w:tr>
      <w:tr>
        <w:trPr>
          <w:cantSplit/>
          <w:tblHeader w:val="false"/>
        </w:trPr>
        <w:tc>
          <w:tcPr>
            <w:tcW w:type="dxa" w:w="21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Too strong</w:t>
            </w:r>
          </w:p>
        </w:tc>
        <w:tc>
          <w:tcPr>
            <w:tcW w:type="dxa" w:w="242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Yes, then knocked off</w:t>
            </w:r>
          </w:p>
        </w:tc>
        <w:tc>
          <w:tcPr>
            <w:tcW w:type="dxa" w:w="242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Locks across mid T</w:t>
            </w:r>
          </w:p>
        </w:tc>
        <w:tc>
          <w:tcPr>
            <w:tcW w:type="dxa" w:w="242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Floor; no interior peak</w:t>
            </w:r>
          </w:p>
        </w:tc>
      </w:tr>
      <w:tr>
        <w:trPr>
          <w:cantSplit/>
          <w:tblHeader w:val="false"/>
        </w:trPr>
        <w:tc>
          <w:tcPr>
            <w:tcW w:type="dxa" w:w="2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Unsolvable</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Irrelevant</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Accuracy uninformative</w:t>
            </w:r>
          </w:p>
        </w:tc>
      </w:tr>
    </w:tbl>
    <w:p>
      <w:pPr>
        <w:spacing w:after="160" w:before="40"/>
      </w:pPr>
      <w:r>
        <w:rPr>
          <w:rFonts w:ascii="Times New Roman" w:cs="Times New Roman" w:eastAsia="Times New Roman" w:hAnsi="Times New Roman"/>
          <w:b w:val="false"/>
          <w:bCs w:val="false"/>
          <w:i/>
          <w:iCs/>
          <w:smallCaps w:val="false"/>
          <w:color w:val="000000"/>
          <w:sz w:val="18"/>
          <w:szCs w:val="18"/>
        </w:rPr>
        <w:t xml:space="preserve">The inverted-U is the third row, not the default. We state Proposition 2 with these regimes built in rather than qualifying it after a failed test.</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Negative content changes which continuations look locally attractive. On its own it can tilt phrasing without collapsing the policy. Under pressure, though, that tilt supplies the dominant token onto which a narrowing distribution can lock. We would expect the interaction to be stronger when the contaminated content is close to a dominant token (a repeated letter, a refusal, an apology) than when it is diffuse sentiment.</w:t>
      </w:r>
    </w:p>
    <w:p>
      <w:pPr>
        <w:spacing w:after="160" w:before="0" w:line="276"/>
        <w:jc w:val="both"/>
      </w:pPr>
      <w:r>
        <w:rPr>
          <w:rFonts w:ascii="Times New Roman" w:cs="Times New Roman" w:eastAsia="Times New Roman" w:hAnsi="Times New Roman"/>
          <w:b/>
          <w:bCs/>
          <w:i/>
          <w:iCs/>
          <w:smallCaps w:val="false"/>
          <w:color w:val="000000"/>
          <w:sz w:val="22"/>
          <w:szCs w:val="22"/>
        </w:rPr>
        <w:t xml:space="preserve">Proposition 3. </w:t>
      </w:r>
      <w:r>
        <w:rPr>
          <w:rFonts w:ascii="Times New Roman" w:cs="Times New Roman" w:eastAsia="Times New Roman" w:hAnsi="Times New Roman"/>
          <w:b w:val="false"/>
          <w:bCs w:val="false"/>
          <w:i/>
          <w:iCs/>
          <w:smallCaps w:val="false"/>
          <w:color w:val="000000"/>
          <w:sz w:val="22"/>
          <w:szCs w:val="22"/>
        </w:rPr>
        <w:t xml:space="preserve">Content contamination strengthens the effect of contextual pressure on instability. The strengthening is greater when the contaminated content is close to a dominant response than when it is diffuse negative valence.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The source of the distortion determines whether an intervention can work. Context-level contamination is a property of what the agent is reading, so clearing the window or reframing the request changes that reading and should bring Teff back toward the clean-context reference. Parameter-level contamination is a property of the weights. There the same linguistic intervention changes only the prompt, not the valuation that the prompt is projected onto.</w:t>
      </w:r>
    </w:p>
    <w:p>
      <w:pPr>
        <w:spacing w:after="160" w:before="0" w:line="276"/>
        <w:jc w:val="both"/>
      </w:pPr>
      <w:r>
        <w:rPr>
          <w:rFonts w:ascii="Times New Roman" w:cs="Times New Roman" w:eastAsia="Times New Roman" w:hAnsi="Times New Roman"/>
          <w:b/>
          <w:bCs/>
          <w:i/>
          <w:iCs/>
          <w:smallCaps w:val="false"/>
          <w:color w:val="000000"/>
          <w:sz w:val="22"/>
          <w:szCs w:val="22"/>
        </w:rPr>
        <w:t xml:space="preserve">Proposition 4. </w:t>
      </w:r>
      <w:r>
        <w:rPr>
          <w:rFonts w:ascii="Times New Roman" w:cs="Times New Roman" w:eastAsia="Times New Roman" w:hAnsi="Times New Roman"/>
          <w:b w:val="false"/>
          <w:bCs w:val="false"/>
          <w:i/>
          <w:iCs/>
          <w:smallCaps w:val="false"/>
          <w:color w:val="000000"/>
          <w:sz w:val="22"/>
          <w:szCs w:val="22"/>
        </w:rPr>
        <w:t xml:space="preserve">Instability from context-level contamination is reduced by a context reset or a reframe. Instability from parameter-level contamination persists after both and requires a change in weights.</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We state no propositions on early-warning autocorrelation, network contagion, circuit breakers, or the organizational cost of state-contingent delegation, since each would need a design that this note does not run. Section 5 records them as implications that inherit the identification conditions above.</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4. Measurement Illustration</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The identity between softmax sampling and the logit rule makes the constructs computable, but it does not turn a synthetic agent into a test of the theory. We report three stages. Stage 1 implements the choice rule on logits we specify ourselves, so that the indicators can be read off a known process. Stage 2 applies the same measurement rule to HuggingFaceTB/SmolLM2-135M-Instruct, run in full precision on a CPU machine with no GPU and 1.9 GB of RAM, which ruled out larger models. Stage 3 repeats the test on Qwen2.5-3B-Instruct, run in bfloat16 on a different CPU machine with 15 GB of RAM, on a task that this model solves, to see whether the inverted-U of Proposition 2 appears when the agent starts on-path. Stage 1 shows that the indicators register distortions built into the logits. Stage 2 shows that they can be computed from real log-probabilities and that they separate under pressure, and that no inverted-U appears on the small model. Stage 3 shows an inverted-U on the larger model for attractors of intermediate strength. None of the stages confirms the propositions as general claims.</w:t>
      </w:r>
    </w:p>
    <w:p>
      <w:pPr>
        <w:pStyle w:val="Heading2"/>
        <w:spacing w:after="120" w:before="280"/>
      </w:pPr>
      <w:r>
        <w:rPr>
          <w:rFonts w:ascii="Times New Roman" w:cs="Times New Roman" w:eastAsia="Times New Roman" w:hAnsi="Times New Roman"/>
          <w:b/>
          <w:bCs/>
          <w:color w:val="1F4E79"/>
          <w:sz w:val="24"/>
          <w:szCs w:val="24"/>
        </w:rPr>
        <w:t xml:space="preserve">4.1 Stage 1: known logits</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A 16-action softmax agent followed P(i) = softmax(z / T). Task utilities favored a five-step cycle. Pressure added a mutually unsatisfiable second cycle, and contamination lifted defensive tokens and reinforced them once chosen. At step 2 we injected a one-step false premise, and each chosen action became the next state. The design crossed pressure, contamination, and twelve temperatures from 0.15 to 3.00, with 50 replications of a 24-step horizon (N = 2,400). Teff used the uncontaminated task utilities as the reference. The directional gaps in Table 3 follow from the design, so we report no significance tests. What is informative is how far Teff separates from nominal T and the task condition under which an inverted-U appears.</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3. Synthetic agent at nominal T = 0.93 (50 replications).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40"/>
        <w:gridCol w:w="1640"/>
        <w:gridCol w:w="1640"/>
        <w:gridCol w:w="1640"/>
      </w:tblGrid>
      <w:tr>
        <w:trPr>
          <w:cantSplit/>
          <w:tblHeader/>
        </w:trPr>
        <w:tc>
          <w:tcPr>
            <w:tcW w:type="dxa" w:w="28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Condition</w:t>
            </w:r>
          </w:p>
        </w:tc>
        <w:tc>
          <w:tcPr>
            <w:tcW w:type="dxa" w:w="164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P(instability)</w:t>
            </w:r>
          </w:p>
        </w:tc>
        <w:tc>
          <w:tcPr>
            <w:tcW w:type="dxa" w:w="164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Accuracy</w:t>
            </w:r>
          </w:p>
        </w:tc>
        <w:tc>
          <w:tcPr>
            <w:tcW w:type="dxa" w:w="164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Entropy</w:t>
            </w:r>
          </w:p>
        </w:tc>
        <w:tc>
          <w:tcPr>
            <w:tcW w:type="dxa" w:w="164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Teff</w:t>
            </w:r>
          </w:p>
        </w:tc>
      </w:tr>
      <w:tr>
        <w:trPr>
          <w:cantSplit/>
          <w:tblHeader w:val="false"/>
        </w:trPr>
        <w:tc>
          <w:tcPr>
            <w:tcW w:type="dxa" w:w="2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Neutral / clean</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0.97</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0.89</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0.91</w:t>
            </w:r>
          </w:p>
        </w:tc>
      </w:tr>
      <w:tr>
        <w:trPr>
          <w:cantSplit/>
          <w:tblHeader w:val="false"/>
        </w:trPr>
        <w:tc>
          <w:tcPr>
            <w:tcW w:type="dxa" w:w="28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Neutral / contaminated</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0.90</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1.14</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1.06</w:t>
            </w:r>
          </w:p>
        </w:tc>
      </w:tr>
      <w:tr>
        <w:trPr>
          <w:cantSplit/>
          <w:tblHeader w:val="false"/>
        </w:trPr>
        <w:tc>
          <w:tcPr>
            <w:tcW w:type="dxa" w:w="2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Pressure / clean</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0.38</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0.48</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1.48</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2.49</w:t>
            </w:r>
          </w:p>
        </w:tc>
      </w:tr>
      <w:tr>
        <w:trPr>
          <w:cantSplit/>
          <w:tblHeader w:val="false"/>
        </w:trPr>
        <w:tc>
          <w:tcPr>
            <w:tcW w:type="dxa" w:w="28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Pressure / contaminated</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0.58</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0.38</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1.61</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3.37</w:t>
            </w:r>
          </w:p>
        </w:tc>
      </w:tr>
    </w:tbl>
    <w:p>
      <w:pPr>
        <w:spacing w:after="160" w:before="40"/>
      </w:pPr>
      <w:r>
        <w:rPr>
          <w:rFonts w:ascii="Times New Roman" w:cs="Times New Roman" w:eastAsia="Times New Roman" w:hAnsi="Times New Roman"/>
          <w:b w:val="false"/>
          <w:bCs w:val="false"/>
          <w:i/>
          <w:iCs/>
          <w:smallCaps w:val="false"/>
          <w:color w:val="000000"/>
          <w:sz w:val="18"/>
          <w:szCs w:val="18"/>
        </w:rPr>
        <w:t xml:space="preserve">Instability flags low entropy with poor coherence or repetition, or high entropy with poor coherence. The gaps follow from the design.</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In the neutral, uncontaminated cell, accuracy is essentially perfect at low T and declines as T rises. No inverted-U appears, because a greedy agent that starts on-path has nothing to escape. Under joint pressure and contamination, accuracy is 0.18 at T = 0.15, rises to 0.37 at T = 0.67, and falls toward chance at high T. This is the third row of Table 2, and it appears because we specified the attractor to be sticky at low T and leaky at mid T. With neutral, clean prompts, Teff tracks nominal T. When pressure and contamination warp the logits away from task value, Teff lies above the diagonal. The rise at the lowest nominal temperatures is the signature of rigid instability: the agent’s own distribution is concentrated, but on tokens the reference does not favor.</w:t>
      </w:r>
    </w:p>
    <w:p>
      <w:pPr>
        <w:pStyle w:val="Heading2"/>
        <w:spacing w:after="120" w:before="280"/>
      </w:pPr>
      <w:r>
        <w:rPr>
          <w:rFonts w:ascii="Times New Roman" w:cs="Times New Roman" w:eastAsia="Times New Roman" w:hAnsi="Times New Roman"/>
          <w:b/>
          <w:bCs/>
          <w:color w:val="1F4E79"/>
          <w:sz w:val="24"/>
          <w:szCs w:val="24"/>
        </w:rPr>
        <w:t xml:space="preserve">4.2 Stage 2: open-weight log-probabilities</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Stage 2 asks whether entropy, Teff, and lock-in can be read from a pretrained model, and what a valid test of Proposition 2 would require of the task. For a fixed action set, we read next-token log-probabilities z and sample from softmax(z / T). Teff is the maximum-likelihood temperature that rationalizes the observed sequence when the reference is the same model’s clean-context scores, with the pressure and contamination text removed. Estimating Teff from the sampling logits would recover only nominal T.</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4. Open-weight experiments. All runs use SmolLM2-135M-Instruct.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87"/>
        <w:gridCol w:w="2387"/>
        <w:gridCol w:w="2386"/>
      </w:tblGrid>
      <w:tr>
        <w:trPr>
          <w:cantSplit/>
          <w:tblHeader/>
        </w:trPr>
        <w:tc>
          <w:tcPr>
            <w:tcW w:type="dxa" w:w="22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Item</w:t>
            </w:r>
          </w:p>
        </w:tc>
        <w:tc>
          <w:tcPr>
            <w:tcW w:type="dxa" w:w="2387"/>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Experiment 1</w:t>
            </w:r>
          </w:p>
        </w:tc>
        <w:tc>
          <w:tcPr>
            <w:tcW w:type="dxa" w:w="2387"/>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Experiment 2</w:t>
            </w:r>
          </w:p>
        </w:tc>
        <w:tc>
          <w:tcPr>
            <w:tcW w:type="dxa" w:w="2386"/>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Experiment 3</w:t>
            </w:r>
          </w:p>
        </w:tc>
      </w:tr>
      <w:tr>
        <w:trPr>
          <w:cantSplit/>
          <w:tblHeader w:val="false"/>
        </w:trPr>
        <w:tc>
          <w:tcPr>
            <w:tcW w:type="dxa" w:w="22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Task</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16-action order policy</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Sequence A B C → D E F G H</w:t>
            </w:r>
          </w:p>
        </w:tc>
        <w:tc>
          <w:tcPr>
            <w:tcW w:type="dxa" w:w="2386"/>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Same as Experiment 2</w:t>
            </w:r>
          </w:p>
        </w:tc>
      </w:tr>
      <w:tr>
        <w:trPr>
          <w:cantSplit/>
          <w:tblHeader w:val="false"/>
        </w:trPr>
        <w:tc>
          <w:tcPr>
            <w:tcW w:type="dxa" w:w="22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Solvable at low T?</w:t>
            </w:r>
          </w:p>
        </w:tc>
        <w:tc>
          <w:tcPr>
            <w:tcW w:type="dxa" w:w="2387"/>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 (clean acc ≈ 0.10)</w:t>
            </w:r>
          </w:p>
        </w:tc>
        <w:tc>
          <w:tcPr>
            <w:tcW w:type="dxa" w:w="2387"/>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Yes (clean acc = 1.00)</w:t>
            </w:r>
          </w:p>
        </w:tc>
        <w:tc>
          <w:tcPr>
            <w:tcW w:type="dxa" w:w="2386"/>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Yes; X absorbed</w:t>
            </w:r>
          </w:p>
        </w:tc>
      </w:tr>
      <w:tr>
        <w:trPr>
          <w:cantSplit/>
          <w:tblHeader w:val="false"/>
        </w:trPr>
        <w:tc>
          <w:tcPr>
            <w:tcW w:type="dxa" w:w="22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Trajectories</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144 (two cells missing)</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480</w:t>
            </w:r>
          </w:p>
        </w:tc>
        <w:tc>
          <w:tcPr>
            <w:tcW w:type="dxa" w:w="2386"/>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240</w:t>
            </w:r>
          </w:p>
        </w:tc>
      </w:tr>
      <w:tr>
        <w:trPr>
          <w:cantSplit/>
          <w:tblHeader w:val="false"/>
        </w:trPr>
        <w:tc>
          <w:tcPr>
            <w:tcW w:type="dxa" w:w="22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Planted token</w:t>
            </w:r>
          </w:p>
        </w:tc>
        <w:tc>
          <w:tcPr>
            <w:tcW w:type="dxa" w:w="2387"/>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Out-of-stock note</w:t>
            </w:r>
          </w:p>
        </w:tc>
        <w:tc>
          <w:tcPr>
            <w:tcW w:type="dxa" w:w="2387"/>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A at step 2, warped cells</w:t>
            </w:r>
          </w:p>
        </w:tc>
        <w:tc>
          <w:tcPr>
            <w:tcW w:type="dxa" w:w="2386"/>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X at step 2, all compounding runs</w:t>
            </w:r>
          </w:p>
        </w:tc>
      </w:tr>
      <w:tr>
        <w:trPr>
          <w:cantSplit/>
          <w:tblHeader w:val="false"/>
        </w:trPr>
        <w:tc>
          <w:tcPr>
            <w:tcW w:type="dxa" w:w="22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Accuracy inverted-U</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 (floor)</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 (no recovery)</w:t>
            </w:r>
          </w:p>
        </w:tc>
        <w:tc>
          <w:tcPr>
            <w:tcW w:type="dxa" w:w="2386"/>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 (X too weak)</w:t>
            </w:r>
          </w:p>
        </w:tc>
      </w:tr>
      <w:tr>
        <w:trPr>
          <w:cantSplit/>
          <w:tblHeader w:val="false"/>
        </w:trPr>
        <w:tc>
          <w:tcPr>
            <w:tcW w:type="dxa" w:w="22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Teff separation</w:t>
            </w:r>
          </w:p>
        </w:tc>
        <w:tc>
          <w:tcPr>
            <w:tcW w:type="dxa" w:w="2387"/>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Partial</w:t>
            </w:r>
          </w:p>
        </w:tc>
        <w:tc>
          <w:tcPr>
            <w:tcW w:type="dxa" w:w="2387"/>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Large</w:t>
            </w:r>
          </w:p>
        </w:tc>
        <w:tc>
          <w:tcPr>
            <w:tcW w:type="dxa" w:w="2386"/>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Large</w:t>
            </w:r>
          </w:p>
        </w:tc>
      </w:tr>
      <w:tr>
        <w:trPr>
          <w:cantSplit/>
          <w:tblHeader w:val="false"/>
        </w:trPr>
        <w:tc>
          <w:tcPr>
            <w:tcW w:type="dxa" w:w="22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Low-T rigidity</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Partial</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lock-in to A = 1.00 under pressure</w:t>
            </w:r>
          </w:p>
        </w:tc>
        <w:tc>
          <w:tcPr>
            <w:tcW w:type="dxa" w:w="2386"/>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lock-in to A = 0.98 under pressure</w:t>
            </w:r>
          </w:p>
        </w:tc>
      </w:tr>
    </w:tbl>
    <w:p>
      <w:pPr>
        <w:spacing w:after="160" w:before="40"/>
      </w:pPr>
      <w:r>
        <w:rPr>
          <w:rFonts w:ascii="Times New Roman" w:cs="Times New Roman" w:eastAsia="Times New Roman" w:hAnsi="Times New Roman"/>
          <w:b w:val="false"/>
          <w:bCs w:val="false"/>
          <w:i/>
          <w:iCs/>
          <w:smallCaps w:val="false"/>
          <w:color w:val="000000"/>
          <w:sz w:val="18"/>
          <w:szCs w:val="18"/>
        </w:rPr>
        <w:t xml:space="preserve">Experiment 1 is a measurement check only. Accuracy cannot identify Proposition 2 on a task the model does not solve.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Experiment 1 mapped a fulfillment policy onto letter codes. The 135M model almost never carries out the policy when prompts are clean, so accuracy stays between 0.04 and 0.21. Under joint pressure and contamination, Teff still rises above nominal T (0.59 against T = 0.3; 2.82 against T = 1.0). Since the model never starts on-path, Proposition 2 should not be read from this series; it falls in the last row of Table 2.</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Experiment 2 uses raw continuation. The correct continuation of the prefix “Sequence A B C” is D E F G H, and a probe shows that D is the next-letter mode, so accuracy of 1.0 is possible at low T when prompts are clean. In the compounding condition, the sampled letter is written back into the prefix; in the non-compounding condition, the prefix is reset to the gold continuation after every step. Warped cells plant A at step 2. The design yields 4 × 2 × 6 × 10 = 480 trajectories.</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5. Experiment 2, clean prompts. Compounding versus non-compounding.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cantSplit/>
          <w:tblHeader/>
        </w:trPr>
        <w:tc>
          <w:tcPr>
            <w:tcW w:type="dxa" w:w="156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w:t>
            </w:r>
          </w:p>
        </w:tc>
        <w:tc>
          <w:tcPr>
            <w:tcW w:type="dxa" w:w="195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Comp. accuracy</w:t>
            </w:r>
          </w:p>
        </w:tc>
        <w:tc>
          <w:tcPr>
            <w:tcW w:type="dxa" w:w="195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Non-comp. accuracy</w:t>
            </w:r>
          </w:p>
        </w:tc>
        <w:tc>
          <w:tcPr>
            <w:tcW w:type="dxa" w:w="195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Comp. Teff</w:t>
            </w:r>
          </w:p>
        </w:tc>
        <w:tc>
          <w:tcPr>
            <w:tcW w:type="dxa" w:w="195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Non-comp. Teff</w:t>
            </w:r>
          </w:p>
        </w:tc>
      </w:tr>
      <w:tr>
        <w:trPr>
          <w:cantSplit/>
          <w:tblHeader w:val="false"/>
        </w:trPr>
        <w:tc>
          <w:tcPr>
            <w:tcW w:type="dxa" w:w="15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0.15</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0.05</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0.05</w:t>
            </w:r>
          </w:p>
        </w:tc>
      </w:tr>
      <w:tr>
        <w:trPr>
          <w:cantSplit/>
          <w:tblHeader w:val="false"/>
        </w:trPr>
        <w:tc>
          <w:tcPr>
            <w:tcW w:type="dxa" w:w="156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0.40</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0.05</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0.05</w:t>
            </w:r>
          </w:p>
        </w:tc>
      </w:tr>
      <w:tr>
        <w:trPr>
          <w:cantSplit/>
          <w:tblHeader w:val="false"/>
        </w:trPr>
        <w:tc>
          <w:tcPr>
            <w:tcW w:type="dxa" w:w="15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0.80</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0.05</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0.05</w:t>
            </w:r>
          </w:p>
        </w:tc>
      </w:tr>
      <w:tr>
        <w:trPr>
          <w:cantSplit/>
          <w:tblHeader w:val="false"/>
        </w:trPr>
        <w:tc>
          <w:tcPr>
            <w:tcW w:type="dxa" w:w="156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1.20</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0.72</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0.98</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1.65</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0.21</w:t>
            </w:r>
          </w:p>
        </w:tc>
      </w:tr>
      <w:tr>
        <w:trPr>
          <w:cantSplit/>
          <w:tblHeader w:val="false"/>
        </w:trPr>
        <w:tc>
          <w:tcPr>
            <w:tcW w:type="dxa" w:w="15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2.00</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0.30</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0.84</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3.01</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1.24</w:t>
            </w:r>
          </w:p>
        </w:tc>
      </w:tr>
      <w:tr>
        <w:trPr>
          <w:cantSplit/>
          <w:tblHeader w:val="false"/>
        </w:trPr>
        <w:tc>
          <w:tcPr>
            <w:tcW w:type="dxa" w:w="156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3.00</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0.18</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0.48</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5.18</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4.35</w:t>
            </w:r>
          </w:p>
        </w:tc>
      </w:tr>
    </w:tbl>
    <w:p>
      <w:pPr>
        <w:spacing w:after="160" w:before="40"/>
      </w:pPr>
      <w:r>
        <w:rPr>
          <w:rFonts w:ascii="Times New Roman" w:cs="Times New Roman" w:eastAsia="Times New Roman" w:hAnsi="Times New Roman"/>
          <w:b w:val="false"/>
          <w:bCs w:val="false"/>
          <w:i/>
          <w:iCs/>
          <w:smallCaps w:val="false"/>
          <w:color w:val="000000"/>
          <w:sz w:val="18"/>
          <w:szCs w:val="18"/>
        </w:rPr>
        <w:t xml:space="preserve">Clean accuracy declines with T. Compounding falls faster, because one off-path letter warps the next logits. No inverted-U appears.</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6. Experiment 2, compounding, at T = 0.15.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72"/>
        <w:gridCol w:w="1372"/>
        <w:gridCol w:w="1372"/>
        <w:gridCol w:w="1372"/>
        <w:gridCol w:w="1372"/>
      </w:tblGrid>
      <w:tr>
        <w:trPr>
          <w:cantSplit/>
          <w:tblHeader/>
        </w:trPr>
        <w:tc>
          <w:tcPr>
            <w:tcW w:type="dxa" w:w="25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Condition</w:t>
            </w:r>
          </w:p>
        </w:tc>
        <w:tc>
          <w:tcPr>
            <w:tcW w:type="dxa" w:w="1372"/>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Accuracy</w:t>
            </w:r>
          </w:p>
        </w:tc>
        <w:tc>
          <w:tcPr>
            <w:tcW w:type="dxa" w:w="1372"/>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Lock-in to A</w:t>
            </w:r>
          </w:p>
        </w:tc>
        <w:tc>
          <w:tcPr>
            <w:tcW w:type="dxa" w:w="1372"/>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Repetition</w:t>
            </w:r>
          </w:p>
        </w:tc>
        <w:tc>
          <w:tcPr>
            <w:tcW w:type="dxa" w:w="1372"/>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Teff</w:t>
            </w:r>
          </w:p>
        </w:tc>
        <w:tc>
          <w:tcPr>
            <w:tcW w:type="dxa" w:w="1372"/>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Teff − T</w:t>
            </w:r>
          </w:p>
        </w:tc>
      </w:tr>
      <w:tr>
        <w:trPr>
          <w:cantSplit/>
          <w:tblHeader w:val="false"/>
        </w:trPr>
        <w:tc>
          <w:tcPr>
            <w:tcW w:type="dxa" w:w="25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Neutral / clean</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0.05</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−0.10</w:t>
            </w:r>
          </w:p>
        </w:tc>
      </w:tr>
      <w:tr>
        <w:trPr>
          <w:cantSplit/>
          <w:tblHeader w:val="false"/>
        </w:trPr>
        <w:tc>
          <w:tcPr>
            <w:tcW w:type="dxa" w:w="25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Pressure / clean</w:t>
            </w:r>
          </w:p>
        </w:tc>
        <w:tc>
          <w:tcPr>
            <w:tcW w:type="dxa" w:w="1372"/>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372"/>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372"/>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372"/>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3.02</w:t>
            </w:r>
          </w:p>
        </w:tc>
        <w:tc>
          <w:tcPr>
            <w:tcW w:type="dxa" w:w="1372"/>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+2.87</w:t>
            </w:r>
          </w:p>
        </w:tc>
      </w:tr>
      <w:tr>
        <w:trPr>
          <w:cantSplit/>
          <w:tblHeader w:val="false"/>
        </w:trPr>
        <w:tc>
          <w:tcPr>
            <w:tcW w:type="dxa" w:w="25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Pressure / contaminated</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0.20</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0.98</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3.59</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+3.44</w:t>
            </w:r>
          </w:p>
        </w:tc>
      </w:tr>
    </w:tbl>
    <w:p>
      <w:pPr>
        <w:spacing w:after="160" w:before="40"/>
      </w:pPr>
      <w:r>
        <w:rPr>
          <w:rFonts w:ascii="Times New Roman" w:cs="Times New Roman" w:eastAsia="Times New Roman" w:hAnsi="Times New Roman"/>
          <w:b w:val="false"/>
          <w:bCs w:val="false"/>
          <w:i/>
          <w:iCs/>
          <w:smallCaps w:val="false"/>
          <w:color w:val="000000"/>
          <w:sz w:val="18"/>
          <w:szCs w:val="18"/>
        </w:rPr>
        <w:t xml:space="preserve">Pressure collapses low-T trajectories onto a repeated letter and detaches Teff from nominal T. Mid-range T does not return to D E F G H, so the A attractor is too strong for the third row of Proposition 2.</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Experiment 3 plants X rather than A on every compounding trajectory. It also drops a line that told the model to repeat A, so that lock-in can be attributed to the premise and the pressure prompt. N = 240. In the clean condition, X is absorbed at low T, because the next-letter mode after “Sequence A B C X” is still D. Accuracy of 1.00 at T = 0.15 falls to 0.76 at T = 0.80 and 0.14 at T = 2.00. A small rebound from T = 0.40 (0.68) to T = 0.80 (0.76) is noise at n = 10. Under the pressure prompt, low T collapses onto A even after X is planted (lock-in = 0.98), and Teff − T at T = 0.15 is +3.82. Mid-range T does not recover. X corresponds to the weak-attractor row of Table 2, and A plus pressure to the too-strong row. Neither is the inverted-U row.</w:t>
      </w:r>
    </w:p>
    <w:p>
      <w:pPr>
        <w:pStyle w:val="Heading2"/>
        <w:spacing w:after="120" w:before="280"/>
      </w:pPr>
      <w:r>
        <w:rPr>
          <w:rFonts w:ascii="Times New Roman" w:cs="Times New Roman" w:eastAsia="Times New Roman" w:hAnsi="Times New Roman"/>
          <w:b/>
          <w:bCs/>
          <w:color w:val="1F4E79"/>
          <w:sz w:val="24"/>
          <w:szCs w:val="24"/>
        </w:rPr>
        <w:t xml:space="preserve">4.3 Stage 3: a 3B model on a solvable multi-step task</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Stage 2 left one prediction untested, because the 135M model either never started on-path or met an attractor of the wrong strength. Stage 3 addresses that gap with Qwen2.5-3B-Instruct. The task is again alphabet continuation, which this model completes without error when the prompt is clean: in the unplanted condition accuracy is 1.00 at every temperature up to T = 3.0 (40 to 60 trajectories per cell). The agent writes the alphabet one letter at a time, choosing each next letter from the 26 candidate tokens, and the sampled letter is written back into the context. After “A B” we plant the letter B m more times (m = 0, 2, 3, 4, 6) as an off-path attractor of graded strength, and the agent then chooses six further letters. A step is locally correct when the chosen letter is the alphabetical successor of the letter before it, and a trajectory is strictly correct only if it returns to C D E F G H. Lock-in is the share of steps that repeat the planted letter. Each clean-prompt cell in Table 7 uses 100 trajectories. We chose the ranges of m and T after a short probe of the model’s next-letter distribution, so the results below are exploratory and not pre-registered.</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7. Stage 3, Qwen2.5-3B-Instruct, clean prompt: locally correct accuracy by nominal T and attractor strength m (100 trajectories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90"/>
        <w:gridCol w:w="1890"/>
        <w:gridCol w:w="1890"/>
        <w:gridCol w:w="1890"/>
      </w:tblGrid>
      <w:tr>
        <w:trPr>
          <w:cantSplit/>
          <w:tblHeader/>
        </w:trPr>
        <w:tc>
          <w:tcPr>
            <w:tcW w:type="dxa" w:w="18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Nominal T</w:t>
            </w:r>
          </w:p>
        </w:tc>
        <w:tc>
          <w:tcPr>
            <w:tcW w:type="dxa" w:w="189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m = 2</w:t>
            </w:r>
          </w:p>
        </w:tc>
        <w:tc>
          <w:tcPr>
            <w:tcW w:type="dxa" w:w="189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m = 3</w:t>
            </w:r>
          </w:p>
        </w:tc>
        <w:tc>
          <w:tcPr>
            <w:tcW w:type="dxa" w:w="189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m = 4</w:t>
            </w:r>
          </w:p>
        </w:tc>
        <w:tc>
          <w:tcPr>
            <w:tcW w:type="dxa" w:w="189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m = 6</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0.15</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0.8</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0.88</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0.22</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0.15</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0.02</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1.2</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0.78</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0.39</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0.29</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0.14</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0.63</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0.45</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0.45</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0.37</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2.5</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0.61</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0.44</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0.37</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0.42</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0.46</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0.34</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0.33</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0.29</w:t>
            </w:r>
          </w:p>
        </w:tc>
      </w:tr>
      <w:tr>
        <w:trPr>
          <w:cantSplit/>
          <w:tblHeader w:val="false"/>
        </w:trPr>
        <w:tc>
          <w:tcPr>
            <w:tcW w:type="dxa" w:w="1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5</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0.19</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0.13</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0.14</w:t>
            </w:r>
          </w:p>
        </w:tc>
        <w:tc>
          <w:tcPr>
            <w:tcW w:type="dxa" w:w="189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0.13</w:t>
            </w:r>
          </w:p>
        </w:tc>
      </w:tr>
    </w:tbl>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The regimes of Table 2 appear in order of attractor strength. With m = 2 the error is absorbed at low T (accuracy 1.00 at T = 0.15), and accuracy then falls monotonically to 0.19 at T = 5.0. With m = 3 and m = 4 the model repeats the planted letter in every trajectory at T = 0.15 (lock-in 1.00, accuracy 0.00), accuracy rises to 0.45 at T = 2.0, and it then declines to 0.13 and 0.14 at T = 5.0. That is an inverted-U. With m = 6 the lock persists to higher temperature (accuracy 0.02 at T = 0.8 and 0.14 at T = 1.2), and the peak moves to T = 2.5 (0.42). Taking the cell standard errors at face value, the peak exceeds both the T = 0.15 cell and the T = 5.0 cell by more than seven standard errors for each of m = 3, 4, and 6, although these comparisons are not adjusted for having picked the peak after the fact. Two details qualify the picture. The peak lies at T ≈ 2 to 2.5, above the T ≈ 0.8 to 1.2 range we had expected. And strict recovery never exceeds 0.19 for m ≥ 3, because an agent that escapes the repeated letter at moderate T often lands on a different wrong letter.</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Table 8 turns to Teff and to the pressure and contamination manipulations at m = 3. In the clean-prompt cells Teff tracks nominal T (2.04 at T = 2.0, 2.88 at T = 3.0), as it must when the reference and the sampling logits coincide. It is not identified at low T, where the reference puts almost all of its mass on one token, and the estimate then sits at the lower edge of the search grid (0.02). The pressure prompt moves the same agent to a Teff of 2.3 to 2.5 at T = 0.4 and T = 1.2, which is about 1.9 to 2.0 and 1.2 to 1.3 above nominal T, and the lift shrinks as T rises (+0.15 for pressure alone and +1.20 for pressure with contamination at T = 3.0). Pressure also changes the form of the failure. Lock-in on the planted letter falls from 0.96 to 0.06 at T = 0.4, but strict recovery is 0.00 in every pressure cell, and the agent now cycles back to earlier letters (repetition 0.31 to 0.43 at T = 0.4). Local accuracy therefore rises under pressure (0.53 against 0.04 at T = 0.4) while the output stays off the task path, which is a reason to report Teff and strict recovery alongside accuracy. Without a planted error the pressure prompt did little: accuracy stays at 0.99 or 1.00 up to T = 0.8, and Teff is not identified at T = 0.15. On this model, then, pressure distorts the logits mainly once an off-path token is already in the context.</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8. Stage 3, planted attractor m = 3, by prompt condition (100 trajectories in clean cells, 50 elsewhere).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100"/>
        <w:gridCol w:w="1100"/>
        <w:gridCol w:w="1100"/>
        <w:gridCol w:w="1100"/>
        <w:gridCol w:w="1100"/>
      </w:tblGrid>
      <w:tr>
        <w:trPr>
          <w:cantSplit/>
          <w:tblHeader/>
        </w:trPr>
        <w:tc>
          <w:tcPr>
            <w:tcW w:type="dxa" w:w="276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Condition</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Acc.</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Strict</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Lock-in</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Repetition</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Teff</w:t>
            </w:r>
          </w:p>
        </w:tc>
        <w:tc>
          <w:tcPr>
            <w:tcW w:type="dxa" w:w="1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Teff − T</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0.4, clean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0.04</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0.02</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0.96</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0.96</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0.44</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+0.04</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0.4, pressure</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0.53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0.06</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0.31</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2.36</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+1.96</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0.4, contamination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0.02</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0.02</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0.98</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0.98</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0.31</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−0.09</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0.4, pressure + contamination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0.56</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2.29</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+1.89</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1.2, clean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0.39</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0.19</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0.53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0.60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1.28</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+0.08</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1.2, pressure</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0.47</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0.08</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0.39</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2.43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+1.23</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1.2, contamination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0.35</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0.16</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0.58</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0.65</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1.11</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−0.09</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1.2, pressure + contamination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0.51</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0.01</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0.31</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2.50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+1.30</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3, clean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0.34</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0.06</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0.18</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0.25</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2.88</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−0.12</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3, pressure</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0.08</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0.25</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3.15</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+0.15</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3, contamination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0.35</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0.06</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0.15</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0.18</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3.33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+0.33</w:t>
            </w:r>
          </w:p>
        </w:tc>
      </w:tr>
      <w:tr>
        <w:trPr>
          <w:cantSplit/>
          <w:tblHeader w:val="false"/>
        </w:trPr>
        <w:tc>
          <w:tcPr>
            <w:tcW w:type="dxa" w:w="27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 = 3, pressure + contamination</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0.02</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0.13</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4.20</w:t>
            </w:r>
          </w:p>
        </w:tc>
        <w:tc>
          <w:tcPr>
            <w:tcW w:type="dxa" w:w="1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+1.20</w:t>
            </w:r>
          </w:p>
        </w:tc>
      </w:tr>
    </w:tbl>
    <w:p>
      <w:pPr>
        <w:spacing w:after="160" w:before="40"/>
      </w:pPr>
      <w:r>
        <w:rPr>
          <w:rFonts w:ascii="Times New Roman" w:cs="Times New Roman" w:eastAsia="Times New Roman" w:hAnsi="Times New Roman"/>
          <w:b w:val="false"/>
          <w:bCs w:val="false"/>
          <w:i/>
          <w:iCs/>
          <w:smallCaps w:val="false"/>
          <w:color w:val="000000"/>
          <w:sz w:val="18"/>
          <w:szCs w:val="18"/>
        </w:rPr>
        <w:t xml:space="preserve">Notes. Acc. is locally correct accuracy; Strict is the share of trajectories that return to C D E F G H. A Teff of 0.02 is the lower edge of the search grid and means the temperature is not identified.</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Contamination alone changes nothing measurable here. Teff − T is −0.09 at T = 0.4 and T = 1.2, and the trajectories lock as they do in the clean cells. Adding contamination to pressure lowers lock-in (0.00 to 0.02 against 0.06 to 0.08) and leaves Teff similar at T = 0.4 and T = 1.2 (2.29 and 2.50 against 2.36 and 2.43). It raises Teff only at T = 3.0 (4.20 against 3.15). Proposition 3 therefore receives no support on this model. Our contaminated text is diffuse negative sentiment, which is the case Proposition 3 says should be weak, and we did not build the near-token case.</w:t>
      </w:r>
    </w:p>
    <w:p>
      <w:pPr>
        <w:pStyle w:val="Heading2"/>
        <w:spacing w:after="120" w:before="280"/>
      </w:pPr>
      <w:r>
        <w:rPr>
          <w:rFonts w:ascii="Times New Roman" w:cs="Times New Roman" w:eastAsia="Times New Roman" w:hAnsi="Times New Roman"/>
          <w:b/>
          <w:bCs/>
          <w:color w:val="1F4E79"/>
          <w:sz w:val="24"/>
          <w:szCs w:val="24"/>
        </w:rPr>
        <w:t xml:space="preserve">4.4 What the illustration identifies</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Four statements are supported as measurement claims. First, Teff, entropy, repetition, and lock-in can be computed from synthetic choice probabilities and from the next-token log-probabilities of open-weight models, provided the reference is a clean context and not the sampling logits. Second, pressure lifts Teff above nominal T on a task the model can solve, and the lift is largest at low T, where Teff − T is about 2 on the 3B model. Third, on the 3B model an accuracy inverted-U in nominal temperature appears for planted attractors of intermediate strength (m = 3, 4, 6) and not for a weak attractor or for none, which is the pattern Proposition 2 describes. Fourth, the separation of Teff from nominal T is large on alphabet continuation and only partial on the unsolvable order policy.</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Two statements are not supported. Proposition 3 receives no support, because contamination changes neither Teff nor lock-in on the 3B model. And the inverted-U is a conditional result: it is absent from the three 135M experiments, where the attractor was too weak or too strong, and its peak on the 3B model sits at T ≈ 2 to 2.5, well above the usual decoding range. Accuracy at the peak is below 0.50 and strict recovery below 0.20, so no practitioner would choose such a temperature to repair a locked agent. The result supports the structure of the prediction, not a prescription. Teff is also weakly identified when the reference is saturated, which includes the clean cells at low T. The estimate then sits at the lower edge of the search grid, and the small clean values reported for the 135M model at T = 0.15 may reflect the same limit.</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Stage 2 cell means rest on 8 to 10 replications and a horizon of 5 or 6 steps, so standard errors are large, and Experiment 1 is missing two high-T joint cells. Stage 3 uses 30 to 100 replications per cell, but it covers one 3B model, one task family, one prompt wording, and six-step horizons, and its peak comparisons are exploratory. Alphabet continuation sits close to the language-model prior. Nothing here is evidence about production agents, tool use, or organizations.</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5. Implication for Governance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If Teff and entropy can be observed, capability-based delegation is an incomplete rule. In the Baird and Maruping (2021) frame, rights and responsibilities are assigned on evidence that an agent can do a class of task. A task that was correctly delegated while Teff sat near the nominal temperature can be wrongly left with the same agent after pressure has lifted Teff and the trajectory has locked. State-contingent delegation makes the assignment a function of the observed state. When the agent leaves a pre-set band, the task is routed to another agent or returned to a named person, and the record of accountability moves with it.</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This implication is not a finding. Relative to a fixed assignment, it reduces the cost of failure only under four conditions, none of which we observe. Oversight capacity must be able to absorb returned tasks at the rate alarms fire, or the rule simply becomes a queue. The task must still be reversible. The cost of an unstable continuation must exceed the cost of delay. And operators must treat state alarms as informative, not as noise they have learned to ignore (Parasuraman &amp; Riley, 1997). A dashboard that no one is authorized to act on leaves the coupling in place.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Three design claims follow, and they are mechanisms rather than evaluated artifacts (Gregor, Chandra Kruse, &amp; Seidel, 2020; Hevner, March, Park, &amp; Ram, 2004). State observability instruments raw-logit entropy and Teff against a clean-context reference, with bands estimated on tasks the agent can actually fail through early error. A state-triggered interruption pauses an agent that leaves its band and isolates its outputs from the next agent. It then remediates by reset if the context condition of Proposition 4 holds, or by rollback if the distortion is in the weights. State-contingent delegation routes the task and records who holds it. One practical caveat is that commercial APIs returning only top-token log-probabilities force entropy and Teff to be approximated on a truncated support. That is a boundary condition, not a minor implementation detail.</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For managers, the operational warning is narrower than a call to rebuild AI operations. Watching only nominal temperature, or only accuracy on a task the model cannot solve, hides rigidity. A monitor that reported Teff against a clean-context reference would have told a clean agent near 0.4 apart from a pressured agent near 2.4 at T = 0.4 on the 3B model. Coupling density, circuit breakers, and tacit collusion among rigid pricing agents (Calvano, Calzolari, Denicolò, &amp; Pastorello, 2020) are questions that inherit this measurement; it does not answer them.</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6. What Would Have to Be Shown</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Table 9 sets out the evaluation that the present illustration does not provide. We include it so that a null result on alphabet continuation is not read as evidence about organizations, and so that a later paper cannot treat the design claims as already tested.</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9. Tests required before the governance implication is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980"/>
        <w:gridCol w:w="3980"/>
      </w:tblGrid>
      <w:tr>
        <w:trPr>
          <w:cantSplit/>
          <w:tblHeader/>
        </w:trPr>
        <w:tc>
          <w:tcPr>
            <w:tcW w:type="dxa" w:w="14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Claim</w:t>
            </w:r>
          </w:p>
        </w:tc>
        <w:tc>
          <w:tcPr>
            <w:tcW w:type="dxa" w:w="398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Required design</w:t>
            </w:r>
          </w:p>
        </w:tc>
        <w:tc>
          <w:tcPr>
            <w:tcW w:type="dxa" w:w="398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Status here</w:t>
            </w:r>
          </w:p>
        </w:tc>
      </w:tr>
      <w:tr>
        <w:trPr>
          <w:cantSplit/>
          <w:tblHeader w:val="false"/>
        </w:trPr>
        <w:tc>
          <w:tcPr>
            <w:tcW w:type="dxa" w:w="14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P1, P3</w:t>
            </w:r>
          </w:p>
        </w:tc>
        <w:tc>
          <w:tcPr>
            <w:tcW w:type="dxa" w:w="39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Pressure × contamination grid on multi-step tasks a production-scale model can solve, with a pre-registered clean-context reference.</w:t>
            </w:r>
          </w:p>
        </w:tc>
        <w:tc>
          <w:tcPr>
            <w:tcW w:type="dxa" w:w="39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Pressure effect on Teff replicated on a 3B model; P3 not supported. One model, one task.</w:t>
            </w:r>
          </w:p>
        </w:tc>
      </w:tr>
      <w:tr>
        <w:trPr>
          <w:cantSplit/>
          <w:tblHeader w:val="false"/>
        </w:trPr>
        <w:tc>
          <w:tcPr>
            <w:tcW w:type="dxa" w:w="14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P2</w:t>
            </w:r>
          </w:p>
        </w:tc>
        <w:tc>
          <w:tcPr>
            <w:tcW w:type="dxa" w:w="39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An attractor shown independently to lock at low T and to leak at moderate T, on a model that starts on-path, replicated across models and tasks.</w:t>
            </w:r>
          </w:p>
        </w:tc>
        <w:tc>
          <w:tcPr>
            <w:tcW w:type="dxa" w:w="39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Inverted-U on one 3B model for intermediate attractors (peak at T ≈ 2 to 2.5); absent on 135M. Exploratory.</w:t>
            </w:r>
          </w:p>
        </w:tc>
      </w:tr>
      <w:tr>
        <w:trPr>
          <w:cantSplit/>
          <w:tblHeader w:val="false"/>
        </w:trPr>
        <w:tc>
          <w:tcPr>
            <w:tcW w:type="dxa" w:w="14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P4</w:t>
            </w:r>
          </w:p>
        </w:tc>
        <w:tc>
          <w:tcPr>
            <w:tcW w:type="dxa" w:w="39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Reset and reframe after context-level distortion; the same interventions after a weight change, against a reference model.</w:t>
            </w:r>
          </w:p>
        </w:tc>
        <w:tc>
          <w:tcPr>
            <w:tcW w:type="dxa" w:w="39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Not run. Only context-level text was manipulated.</w:t>
            </w:r>
          </w:p>
        </w:tc>
      </w:tr>
      <w:tr>
        <w:trPr>
          <w:cantSplit/>
          <w:tblHeader w:val="false"/>
        </w:trPr>
        <w:tc>
          <w:tcPr>
            <w:tcW w:type="dxa" w:w="14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Contagion</w:t>
            </w:r>
          </w:p>
        </w:tc>
        <w:tc>
          <w:tcPr>
            <w:tcW w:type="dxa" w:w="39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Networks varying exposure through intermediate artifacts, shared context, and coupled tool state.</w:t>
            </w:r>
          </w:p>
        </w:tc>
        <w:tc>
          <w:tcPr>
            <w:tcW w:type="dxa" w:w="39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Not run.</w:t>
            </w:r>
          </w:p>
        </w:tc>
      </w:tr>
      <w:tr>
        <w:trPr>
          <w:cantSplit/>
          <w:tblHeader w:val="false"/>
        </w:trPr>
        <w:tc>
          <w:tcPr>
            <w:tcW w:type="dxa" w:w="14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Delegation</w:t>
            </w:r>
          </w:p>
        </w:tc>
        <w:tc>
          <w:tcPr>
            <w:tcW w:type="dxa" w:w="39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State-contingent versus capability-based handoff, with oversight capacity and reversibility measured.</w:t>
            </w:r>
          </w:p>
        </w:tc>
        <w:tc>
          <w:tcPr>
            <w:tcW w:type="dxa" w:w="39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Not run. Stated as an implication with four conditions.</w:t>
            </w:r>
          </w:p>
        </w:tc>
      </w:tr>
    </w:tbl>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The first follow-up is to repeat Stage 3 on a 7B instruct model and on at least one other model family, with tasks beyond alphabet continuation and several prompt wordings and seeds, so that the location of the peak in T can be tested against bounds fixed in advance. The second is an attractor of the kind Proposition 3 names, a dominant token close to the contaminated content, which we did not construct. Generalization beyond autoregressive transformers, and beyond role-played resemblance to human breakdown, lies outside this note.</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7. Conclusion</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Delegating work to an LLM agent on evidence of capability assumes that the agent’s reliability is a stable property. Sampling temperature is the parameter operators set, but it is not the decision state. Because softmax sampling is a Gumbel random-utility choice, that state has a scale, and the scale can be estimated once a clean-context reference valuation is fixed. Effective decision temperature is that estimate. It tracks nominal temperature when context does not warp valuations, and it rises when pressure does, even when the agent’s own entropy is low because it has locked onto a repeated token.</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On a synthetic agent, the indicators register the distortions that were built in, and an accuracy inverted-U appears only for an attractor tuned to be sticky and escapable. On SmolLM2-135M, the same measurement rule reads Teff from next-token log-probabilities, and pressure lifts Teff far above a nominal temperature of 0.15. A weak planted typo is absorbed and a strong planted letter is not escaped, so no inverted-U appears. On Qwen2.5-3B-Instruct, which solves the task, planted attractors of intermediate strength do produce an inverted-U, with a peak near T = 2 to 2.5 and accuracy below 0.50 at the peak, while a weak attractor does not. Pressure raises Teff by about 2 at low temperature, whereas contamination has no measurable effect, so Proposition 3 is unsupported. The governance claim that follows, to delegate on the observed state and not only on capability, is an implication with four unmet conditions. What the measurement does support is narrower: the decoding temperature an operator sets is not the agent’s decision state.</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References</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Baird, A., &amp; Maruping, L. M. (2021). The next generation of research on IS use: A theoretical framework of delegation to and from agentic IS artifacts. MIS Quarterly, 45(1), 315–341.</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Berente, N., Gu, B., Recker, J., &amp; Santhanam, R. (2021). Managing artificial intelligence. MIS Quarterly, 45(3), 1433–1450.</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Calvano, E., Calzolari, G., Denicolò, V., &amp; Pastorello, S. (2020). Artificial intelligence, algorithmic pricing, and collusion. American Economic Review, 110(10), 3267–3297.</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Cemri, M., Pan, M. Z., Yang, S., et al. (2025). Why do multi-agent LLM systems fail? arXiv:2503.13657.</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Farquhar, S., Kossen, J., Kuhn, L., &amp; Gal, Y. (2024). Detecting hallucinations in large language models using semantic entropy. Nature, 630, 625–630.</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Gregor, S., Chandra Kruse, L., &amp; Seidel, S. (2020). Research perspectives: The anatomy of a design principle. Journal of the Association for Information Systems, 21(6), 1622–1652.</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Hevner, A. R., March, S. T., Park, J., &amp; Ram, S. (2004). Design science in information systems research. MIS Quarterly, 28(1), 75–105.</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Holtzman, A., Buys, J., Du, L., Forbes, M., &amp; Choi, Y. (2020). The curious case of neural text degeneration. Proceedings of the International Conference on Learning Representations.</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Kadavath, S., Conerly, T., Askell, A., et al. (2022). Language models (mostly) know what they know. arXiv:2207.05221.</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Ketokivi, M., Mantere, S., &amp; Cornelissen, J. (2017). Reasoning by analogy and the progress of theory. Academy of Management Review, 42(4), 637–658.</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Kuhn, L., Gal, Y., &amp; Farquhar, S. (2023). Semantic uncertainty: Linguistic invariances for uncertainty estimation in natural language generation. Proceedings of the International Conference on Learning Representations.</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McFadden, D. (1974). Conditional logit analysis of qualitative choice behavior. In P. Zarembka (Ed.), Frontiers in econometrics (pp. 105–142). Academic Press.</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McKelvey, R. D., &amp; Palfrey, T. R. (1995). Quantal response equilibria for normal form games. Games and Economic Behavior, 10(1), 6–38.</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Parasuraman, R., &amp; Riley, V. (1997). Humans and automation: Use, misuse, disuse, abuse. Human Factors, 39(4), 230–253.</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Perrow, C. (1984). Normal accidents: Living with high-risk technologies. Basic Books.</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Rafailov, R., Sharma, A., Mitchell, E., Ermon, S., Manning, C. D., &amp; Finn, C. (2023). Direct preference optimization: Your language model is secretly a reward model. Advances in Neural Information Processing Systems, 36.</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Shanahan, M., McDonell, K., &amp; Reynolds, L. (2023). Role play with large language models. Nature, 623, 493–498.</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Simon, H. A. (1955). A behavioral model of rational choice. Quarterly Journal of Economics, 69(1), 99–118.</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Staw, B. M., Sandelands, L. E., &amp; Dutton, J. E. (1981). Threat rigidity effects in organizational behavior: A multilevel analysis. Administrative Science Quarterly, 26(4), 501–524.</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Weick, K. E. (1993). The collapse of sensemaking in organizations: The Mann Gulch disaster. Administrative Science Quarterly, 38(4), 628–652.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6" w:space="1"/>
      </w:pBdr>
      <w:spacing w:before="80"/>
      <w:jc w:val="right"/>
    </w:pPr>
    <w:r>
      <w:rPr>
        <w:rFonts w:ascii="Times New Roman" w:cs="Times New Roman" w:eastAsia="Times New Roman" w:hAnsi="Times New Roman"/>
        <w:b w:val="false"/>
        <w:bCs w:val="false"/>
        <w:i/>
        <w:iCs/>
        <w:smallCaps w:val="false"/>
        <w:color w:val="666666"/>
        <w:sz w:val="16"/>
        <w:szCs w:val="16"/>
      </w:rPr>
      <w:t xml:space="preserve">Effective decision temperature  ·  </w:t>
    </w:r>
    <w:r>
      <w:rPr>
        <w:rFonts w:ascii="Times New Roman" w:cs="Times New Roman" w:eastAsia="Times New Roman" w:hAnsi="Times New Roman"/>
        <w:b w:val="false"/>
        <w:bCs w:val="false"/>
        <w:i w:val="false"/>
        <w:iCs w:val="false"/>
        <w:smallCaps w:val="false"/>
        <w:color w:val="666666"/>
        <w:sz w:val="16"/>
        <w:szCs w:val="16"/>
      </w:rPr>
      <w:t xml:space="preserve">Page </w:t>
    </w:r>
    <w:r>
      <w:rPr>
        <w:rFonts w:ascii="Times New Roman" w:cs="Times New Roman" w:eastAsia="Times New Roman" w:hAnsi="Times New Roman"/>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spacing w:after="120"/>
    </w:pPr>
    <w:r>
      <w:rPr>
        <w:rFonts w:ascii="Times New Roman" w:cs="Times New Roman" w:eastAsia="Times New Roman" w:hAnsi="Times New Roman"/>
        <w:b w:val="false"/>
        <w:bCs w:val="false"/>
        <w:i/>
        <w:iCs/>
        <w:smallCaps w:val="false"/>
        <w:color w:val="1F4E79"/>
        <w:sz w:val="18"/>
        <w:szCs w:val="18"/>
      </w:rPr>
      <w:t xml:space="preserve">Information Systems Research</w:t>
    </w:r>
    <w:r>
      <w:rPr>
        <w:rFonts w:ascii="Times New Roman" w:cs="Times New Roman" w:eastAsia="Times New Roman" w:hAnsi="Times New Roman"/>
        <w:b w:val="false"/>
        <w:bCs w:val="false"/>
        <w:i w:val="false"/>
        <w:iCs w:val="false"/>
        <w:smallCaps w:val="false"/>
        <w:color w:val="666666"/>
        <w:sz w:val="18"/>
        <w:szCs w:val="18"/>
      </w:rPr>
      <w:t xml:space="preserve">   ·   Research Note   ·   double-anonymous manuscript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4E79"/>
      <w:sz w:val="26"/>
      <w:szCs w:val="26"/>
    </w:rPr>
  </w:style>
  <w:style w:type="paragraph" w:styleId="Heading2">
    <w:name w:val="Heading 2"/>
    <w:basedOn w:val="Normal"/>
    <w:next w:val="Normal"/>
    <w:qFormat/>
    <w:pPr>
      <w:spacing w:after="120" w:before="280"/>
      <w:outlineLvl w:val="1"/>
    </w:pPr>
    <w:rPr>
      <w:rFonts w:ascii="Times New Roman" w:cs="Times New Roman" w:eastAsia="Times New Roman" w:hAnsi="Times New Roman"/>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2026-10-04T22:44:59.432Z</dcterms:created>
  <dcterms:modified xsi:type="dcterms:W3CDTF">2026-10-04T22:44:59.432Z</dcterms:modified>
</cp:coreProperties>
</file>

<file path=docProps/custom.xml><?xml version="1.0" encoding="utf-8"?>
<Properties xmlns="http://schemas.openxmlformats.org/officeDocument/2006/custom-properties" xmlns:vt="http://schemas.openxmlformats.org/officeDocument/2006/docPropsVTypes"/>
</file>