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b8ea49ac719ce9fb01752757b715e3875d4f778"/>
    <w:p>
      <w:pPr>
        <w:pStyle w:val="Heading1"/>
      </w:pPr>
      <w:r>
        <w:t xml:space="preserve">Human Validation Reverses the Headline: Presidential Posts and Oil Prices in the 2026 Hormuz Closure</w:t>
      </w:r>
    </w:p>
    <w:p>
      <w:pPr>
        <w:pStyle w:val="FirstParagraph"/>
      </w:pPr>
      <w:r>
        <w:t xml:space="preserve">Ook Lee</w:t>
      </w:r>
      <w:r>
        <w:br/>
      </w:r>
      <w:r>
        <w:t xml:space="preserve">Department of Information System, Hanyang University, Seoul, Korea</w:t>
      </w:r>
      <w:r>
        <w:br/>
      </w:r>
      <w:r>
        <w:t xml:space="preserve">ooklee@hanyang.ac.kr (corresponding author)</w:t>
      </w:r>
    </w:p>
    <w:p>
      <w:pPr>
        <w:pStyle w:val="BodyText"/>
      </w:pPr>
      <w:r>
        <w:rPr>
          <w:iCs/>
          <w:i/>
        </w:rPr>
        <w:t xml:space="preserve">Manuscript prepared for submission to MIS Quarterly (version 3). Bracketed items are placeholders to be completed before submission. Analyses carry a status (confirmatory, amended, exploratory) given in Table 5 and Appendix A; the plans are files in the authors’ repository, not entries in an independent registry.</w:t>
      </w:r>
    </w:p>
    <w:p>
      <w:r>
        <w:pict>
          <v:rect style="width:0;height:1.5pt" o:hralign="center" o:hrstd="t" o:hr="t"/>
        </w:pict>
      </w:r>
    </w:p>
    <w:bookmarkStart w:id="20" w:name="abstract"/>
    <w:p>
      <w:pPr>
        <w:pStyle w:val="Heading2"/>
      </w:pPr>
      <w:r>
        <w:t xml:space="preserve">Abstract</w:t>
      </w:r>
    </w:p>
    <w:p>
      <w:pPr>
        <w:pStyle w:val="FirstParagraph"/>
      </w:pPr>
      <w:r>
        <w:t xml:space="preserve">Heads of state announce policy on social platforms, and researchers increasingly label such posts with large language models. We ask whether that labelling changes what an event study finds, using 4,838 posts from the U.S. president’s platform (March–October 2026) and the closure of the Strait of Hormuz. Posting is overdispersed and follows volatile hours, so posting times are not exogenous. A first analysis with model-coded labels showed oil falling 1.29% (median 0.31%) over two hours after de-escalation posts and no response to escalation posts. Two humans then labelled all 191 war-period keyword posts (agreement κ = 0.51, 0.69, 0.61 across three rounds), and the model agreed with them only at κ = 0.50; only 36% of its escalation labels were escalation. On human labels, WTI tick data show a directional move of +1.05% within 30 minutes after de-escalation posts (n = 29, median 0.47%) and +0.48% after escalation posts (n = 16), both larger than at matched placebo times, so</w:t>
      </w:r>
      <w:r>
        <w:t xml:space="preserve"> </w:t>
      </w:r>
      <w:r>
        <w:t xml:space="preserve">“</w:t>
      </w:r>
      <w:r>
        <w:t xml:space="preserve">no response to escalation</w:t>
      </w:r>
      <w:r>
        <w:t xml:space="preserve">”</w:t>
      </w:r>
      <w:r>
        <w:t xml:space="preserve"> </w:t>
      </w:r>
      <w:r>
        <w:t xml:space="preserve">was a labelling artifact. The move is preceded by drift in the hour before the post; over 5 to 15 minutes the post-period move is distinguishable from it, over an hour it is not. An information-theoretic account that motivated the study is not supported in its pre-registered tests. The case shows how a model-labelling workflow without human validation can produce a false headline.</w:t>
      </w:r>
    </w:p>
    <w:p>
      <w:pPr>
        <w:pStyle w:val="BodyText"/>
      </w:pPr>
      <w:r>
        <w:rPr>
          <w:bCs/>
          <w:b/>
        </w:rPr>
        <w:t xml:space="preserve">Keywords:</w:t>
      </w:r>
      <w:r>
        <w:t xml:space="preserve"> </w:t>
      </w:r>
      <w:r>
        <w:t xml:space="preserve">social media, executive communication, event study, large language models as coders, measurement validity,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12% within hours. Two weeks earlier, on 23 March, a post announcing a five-day postponement of strikes had been followed by a fall of 9.8%. Between those dates, and many times since, other posts threatened strikes, restated demands, or linked to commentary, and the market often barely moved. Whether and how platform posts relate to prices is therefore an empirical question that depends on which posts are counted as what.</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Most such studies classify text automatically, and increasingly with large language models, and take the labels as given. Agreement between two runs of a model measures its consistency and says nothing about validity; whether the labels agree with human readers is rarely reported alongside the event-study result.</w:t>
      </w:r>
    </w:p>
    <w:p>
      <w:pPr>
        <w:pStyle w:val="BodyText"/>
      </w:pPr>
      <w:r>
        <w:t xml:space="preserve">We use the Hormuz closure to study that gap. The setting is favorable because one physical state (strait open or closed) dominated the news for months, because the president posted frequently about it, and because oil was priced continuously. We make four contributions. First, we document that posting is overdispersed and follows volatile hours, so event studies that treat posting times as random are fragile. Second, we show that a model-labelled analysis gave a one-sided answer (a response to de-escalation, none to escalation) that human labelling reverses: on human labels both classes are followed by a directional move in oil, larger than at matched placebo times, and the model’s escalation label was correct for only about one post in three. Third, we report which part of the human-label result is robust (the direction of the post-period move, in every variant we tried) and which is not (its separation from pre-post drift beyond short windows). Fourth, we report a test of an information-theoretic account of why posts matter that motivated the study; its pre-registered propositions are not supported, and we say so. The paper does not identify a causal effect of posts on prices.</w:t>
      </w:r>
    </w:p>
    <w:p>
      <w:pPr>
        <w:pStyle w:val="BodyText"/>
      </w:pPr>
      <w:r>
        <w:t xml:space="preserve">Section 2 states the account and its propositions. Section 3 describes the data and design. Section 4 reports results. Section 5 discusses contributions and limits. Exploratory and model-labelled analyses are in the appendices.</w:t>
      </w:r>
    </w:p>
    <w:bookmarkEnd w:id="21"/>
    <w:bookmarkStart w:id="22" w:name="an-information-theoretic-motivation"/>
    <w:p>
      <w:pPr>
        <w:pStyle w:val="Heading2"/>
      </w:pPr>
      <w:r>
        <w:t xml:space="preserve">2. An Information-Theoretic Motivation</w:t>
      </w:r>
    </w:p>
    <w:p>
      <w:pPr>
        <w:pStyle w:val="FirstParagraph"/>
      </w:pPr>
      <w:r>
        <w:t xml:space="preserve">When the author of a message is also the decision-maker, the message may be the decision’s first public form (Austin 1962; Searle 1969). A platform lowers the cost of producing messages and removes intermediaries that would filter or confirm them, so receivers must infer the channel’s reliability (Crawford and Sobel 1982; Kamenica and Gentzkow 2011). Information theory offers a vocabulary for this (Shannon 1948; Cover and Thomas 2006). Let S be a state the market cares about (here, whether Hormuz transit is open), with prior π and entropy H(π). A message that changes the belief to π′ conveys KL(π′ ‖ π) (Kullback and Leibler 1951). Three implications follow in expectation. A message that is unlikely under π, and not a repeat of earlier messages, should produce a larger update (surprisal and redundancy). The update should be larger when H(π) is larger (prior uncertainty). And reliability should scale the update. These are statements about the</w:t>
      </w:r>
      <w:r>
        <w:t xml:space="preserve"> </w:t>
      </w:r>
      <w:r>
        <w:rPr>
          <w:iCs/>
          <w:i/>
        </w:rPr>
        <w:t xml:space="preserve">size</w:t>
      </w:r>
      <w:r>
        <w:t xml:space="preserve"> </w:t>
      </w:r>
      <w:r>
        <w:t xml:space="preserve">of a reaction, not its sign.</w:t>
      </w:r>
    </w:p>
    <w:p>
      <w:pPr>
        <w:pStyle w:val="BodyText"/>
      </w:pPr>
      <w:r>
        <w:t xml:space="preserve">We treat this as a motivation and test four propositions with pre-registered operationalizations:</w:t>
      </w:r>
    </w:p>
    <w:p>
      <w:pPr>
        <w:pStyle w:val="BodyText"/>
      </w:pPr>
      <w:r>
        <w:t xml:space="preserve">P1 (surprisal): |reaction| increases in the novelty of the post relative to the poster’s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prior uncertainty about the relevant state is high and close to zero otherwise.</w:t>
      </w:r>
    </w:p>
    <w:p>
      <w:pPr>
        <w:pStyle w:val="BodyText"/>
      </w:pPr>
      <w:r>
        <w:t xml:space="preserve">Three further propositions (P5, redundancy; P6, state-dependent sign; P7, timing surprisal) are examined in Appendix E. The proxies are crude. Prior uncertainty is relative volatility, not the entropy of beliefs about the strait; novelty is a lexical measure computed on the poster’s own recent text, not on the market’s information set. We therefore treat failures as failures of these tests, not of the vocabulary, and we do not claim that the account organizes the evidence.</w:t>
      </w:r>
    </w:p>
    <w:bookmarkEnd w:id="22"/>
    <w:bookmarkStart w:id="28" w:name="data-and-design"/>
    <w:p>
      <w:pPr>
        <w:pStyle w:val="Heading2"/>
      </w:pPr>
      <w:r>
        <w:t xml:space="preserve">3. Data and Design</w:t>
      </w:r>
    </w:p>
    <w:bookmarkStart w:id="23" w:name="setting-and-data"/>
    <w:p>
      <w:pPr>
        <w:pStyle w:val="Heading3"/>
      </w:pPr>
      <w:r>
        <w:t xml:space="preserve">3.1 Setting and data</w:t>
      </w:r>
    </w:p>
    <w:p>
      <w:pPr>
        <w:pStyle w:val="FirstParagraph"/>
      </w:pPr>
      <w:r>
        <w:t xml:space="preserve">The war that began on Saturday 28 February 2026 provides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at the end of the sample.</w:t>
      </w:r>
    </w:p>
    <w:p>
      <w:pPr>
        <w:pStyle w:val="BodyText"/>
      </w:pPr>
      <w:r>
        <w:rPr>
          <w:iCs/>
          <w:i/>
        </w:rPr>
        <w:t xml:space="preserve">Posts.</w:t>
      </w:r>
      <w:r>
        <w:t xml:space="preserve"> </w:t>
      </w:r>
      <w:r>
        <w:t xml:space="preserve">We use the CNN-maintained archive of the president’s posts. Between 1 March and 13 October 2026 there are 4,838 original posts after removing pure re-posts; 373 mention Iran, and 108 mention Iran with a threat term. A keyword-selected set of 191 war-period posts is the frame for classification.</w:t>
      </w:r>
      <w:r>
        <w:t xml:space="preserve"> </w:t>
      </w:r>
      <w:r>
        <w:rPr>
          <w:iCs/>
          <w:i/>
        </w:rPr>
        <w:t xml:space="preserve">Markets.</w:t>
      </w:r>
      <w:r>
        <w:t xml:space="preserve"> </w:t>
      </w:r>
      <w:r>
        <w:t xml:space="preserve">Hourly bars for WTI and Brent, E-mini S&amp;P 500 and ten-year Treasury futures, the dollar index, USD/CNH, USD/KRW, gold and several equities cover October 2024 to October 2026. For timing we use tick quotes (mid price and bid–ask spread) for a WTI crude CFD from Dukascopy, 2017–2026 (hourly returns correlate 0.999 with the futures series). A price at time t is the mid of the last tick before t, accepted only if that tick is no more than ten minutes old; all windows used in the tick results have a tick no more than two minutes old.</w:t>
      </w:r>
    </w:p>
    <w:bookmarkEnd w:id="23"/>
    <w:bookmarkStart w:id="24" w:name="classifying-posts"/>
    <w:p>
      <w:pPr>
        <w:pStyle w:val="Heading3"/>
      </w:pPr>
      <w:r>
        <w:t xml:space="preserve">3.2 Classifying posts</w:t>
      </w:r>
    </w:p>
    <w:p>
      <w:pPr>
        <w:pStyle w:val="FirstParagraph"/>
      </w:pPr>
      <w:r>
        <w:rPr>
          <w:iCs/>
          <w:i/>
        </w:rPr>
        <w:t xml:space="preserve">Model labels.</w:t>
      </w:r>
      <w:r>
        <w:t xml:space="preserve"> </w:t>
      </w:r>
      <w:r>
        <w:t xml:space="preserve">Each post was classified by two independent runs of a large language model that received only the post text, for direction (escalation, de-escalation, mixed, other). The two runs are copies of one model; their agreement (κ = 0.74 on the human-validation sample, 0.62–0.96 elsewhere) measures consistency. The headline analysis of the first stage (Section 4.2) uses the first run’s labels.</w:t>
      </w:r>
    </w:p>
    <w:p>
      <w:pPr>
        <w:pStyle w:val="BodyText"/>
      </w:pPr>
      <w:r>
        <w:rPr>
          <w:iCs/>
          <w:i/>
        </w:rPr>
        <w:t xml:space="preserve">Human labels.</w:t>
      </w:r>
      <w:r>
        <w:t xml:space="preserve"> </w:t>
      </w:r>
      <w:r>
        <w:t xml:space="preserve">Two human coders labelled the posts independently from the text alone in three rounds (Section 4.3), and agreement is reported as Cohen’s (1960) kappa. Disagreements were adjudicated from the text by the principal investigator, who knew the research question; 23.6% of the final labels are adjudicated. We use the consensus-only subsample as a robustness check (Section 4.4). The two coders were doctoral students in the Department of Information System at Hanyang University with extensive training in the field; neither had seen market data. [State whether they knew the research question.] As readers in 2026 they may remember how the war’s events unfolded.</w:t>
      </w:r>
    </w:p>
    <w:bookmarkEnd w:id="24"/>
    <w:bookmarkStart w:id="25" w:name="outcomes"/>
    <w:p>
      <w:pPr>
        <w:pStyle w:val="Heading3"/>
      </w:pPr>
      <w:r>
        <w:t xml:space="preserve">3.3 Outcomes</w:t>
      </w:r>
    </w:p>
    <w:p>
      <w:pPr>
        <w:pStyle w:val="FirstParagraph"/>
      </w:pPr>
      <w:r>
        <w:t xml:space="preserve">The hourly outcome is the log change from the open of the bar containing the post to the close of the next bar (two hours), signed so that positive values are in the direction the post implies. The tick outcome is the directional log return from the last tick before the post to 5, 15, 30 or 60 minutes after, and the same window before the post for comparison; the 30-minute window is primary. A post is dropped if another of the 191 posts occurred in the previous three hours (cluster filter), or if the market was not open (no tick within ten minutes) at the post time or 30 minutes later. The magnitude outcome used for the propositions is |z|, the absolute return divided by the volatility of the preceding 300 bars (hourly) or of the preceding 60 daily returns scaled to the window (tick-level samples).</w:t>
      </w:r>
    </w:p>
    <w:bookmarkEnd w:id="25"/>
    <w:bookmarkStart w:id="26" w:name="measures-of-information"/>
    <w:p>
      <w:pPr>
        <w:pStyle w:val="Heading3"/>
      </w:pPr>
      <w:r>
        <w:t xml:space="preserve">3.4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A TF-IDF measure (one minus the maximum cosine similarity to any post in the previous seven days) is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 U shares the long-run volatility denominator with |z|, so a positive coefficient is also what volatility persistence predicts; we return to this in Section 4.5.</w:t>
      </w:r>
    </w:p>
    <w:bookmarkEnd w:id="26"/>
    <w:bookmarkStart w:id="27" w:name="status-of-analyses"/>
    <w:p>
      <w:pPr>
        <w:pStyle w:val="Heading3"/>
      </w:pPr>
      <w:r>
        <w:t xml:space="preserve">3.5 Status of analyses</w:t>
      </w:r>
    </w:p>
    <w:p>
      <w:pPr>
        <w:pStyle w:val="FirstParagraph"/>
      </w:pPr>
      <w:r>
        <w:t xml:space="preserve">Each analysis had a written plan committed to the repository before estimation, and plans state what had already been seen. The repository is not an independent registry, many plans were written after related results were seen, several were amended after a first result, and commit dates cluster on 13–14 October 2026. We follow the argument for pre-registration in observational work with many analytic choices (Nosek et al. 2018), but use the plans as a transparency device and classify every reported result as confirmatory (plan preceded the relevant outcome and was not amended), amended, exploratory or post hoc (Table 5). Holm’s (1979) sequential procedure is applied within families defined in the plans (Appendix A); other p-values are unadjusted and reported as such. The human-label headline was not the original plan: a first pass with keyword classes, and then model labels, proved misleading, and the primary sample was redefined three times (33 model-labelled posts; 25 posts after round 2; 29 and 16 posts after round 3), each time after label quality or outcomes were known.</w:t>
      </w:r>
    </w:p>
    <w:bookmarkEnd w:id="27"/>
    <w:bookmarkEnd w:id="28"/>
    <w:bookmarkStart w:id="41" w:name="results"/>
    <w:p>
      <w:pPr>
        <w:pStyle w:val="Heading2"/>
      </w:pPr>
      <w:r>
        <w:t xml:space="preserve">4. Results</w:t>
      </w:r>
    </w:p>
    <w:bookmarkStart w:id="32" w:name="X846a5653a17f0c273f64b07625f3593c9972ed3"/>
    <w:p>
      <w:pPr>
        <w:pStyle w:val="Heading3"/>
      </w:pPr>
      <w:r>
        <w:t xml:space="preserve">4.1 Posting is overdispersed and follows volatile hours</w:t>
      </w:r>
    </w:p>
    <w:p>
      <w:pPr>
        <w:pStyle w:val="FirstParagraph"/>
      </w:pPr>
      <w:r>
        <w:t xml:space="preserve">For the 108 posts that mention Iran with a threat term, daily counts have mean 0.48 and variance 0.74; the Pearson dispersion statistic is 350 on 226 degrees of freedom (p &lt; 0.001), and a negative binomial (Cameron and Trivedi 2013) with size 0.79 fits much better than a Poisson (LR p = 3 × 10⁻⁶). Inter-arrival times are bursty (mean 51 hours, median 21, coefficient of variation 1.94; exponential: 1). The overdispersion is not an artifact of the keyword class: de-escalation posts (57 in the war period) have a dispersion statistic of 367 and escalation posts (60) 430 (all p &lt; 10⁻⁸). Posting is also not independent of market conditions. In an hourly logit over 3,605 war-period bars, the absolute prior six-hour oil return predicts a de-escalation post (coefficient 0.115, p = 0.033) and an escalation post (0.144, p = 0.024); the signed prior return does not (p = 0.32 and 0.18). Posts follow volatile hours, so posting times cannot be treated as random for identification. A homogeneous Poisson process is rejected in every series we examined, including 2017–2021 Twitter and a second account, and daily conflict events remove at most a quarter of the dispersion (Appendix D).</w:t>
      </w:r>
    </w:p>
    <w:p>
      <w:pPr>
        <w:pStyle w:val="CaptionedFigure"/>
      </w:pPr>
      <w:r>
        <w:drawing>
          <wp:inline>
            <wp:extent cx="5334000" cy="2066925"/>
            <wp:effectExtent b="0" l="0" r="0" t="0"/>
            <wp:docPr descr="Figure 1" title="" id="30" name="Picture"/>
            <a:graphic>
              <a:graphicData uri="http://schemas.openxmlformats.org/drawingml/2006/picture">
                <pic:pic>
                  <pic:nvPicPr>
                    <pic:cNvPr descr="figs/fig1_arrivals.png" id="31" name="Picture"/>
                    <pic:cNvPicPr>
                      <a:picLocks noChangeArrowheads="1" noChangeAspect="1"/>
                    </pic:cNvPicPr>
                  </pic:nvPicPr>
                  <pic:blipFill>
                    <a:blip r:embed="rId29"/>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bookmarkEnd w:id="32"/>
    <w:bookmarkStart w:id="36" w:name="first-stage-model-labels"/>
    <w:p>
      <w:pPr>
        <w:pStyle w:val="Heading3"/>
      </w:pPr>
      <w:r>
        <w:t xml:space="preserve">4.2 First stage: model labels</w:t>
      </w:r>
    </w:p>
    <w:p>
      <w:pPr>
        <w:pStyle w:val="FirstParagraph"/>
      </w:pPr>
      <w:r>
        <w:t xml:space="preserve">With the first model run’s labels, WTI fell by 1.29% in the two hours after a de-escalation post (n = 33; median 0.31%; 24 of 33 declines; sign test p = 0.007; Wilcoxon p = 0.005; week-block bootstrap 95% CI 0.43 to 2.27, 16 weeks). Two events (23 March, −9.8%; 7 April, −12.0%) account for half of the summed move; without them the mean is 0.67% and the median 0.30%. Brent fell by 1.21% and USD/KRW by 0.14%; after the same posts Treasury futures rose 0.10% (Holm-adjusted p = 0.004), the dollar index fell 0.11% (p = 0.014) and USD/CNH fell 0.04% (p = 0.02). These responses are measured on the same events and share a common oil and geopolitical factor; they are one finding in several assets. Posts labelled escalation by the model (n = 28) showed no response (WTI −0.02%; week-block CI −0.58 to 0.35), and the difference between the two classes was 1.31 points (permutation p = 0.011; rank-based p = 0.051).</w:t>
      </w:r>
    </w:p>
    <w:p>
      <w:pPr>
        <w:pStyle w:val="CaptionedFigure"/>
      </w:pPr>
      <w:r>
        <w:drawing>
          <wp:inline>
            <wp:extent cx="5334000" cy="2200275"/>
            <wp:effectExtent b="0" l="0" r="0" t="0"/>
            <wp:docPr descr="Figure 2" title="" id="34" name="Picture"/>
            <a:graphic>
              <a:graphicData uri="http://schemas.openxmlformats.org/drawingml/2006/picture">
                <pic:pic>
                  <pic:nvPicPr>
                    <pic:cNvPr descr="figs/fig2_event_time.png" id="35" name="Picture"/>
                    <pic:cNvPicPr>
                      <a:picLocks noChangeArrowheads="1" noChangeAspect="1"/>
                    </pic:cNvPicPr>
                  </pic:nvPicPr>
                  <pic:blipFill>
                    <a:blip r:embed="rId33"/>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t xml:space="preserve">At hourly resolution the post cannot be separated from what came before it. The return in the hour before the post bar is already +0.36% in the direction of the post (p = 0.10), and the first full hour after it adds +0.34% (p = 0.18, the revised primary statistic, not supported); the paired difference is −0.02%. Of 20 cases examined against contemporaneous market-wire coverage, all show other reported drivers. We therefore describe the finding as co-movement. Whether the model’s asymmetry between classes was real depended on the validity of its labels, which we then tested.</w:t>
      </w:r>
    </w:p>
    <w:bookmarkEnd w:id="36"/>
    <w:bookmarkStart w:id="37" w:name="human-validation-of-the-labels"/>
    <w:p>
      <w:pPr>
        <w:pStyle w:val="Heading3"/>
      </w:pPr>
      <w:r>
        <w:t xml:space="preserve">4.3 Human validation of the labels</w:t>
      </w:r>
    </w:p>
    <w:p>
      <w:pPr>
        <w:pStyle w:val="FirstParagraph"/>
      </w:pPr>
      <w:r>
        <w:t xml:space="preserve">In round 1, two human coders labelled 150 posts (67 from the war period, 23 pre-war Iran posts, 60 other oil-related posts). They agree at κ = 0.51; against the 97 posts on which both humans agree, the two model runs reach κ = 0.43 and 0.56 (moderate by our prior criteria), while agreeing with each other at κ = 0.74. The dominant error is a model de-escalation label where humans see an unrelated post (de-escalation precision about 0.52 and 0.54; recall 0.77 and 0.88). In round 2, the coders labelled all 61 war-period signal posts with a clarified codebook (demands and ultimatums without an announced pause are escalation; de-escalation requires an announced pause, agreement, progress or reopening): humans agree at κ = 0.69, 13 disagreements were adjudicated, and the first model run agrees with the final labels at κ = 0.29. Its de-escalation label is right for 21 of 33 posts (precision 0.64), and its escalation label is right for 10 of 28 (precision 0.36). In round 3, the remaining 130 war-period keyword posts were labelled (humans κ = 0.61 on 129 posts with two labels). Across all 191 posts the final human labels are 79 other, 46 de-escalation, 41 escalation and 25 mixed; the model agrees with them at κ = 0.50, and of 71 posts that the model called other or mixed, 14 (20%) are escalation or de-escalation for humans, so the model also misses signals.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trPr>
        <w:tc>
          <w:tcPr/>
          <w:p>
            <w:pPr>
              <w:pStyle w:val="Compact"/>
              <w:jc w:val="left"/>
            </w:pPr>
            <w:r>
              <w:t xml:space="preserve">Round</w:t>
            </w:r>
          </w:p>
        </w:tc>
        <w:tc>
          <w:tcPr/>
          <w:p>
            <w:pPr>
              <w:pStyle w:val="Compact"/>
              <w:jc w:val="left"/>
            </w:pPr>
            <w:r>
              <w:t xml:space="preserve">Posts</w:t>
            </w:r>
          </w:p>
        </w:tc>
        <w:tc>
          <w:tcPr/>
          <w:p>
            <w:pPr>
              <w:pStyle w:val="Compact"/>
              <w:jc w:val="left"/>
            </w:pPr>
            <w:r>
              <w:t xml:space="preserve">Human–human κ</w:t>
            </w:r>
          </w:p>
        </w:tc>
        <w:tc>
          <w:tcPr/>
          <w:p>
            <w:pPr>
              <w:pStyle w:val="Compact"/>
              <w:jc w:val="left"/>
            </w:pPr>
            <w:r>
              <w:t xml:space="preserve">Model run 1 vs humans κ</w:t>
            </w:r>
          </w:p>
        </w:tc>
        <w:tc>
          <w:tcPr/>
          <w:p>
            <w:pPr>
              <w:pStyle w:val="Compact"/>
              <w:jc w:val="left"/>
            </w:pPr>
            <w:r>
              <w:t xml:space="preserve">Model de-escalation / escalation precision</w:t>
            </w:r>
          </w:p>
        </w:tc>
      </w:tr>
      <w:tr>
        <w:tc>
          <w:tcPr/>
          <w:p>
            <w:pPr>
              <w:pStyle w:val="Compact"/>
              <w:jc w:val="left"/>
            </w:pPr>
            <w:r>
              <w:t xml:space="preserve">1</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0.43 (consensus, 97 posts)</w:t>
            </w:r>
          </w:p>
        </w:tc>
        <w:tc>
          <w:tcPr/>
          <w:p>
            <w:pPr>
              <w:pStyle w:val="Compact"/>
              <w:jc w:val="left"/>
            </w:pPr>
            <w:r>
              <w:t xml:space="preserve">0.52 / not reported</w:t>
            </w:r>
          </w:p>
        </w:tc>
      </w:tr>
      <w:tr>
        <w:tc>
          <w:tcPr/>
          <w:p>
            <w:pPr>
              <w:pStyle w:val="Compact"/>
              <w:jc w:val="left"/>
            </w:pPr>
            <w:r>
              <w:t xml:space="preserve">2</w:t>
            </w:r>
          </w:p>
        </w:tc>
        <w:tc>
          <w:tcPr/>
          <w:p>
            <w:pPr>
              <w:pStyle w:val="Compact"/>
              <w:jc w:val="left"/>
            </w:pPr>
            <w:r>
              <w:t xml:space="preserve">61</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0.64 / 0.36</w:t>
            </w:r>
          </w:p>
        </w:tc>
      </w:tr>
      <w:tr>
        <w:tc>
          <w:tcPr/>
          <w:p>
            <w:pPr>
              <w:pStyle w:val="Compact"/>
              <w:jc w:val="left"/>
            </w:pPr>
            <w:r>
              <w:t xml:space="preserve">3</w:t>
            </w:r>
          </w:p>
        </w:tc>
        <w:tc>
          <w:tcPr/>
          <w:p>
            <w:pPr>
              <w:pStyle w:val="Compact"/>
              <w:jc w:val="left"/>
            </w:pPr>
            <w:r>
              <w:t xml:space="preserve">130</w:t>
            </w:r>
          </w:p>
        </w:tc>
        <w:tc>
          <w:tcPr/>
          <w:p>
            <w:pPr>
              <w:pStyle w:val="Compact"/>
              <w:jc w:val="left"/>
            </w:pPr>
            <w:r>
              <w:t xml:space="preserve">0.61</w:t>
            </w:r>
          </w:p>
        </w:tc>
        <w:tc>
          <w:tcPr/>
          <w:p>
            <w:pPr>
              <w:pStyle w:val="Compact"/>
              <w:jc w:val="left"/>
            </w:pPr>
            <w:r>
              <w:t xml:space="preserve">0.55</w:t>
            </w:r>
          </w:p>
        </w:tc>
        <w:tc>
          <w:tcPr/>
          <w:p>
            <w:pPr>
              <w:pStyle w:val="Compact"/>
              <w:jc w:val="left"/>
            </w:pPr>
            <w:r>
              <w:t xml:space="preserve">not computed</w:t>
            </w:r>
          </w:p>
        </w:tc>
      </w:tr>
      <w:tr>
        <w:tc>
          <w:tcPr/>
          <w:p>
            <w:pPr>
              <w:pStyle w:val="Compact"/>
              <w:jc w:val="left"/>
            </w:pPr>
            <w:r>
              <w:t xml:space="preserve">All war-period</w:t>
            </w:r>
          </w:p>
        </w:tc>
        <w:tc>
          <w:tcPr/>
          <w:p>
            <w:pPr>
              <w:pStyle w:val="Compact"/>
              <w:jc w:val="left"/>
            </w:pPr>
            <w:r>
              <w:t xml:space="preserve">191</w:t>
            </w:r>
          </w:p>
        </w:tc>
        <w:tc>
          <w:tcPr/>
          <w:p>
            <w:pPr>
              <w:pStyle w:val="Compact"/>
              <w:jc w:val="left"/>
            </w:pPr>
            <w:r>
              <w:t xml:space="preserve">0.67 (190 with two labels)</w:t>
            </w:r>
          </w:p>
        </w:tc>
        <w:tc>
          <w:tcPr/>
          <w:p>
            <w:pPr>
              <w:pStyle w:val="Compact"/>
              <w:jc w:val="left"/>
            </w:pPr>
            <w:r>
              <w:t xml:space="preserve">0.50</w:t>
            </w:r>
          </w:p>
        </w:tc>
        <w:tc>
          <w:tcPr/>
          <w:p>
            <w:pPr>
              <w:pStyle w:val="Compact"/>
              <w:jc w:val="left"/>
            </w:pPr>
            <w:r>
              <w:t xml:space="preserve">—</w:t>
            </w:r>
          </w:p>
        </w:tc>
      </w:tr>
    </w:tbl>
    <w:p>
      <w:pPr>
        <w:pStyle w:val="BodyText"/>
      </w:pPr>
      <w:r>
        <w:rPr>
          <w:iCs/>
          <w:i/>
        </w:rPr>
        <w:t xml:space="preserve">Table 1. Agreement between human coders and between model and humans. Model run 2 reaches 0.56 in round 1.</w:t>
      </w:r>
    </w:p>
    <w:p>
      <w:pPr>
        <w:pStyle w:val="BodyText"/>
      </w:pPr>
      <w:r>
        <w:t xml:space="preserve">The labelling is noisy in a way that the high agreement between model runs conceals. Because the effects we study are small relative to the noise in oil returns, label noise is first-order.</w:t>
      </w:r>
    </w:p>
    <w:bookmarkEnd w:id="37"/>
    <w:bookmarkStart w:id="38" w:name="Xb66c2e863ed1ea500f91045a8adbd84fe486861"/>
    <w:p>
      <w:pPr>
        <w:pStyle w:val="Heading3"/>
      </w:pPr>
      <w:r>
        <w:t xml:space="preserve">4.4 Human-labelled posts and tick-level results</w:t>
      </w:r>
    </w:p>
    <w:p>
      <w:pPr>
        <w:pStyle w:val="FirstParagraph"/>
      </w:pPr>
      <w:r>
        <w:t xml:space="preserve">We rebuilt the signal set from the human labels over all 191 posts (cluster filter; market open at the post and 30 minutes later). The reconciliation is in Table 2.</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Posts with a human signal label after the three-hour filter (141 of 191 pass)</w:t>
            </w:r>
          </w:p>
        </w:tc>
        <w:tc>
          <w:tcPr/>
          <w:p>
            <w:pPr>
              <w:pStyle w:val="Compact"/>
              <w:jc w:val="left"/>
            </w:pPr>
            <w:r>
              <w:t xml:space="preserve">37</w:t>
            </w:r>
          </w:p>
        </w:tc>
        <w:tc>
          <w:tcPr/>
          <w:p>
            <w:pPr>
              <w:pStyle w:val="Compact"/>
              <w:jc w:val="left"/>
            </w:pPr>
            <w:r>
              <w:t xml:space="preserve">31</w:t>
            </w:r>
          </w:p>
        </w:tc>
      </w:tr>
      <w:tr>
        <w:tc>
          <w:tcPr/>
          <w:p>
            <w:pPr>
              <w:pStyle w:val="Compact"/>
              <w:jc w:val="left"/>
            </w:pPr>
            <w:r>
              <w:t xml:space="preserve">With a tick window at the post time and +30 minutes (primary sample)</w:t>
            </w:r>
          </w:p>
        </w:tc>
        <w:tc>
          <w:tcPr/>
          <w:p>
            <w:pPr>
              <w:pStyle w:val="Compact"/>
              <w:jc w:val="left"/>
            </w:pPr>
            <w:r>
              <w:t xml:space="preserve">29</w:t>
            </w:r>
          </w:p>
        </w:tc>
        <w:tc>
          <w:tcPr/>
          <w:p>
            <w:pPr>
              <w:pStyle w:val="Compact"/>
              <w:jc w:val="left"/>
            </w:pPr>
            <w:r>
              <w:t xml:space="preserve">16</w:t>
            </w:r>
          </w:p>
        </w:tc>
      </w:tr>
      <w:tr>
        <w:tc>
          <w:tcPr/>
          <w:p>
            <w:pPr>
              <w:pStyle w:val="Compact"/>
              <w:jc w:val="left"/>
            </w:pPr>
            <w:r>
              <w:t xml:space="preserve">Also with a valid −60 minute price (placebo sample)</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Signal posts dropped for no window</w:t>
            </w:r>
          </w:p>
        </w:tc>
        <w:tc>
          <w:tcPr/>
          <w:p>
            <w:pPr>
              <w:pStyle w:val="Compact"/>
              <w:jc w:val="left"/>
            </w:pPr>
            <w:r>
              <w:t xml:space="preserve">8</w:t>
            </w:r>
          </w:p>
        </w:tc>
        <w:tc>
          <w:tcPr/>
          <w:p>
            <w:pPr>
              <w:pStyle w:val="Compact"/>
              <w:jc w:val="left"/>
            </w:pPr>
            <w:r>
              <w:t xml:space="preserve">15</w:t>
            </w:r>
          </w:p>
        </w:tc>
      </w:tr>
    </w:tbl>
    <w:p>
      <w:pPr>
        <w:pStyle w:val="BodyText"/>
      </w:pPr>
      <w:r>
        <w:rPr>
          <w:iCs/>
          <w:i/>
        </w:rPr>
        <w:t xml:space="preserve">Table 2. Sample reconciliation (human labels). 83% of the 23 signal posts without a window were made on weekends or with the market closed, against 29% of all signal posts: the result does not extend to weekend announcements.</w:t>
      </w:r>
    </w:p>
    <w:p>
      <w:pPr>
        <w:pStyle w:val="BodyText"/>
      </w:pPr>
      <w:r>
        <w:t xml:space="preserve">For de-escalation posts the directional WTI return is +0.67% at five minutes and +1.05% at 30 minutes (n = 29; median 0.47%; one-sided Wilcoxon p = 0.0002; week-block 95% CI 0.42 to 1.79). For escalation posts it is +0.48% at 30 minutes (n = 16; median 0.40%; p = 0.0065; CI 0.10 to 0.84), against +0.17% (p = 0.26) when the model’s escalation label is used. The difference between the two directions is not distinguishable from zero (Mann–Whitney p = 0.20, exploratory). The</w:t>
      </w:r>
      <w:r>
        <w:t xml:space="preserve"> </w:t>
      </w:r>
      <w:r>
        <w:t xml:space="preserve">“</w:t>
      </w:r>
      <w:r>
        <w:t xml:space="preserve">no response to escalation</w:t>
      </w:r>
      <w:r>
        <w:t xml:space="preserve">”</w:t>
      </w:r>
      <w:r>
        <w:t xml:space="preserve"> </w:t>
      </w:r>
      <w:r>
        <w:t xml:space="preserve">of Section 4.2 therefore applied to the model’s escalation label, not to escalation as humans see it. Quote quality does not explain the result: the median bid–ask spread is 0.05 on a price near 89.6, and the median absolute 30-minute move (0.46) is about nine spreads.</w:t>
      </w:r>
    </w:p>
    <w:p>
      <w:pPr>
        <w:pStyle w:val="BodyText"/>
      </w:pPr>
      <w:r>
        <w:rPr>
          <w:iCs/>
          <w:i/>
        </w:rPr>
        <w:t xml:space="preserve">Placebo.</w:t>
      </w:r>
      <w:r>
        <w:t xml:space="preserve"> </w:t>
      </w:r>
      <w:r>
        <w:t xml:space="preserve">To check that the co-movement is not an artefact of the hours in which posts fall, we drew fake post times in the same clock hour on neighbouring days (same weekday status, at least two hours from any labelled post; 10,000 draws; 26 de-escalation and 14 escalation posts). The mean directional 30-minute return after the post is +0.62% for de-escalation and +0.53% for escalation, against placebo means of +0.05% and 95th percentiles of 0.22% and 0.26% (shares of draws at least as large below 0.0001 and 0.0003).</w:t>
      </w:r>
    </w:p>
    <w:p>
      <w:pPr>
        <w:pStyle w:val="BodyText"/>
      </w:pPr>
      <w:r>
        <w:rPr>
          <w:iCs/>
          <w:i/>
        </w:rPr>
        <w:t xml:space="preserve">Pre-post drift.</w:t>
      </w:r>
      <w:r>
        <w:t xml:space="preserve"> </w:t>
      </w:r>
      <w:r>
        <w:t xml:space="preserve">The 30 minutes before the post also exceed the placebo for de-escalation (+0.57%; +0.86% over the preceding hour; both below 0.0001) and, on the 30-minute window only, for escalation (+0.29%, p = 0.016); tick counts in the half hour before a de-escalation post are 28% above comparable hours. We describe this as drift larger than in comparable hours whose cause is not identified: the market may be reacting to news that the post then repeats, or the same event may move both. It does not show leakage or any party’s conduct. Whether the outside source reported a decision before the post makes no difference to the drift (30 events, p = 0.90; Appendix E).</w:t>
      </w:r>
    </w:p>
    <w:p>
      <w:pPr>
        <w:pStyle w:val="BodyText"/>
      </w:pPr>
      <w:r>
        <w:rPr>
          <w:iCs/>
          <w:i/>
        </w:rPr>
        <w:t xml:space="preserve">Robustness.</w:t>
      </w:r>
      <w:r>
        <w:t xml:space="preserve"> </w:t>
      </w:r>
      <w:r>
        <w:t xml:space="preserve">Table 3 varies one feature at a time. The direction of the post-period move is positive and one-sided significant in every variant for both classes, including when the events on 23 March and 7 April are dropped (de-escalation mean 0.80%, median 0.48%) and when only posts on which both coders already agreed are used. The median is stable at 0.4 to 0.5%; the mean is pulled by a few events (the three largest de-escalation events, 2.7%, 3.3% and 10.5%, make up 54% of the summed move; leave-one-event-out means range from 0.71 to 1.12). The excess of the 30 minutes after a post over the 30 minutes before is borderline (de-escalation p between 0.026 and 0.063 across cluster rules; escalation 0.044 to 0.097) and depends on the window: over 5 and 15 minutes the post move is not preceded by drift (pre-window means −0.05% and 0.00%; paired excess +0.72 and +0.76 points, p = 0.003 and 0.005), whereas over 60 minutes the earlier drift has caught up (paired −0.15, p = 0.37). The statement we can defend is the short-window one.</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De-escalation: n, post-30 mean (median), paired post − pre (p)</w:t>
            </w:r>
          </w:p>
        </w:tc>
        <w:tc>
          <w:tcPr/>
          <w:p>
            <w:pPr>
              <w:pStyle w:val="Compact"/>
              <w:jc w:val="left"/>
            </w:pPr>
            <w:r>
              <w:t xml:space="preserve">Escalation: n, post-30 mean (median), paired post − pre (p)</w:t>
            </w:r>
          </w:p>
        </w:tc>
      </w:tr>
      <w:tr>
        <w:tc>
          <w:tcPr/>
          <w:p>
            <w:pPr>
              <w:pStyle w:val="Compact"/>
              <w:jc w:val="left"/>
            </w:pPr>
            <w:r>
              <w:t xml:space="preserve">Baseline (3-hour filter)</w:t>
            </w:r>
          </w:p>
        </w:tc>
        <w:tc>
          <w:tcPr/>
          <w:p>
            <w:pPr>
              <w:pStyle w:val="Compact"/>
              <w:jc w:val="left"/>
            </w:pPr>
            <w:r>
              <w:t xml:space="preserve">29, 1.05 (0.47), +0.48 (.030)</w:t>
            </w:r>
          </w:p>
        </w:tc>
        <w:tc>
          <w:tcPr/>
          <w:p>
            <w:pPr>
              <w:pStyle w:val="Compact"/>
              <w:jc w:val="left"/>
            </w:pPr>
            <w:r>
              <w:t xml:space="preserve">16, 0.48 (0.40), +0.26 (.058)</w:t>
            </w:r>
          </w:p>
        </w:tc>
      </w:tr>
      <w:tr>
        <w:tc>
          <w:tcPr/>
          <w:p>
            <w:pPr>
              <w:pStyle w:val="Compact"/>
              <w:jc w:val="left"/>
            </w:pPr>
            <w:r>
              <w:t xml:space="preserve">No cluster filter</w:t>
            </w:r>
          </w:p>
        </w:tc>
        <w:tc>
          <w:tcPr/>
          <w:p>
            <w:pPr>
              <w:pStyle w:val="Compact"/>
              <w:jc w:val="left"/>
            </w:pPr>
            <w:r>
              <w:t xml:space="preserve">34, 0.91 (0.46), +0.44 (.026)</w:t>
            </w:r>
          </w:p>
        </w:tc>
        <w:tc>
          <w:tcPr/>
          <w:p>
            <w:pPr>
              <w:pStyle w:val="Compact"/>
              <w:jc w:val="left"/>
            </w:pPr>
            <w:r>
              <w:t xml:space="preserve">19, 0.46 (0.35), +0.23 (.071)</w:t>
            </w:r>
          </w:p>
        </w:tc>
      </w:tr>
      <w:tr>
        <w:tc>
          <w:tcPr/>
          <w:p>
            <w:pPr>
              <w:pStyle w:val="Compact"/>
              <w:jc w:val="left"/>
            </w:pPr>
            <w:r>
              <w:t xml:space="preserve">6-hour filter</w:t>
            </w:r>
          </w:p>
        </w:tc>
        <w:tc>
          <w:tcPr/>
          <w:p>
            <w:pPr>
              <w:pStyle w:val="Compact"/>
              <w:jc w:val="left"/>
            </w:pPr>
            <w:r>
              <w:t xml:space="preserve">25, 1.08 (0.49), +0.42 (.063)</w:t>
            </w:r>
          </w:p>
        </w:tc>
        <w:tc>
          <w:tcPr/>
          <w:p>
            <w:pPr>
              <w:pStyle w:val="Compact"/>
              <w:jc w:val="left"/>
            </w:pPr>
            <w:r>
              <w:t xml:space="preserve">14, 0.54 (0.50), +0.27 (.097)</w:t>
            </w:r>
          </w:p>
        </w:tc>
      </w:tr>
      <w:tr>
        <w:tc>
          <w:tcPr/>
          <w:p>
            <w:pPr>
              <w:pStyle w:val="Compact"/>
              <w:jc w:val="left"/>
            </w:pPr>
            <w:r>
              <w:t xml:space="preserve">Both coders agreed before adjudication</w:t>
            </w:r>
          </w:p>
        </w:tc>
        <w:tc>
          <w:tcPr/>
          <w:p>
            <w:pPr>
              <w:pStyle w:val="Compact"/>
              <w:jc w:val="left"/>
            </w:pPr>
            <w:r>
              <w:t xml:space="preserve">28, 1.03 (0.47), +0.44 (.045)</w:t>
            </w:r>
          </w:p>
        </w:tc>
        <w:tc>
          <w:tcPr/>
          <w:p>
            <w:pPr>
              <w:pStyle w:val="Compact"/>
              <w:jc w:val="left"/>
            </w:pPr>
            <w:r>
              <w:t xml:space="preserve">7, 0.71 (0.54), +0.44 (.078)</w:t>
            </w:r>
          </w:p>
        </w:tc>
      </w:tr>
      <w:tr>
        <w:tc>
          <w:tcPr/>
          <w:p>
            <w:pPr>
              <w:pStyle w:val="Compact"/>
              <w:jc w:val="left"/>
            </w:pPr>
            <w:r>
              <w:t xml:space="preserve">Window 5 minutes</w:t>
            </w:r>
          </w:p>
        </w:tc>
        <w:tc>
          <w:tcPr/>
          <w:p>
            <w:pPr>
              <w:pStyle w:val="Compact"/>
              <w:jc w:val="left"/>
            </w:pPr>
            <w:r>
              <w:t xml:space="preserve">29, 0.67 (0.21), +0.72 (.003)</w:t>
            </w:r>
          </w:p>
        </w:tc>
        <w:tc>
          <w:tcPr/>
          <w:p>
            <w:pPr>
              <w:pStyle w:val="Compact"/>
              <w:jc w:val="left"/>
            </w:pPr>
            <w:r>
              <w:t xml:space="preserve">16, 0.46 (0.19), +0.38 (.096)</w:t>
            </w:r>
          </w:p>
        </w:tc>
      </w:tr>
      <w:tr>
        <w:tc>
          <w:tcPr/>
          <w:p>
            <w:pPr>
              <w:pStyle w:val="Compact"/>
              <w:jc w:val="left"/>
            </w:pPr>
            <w:r>
              <w:t xml:space="preserve">Window 15 minutes</w:t>
            </w:r>
          </w:p>
        </w:tc>
        <w:tc>
          <w:tcPr/>
          <w:p>
            <w:pPr>
              <w:pStyle w:val="Compact"/>
              <w:jc w:val="left"/>
            </w:pPr>
            <w:r>
              <w:t xml:space="preserve">29, 0.76 (0.60), +0.76 (.005)</w:t>
            </w:r>
          </w:p>
        </w:tc>
        <w:tc>
          <w:tcPr/>
          <w:p>
            <w:pPr>
              <w:pStyle w:val="Compact"/>
              <w:jc w:val="left"/>
            </w:pPr>
            <w:r>
              <w:t xml:space="preserve">16, 0.57 (0.42), +0.36 (.019)</w:t>
            </w:r>
          </w:p>
        </w:tc>
      </w:tr>
      <w:tr>
        <w:tc>
          <w:tcPr/>
          <w:p>
            <w:pPr>
              <w:pStyle w:val="Compact"/>
              <w:jc w:val="left"/>
            </w:pPr>
            <w:r>
              <w:t xml:space="preserve">Window 60 minutes</w:t>
            </w:r>
          </w:p>
        </w:tc>
        <w:tc>
          <w:tcPr/>
          <w:p>
            <w:pPr>
              <w:pStyle w:val="Compact"/>
              <w:jc w:val="left"/>
            </w:pPr>
            <w:r>
              <w:t xml:space="preserve">28, 1.18 (0.42), −0.15 (.365)</w:t>
            </w:r>
          </w:p>
        </w:tc>
        <w:tc>
          <w:tcPr/>
          <w:p>
            <w:pPr>
              <w:pStyle w:val="Compact"/>
              <w:jc w:val="left"/>
            </w:pPr>
            <w:r>
              <w:t xml:space="preserve">16, 0.48 (0.40), +0.44 (.086)</w:t>
            </w:r>
          </w:p>
        </w:tc>
      </w:tr>
      <w:tr>
        <w:tc>
          <w:tcPr/>
          <w:p>
            <w:pPr>
              <w:pStyle w:val="Compact"/>
              <w:jc w:val="left"/>
            </w:pPr>
            <w:r>
              <w:t xml:space="preserve">Drop 23 March and 7 April</w:t>
            </w:r>
          </w:p>
        </w:tc>
        <w:tc>
          <w:tcPr/>
          <w:p>
            <w:pPr>
              <w:pStyle w:val="Compact"/>
              <w:jc w:val="left"/>
            </w:pPr>
            <w:r>
              <w:t xml:space="preserve">26, 0.80 (0.48), +0.49 (.025)</w:t>
            </w:r>
          </w:p>
        </w:tc>
        <w:tc>
          <w:tcPr/>
          <w:p>
            <w:pPr>
              <w:pStyle w:val="Compact"/>
              <w:jc w:val="left"/>
            </w:pPr>
            <w:r>
              <w:t xml:space="preserve">16, 0.48 (0.40), +0.26 (.058)</w:t>
            </w:r>
          </w:p>
        </w:tc>
      </w:tr>
    </w:tbl>
    <w:p>
      <w:pPr>
        <w:pStyle w:val="BodyText"/>
      </w:pPr>
      <w:r>
        <w:rPr>
          <w:iCs/>
          <w:i/>
        </w:rPr>
        <w:t xml:space="preserve">Table 3. Robustness of the human-label tick-level result (mean directional returns in percent; p from one-sided Wilcoxon tests of post &gt; pre; variants are not independent and p-values are unadjusted).</w:t>
      </w:r>
    </w:p>
    <w:p>
      <w:pPr>
        <w:pStyle w:val="BodyText"/>
      </w:pPr>
      <w:r>
        <w:t xml:space="preserve">Other topics. Before the war, de-escalation posts about Iran show the same sign at about a quarter of the size, significant only for posts on which both coders agree (−0.62%, n = 8, p = 0.008); posts about monetary policy and non-tariff China matters show no hourly reaction, though the sample is too small to call this</w:t>
      </w:r>
      <w:r>
        <w:t xml:space="preserve"> </w:t>
      </w:r>
      <w:r>
        <w:t xml:space="preserve">“</w:t>
      </w:r>
      <w:r>
        <w:t xml:space="preserve">no response</w:t>
      </w:r>
      <w:r>
        <w:t xml:space="preserve">”</w:t>
      </w:r>
      <w:r>
        <w:t xml:space="preserve">.</w:t>
      </w:r>
    </w:p>
    <w:bookmarkEnd w:id="38"/>
    <w:bookmarkStart w:id="39" w:name="X2fa4eb6c5141e0b6310a0cbc31f8b523321249a"/>
    <w:p>
      <w:pPr>
        <w:pStyle w:val="Heading3"/>
      </w:pPr>
      <w:r>
        <w:t xml:space="preserve">4.5 Tests of the information-theoretic propositions</w:t>
      </w:r>
    </w:p>
    <w:p>
      <w:pPr>
        <w:pStyle w:val="FirstParagraph"/>
      </w:pPr>
      <w:r>
        <w:t xml:space="preserve">Table 4 reports the pre-registered tests on 271 hourly signal posts across four topics (oil 112, tariffs 74, Fed 47, China 38), with topic fixed effects and standard errors clustered by day; the outcome is |z|. These tests use model labels only to select posts, so they do not depend on the label of direction.</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 2026 sample</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2017–21 oil/Iran tweets (n = 191)</w:t>
            </w:r>
          </w:p>
        </w:tc>
        <w:tc>
          <w:tcPr/>
          <w:p>
            <w:pPr>
              <w:pStyle w:val="Compact"/>
              <w:jc w:val="left"/>
            </w:pPr>
            <w:r>
              <w:t xml:space="preserve">−0.27 (SE 0.74)</w:t>
            </w:r>
          </w:p>
        </w:tc>
        <w:tc>
          <w:tcPr/>
          <w:p>
            <w:pPr>
              <w:pStyle w:val="Compact"/>
              <w:jc w:val="left"/>
            </w:pPr>
            <w:r>
              <w:t xml:space="preserve">0.64</w:t>
            </w:r>
          </w:p>
        </w:tc>
        <w:tc>
          <w:tcPr/>
          <w:p>
            <w:pPr>
              <w:pStyle w:val="Compact"/>
              <w:jc w:val="left"/>
            </w:pPr>
            <w:r>
              <w:t xml:space="preserve">Not supported</w:t>
            </w:r>
          </w:p>
        </w:tc>
      </w:tr>
      <w:tr>
        <w:tc>
          <w:tcPr/>
          <w:p>
            <w:pPr>
              <w:pStyle w:val="Compact"/>
              <w:jc w:val="left"/>
            </w:pPr>
            <w:r>
              <w:t xml:space="preserve">P1, 2017–21 tariff tweets (n = 410)</w:t>
            </w:r>
          </w:p>
        </w:tc>
        <w:tc>
          <w:tcPr/>
          <w:p>
            <w:pPr>
              <w:pStyle w:val="Compact"/>
              <w:jc w:val="left"/>
            </w:pPr>
            <w:r>
              <w:t xml:space="preserve">−0.05 (SE 0.68)</w:t>
            </w:r>
          </w:p>
        </w:tc>
        <w:tc>
          <w:tcPr/>
          <w:p>
            <w:pPr>
              <w:pStyle w:val="Compact"/>
              <w:jc w:val="left"/>
            </w:pPr>
            <w:r>
              <w:t xml:space="preserve">Holm 0.74</w:t>
            </w:r>
          </w:p>
        </w:tc>
        <w:tc>
          <w:tcPr/>
          <w:p>
            <w:pPr>
              <w:pStyle w:val="Compact"/>
              <w:jc w:val="left"/>
            </w:pPr>
            <w:r>
              <w:t xml:space="preserve">Not supported</w:t>
            </w:r>
          </w:p>
        </w:tc>
      </w:tr>
      <w:tr>
        <w:tc>
          <w:tcPr/>
          <w:p>
            <w:pPr>
              <w:pStyle w:val="Compact"/>
              <w:jc w:val="left"/>
            </w:pPr>
            <w:r>
              <w:t xml:space="preserve">P2 prior uncertainty U, 2026</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P2, 2017–21 oil/Iran</w:t>
            </w:r>
          </w:p>
        </w:tc>
        <w:tc>
          <w:tcPr/>
          <w:p>
            <w:pPr>
              <w:pStyle w:val="Compact"/>
              <w:jc w:val="left"/>
            </w:pPr>
            <w:r>
              <w:t xml:space="preserve">+0.18 (SE 0.18)</w:t>
            </w:r>
          </w:p>
        </w:tc>
        <w:tc>
          <w:tcPr/>
          <w:p>
            <w:pPr>
              <w:pStyle w:val="Compact"/>
              <w:jc w:val="left"/>
            </w:pPr>
            <w:r>
              <w:t xml:space="preserve">0.15</w:t>
            </w:r>
          </w:p>
        </w:tc>
        <w:tc>
          <w:tcPr/>
          <w:p>
            <w:pPr>
              <w:pStyle w:val="Compact"/>
              <w:jc w:val="left"/>
            </w:pPr>
            <w:r>
              <w:t xml:space="preserve">Not supported</w:t>
            </w:r>
          </w:p>
        </w:tc>
      </w:tr>
      <w:tr>
        <w:tc>
          <w:tcPr/>
          <w:p>
            <w:pPr>
              <w:pStyle w:val="Compact"/>
              <w:jc w:val="left"/>
            </w:pPr>
            <w:r>
              <w:t xml:space="preserve">P2, 2017–21 tariff</w:t>
            </w:r>
          </w:p>
        </w:tc>
        <w:tc>
          <w:tcPr/>
          <w:p>
            <w:pPr>
              <w:pStyle w:val="Compact"/>
              <w:jc w:val="left"/>
            </w:pPr>
            <w:r>
              <w:t xml:space="preserve">+0.40 (SE 0.10)</w:t>
            </w:r>
          </w:p>
        </w:tc>
        <w:tc>
          <w:tcPr/>
          <w:p>
            <w:pPr>
              <w:pStyle w:val="Compact"/>
              <w:jc w:val="left"/>
            </w:pPr>
            <w:r>
              <w:t xml:space="preserve">&lt; 0.001</w:t>
            </w:r>
          </w:p>
        </w:tc>
        <w:tc>
          <w:tcPr/>
          <w:p>
            <w:pPr>
              <w:pStyle w:val="Compact"/>
              <w:jc w:val="left"/>
            </w:pPr>
            <w:r>
              <w:t xml:space="preserve">Supported; confounded with volatility clustering</w:t>
            </w:r>
          </w:p>
        </w:tc>
      </w:tr>
      <w:tr>
        <w:tc>
          <w:tcPr/>
          <w:p>
            <w:pPr>
              <w:pStyle w:val="Compact"/>
              <w:jc w:val="left"/>
            </w:pPr>
            <w:r>
              <w:t xml:space="preserve">P3 N_c × U, 2026</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P3, 2017–21 oil/Iran; tariff</w:t>
            </w:r>
          </w:p>
        </w:tc>
        <w:tc>
          <w:tcPr/>
          <w:p>
            <w:pPr>
              <w:pStyle w:val="Compact"/>
              <w:jc w:val="left"/>
            </w:pPr>
            <w:r>
              <w:t xml:space="preserve">−0.37 (1.81); +0.32 (0.97)</w:t>
            </w:r>
          </w:p>
        </w:tc>
        <w:tc>
          <w:tcPr/>
          <w:p>
            <w:pPr>
              <w:pStyle w:val="Compact"/>
              <w:jc w:val="left"/>
            </w:pPr>
            <w:r>
              <w:t xml:space="preserve">0.58; Holm 0.74</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Marginal; Holm over HI1–HI4 would give 0.16</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Not different from null</w:t>
            </w:r>
          </w:p>
        </w:tc>
      </w:tr>
    </w:tbl>
    <w:p>
      <w:pPr>
        <w:pStyle w:val="BodyText"/>
      </w:pPr>
      <w:r>
        <w:rPr>
          <w:iCs/>
          <w:i/>
        </w:rPr>
        <w:t xml:space="preserve">Table 4. Pre-registered information-theoretic tests (ANALYSIS_PLAN_INFO.md; ANALYSIS_PLAN_TWITTER.md; ANALYSIS_PLAN_TARIFF.md).</w:t>
      </w:r>
    </w:p>
    <w:p>
      <w:pPr>
        <w:pStyle w:val="BodyText"/>
      </w:pPr>
      <w:r>
        <w:t xml:space="preserve">The coefficients of novelty and prior uncertainty have the predicted sign in the 2026 sample and its replication, but none reaches p &lt; 0.05, and the interaction is absent. In the two 2017–2021 samples novelty is negative or zero. With 271 posts the standard error of the novelty coefficient is 0.56 against an estimate of 0.77, so effects below about 1.5 in these units cannot be excluded. The only coefficient that clears its threshold, prior uncertainty in the tariff tweets, is the one that volatility persistence predicts without any account of information (Section 3.4), and it did not appear in the oil samples. The mutual-information result, at about one thousandth of a bit per hour-bar, is one of four tests of the information family in the plan (each fixed at α = .05 with no family adjustment); a Holm adjustment over the four would give 0.16, and the plan’s test of a larger value in the war than before the war was not a formal contrast. We do not count it as support. We conclude that these pre-registered tests do not support the propositions.</w:t>
      </w:r>
    </w:p>
    <w:bookmarkEnd w:id="39"/>
    <w:bookmarkStart w:id="40" w:name="status-of-the-reported-results"/>
    <w:p>
      <w:pPr>
        <w:pStyle w:val="Heading3"/>
      </w:pPr>
      <w:r>
        <w:t xml:space="preserve">4.6 Status of the reported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Posting overdispersed; follows volatile hours (4.1)</w:t>
            </w:r>
          </w:p>
        </w:tc>
        <w:tc>
          <w:tcPr/>
          <w:p>
            <w:pPr>
              <w:pStyle w:val="Compact"/>
              <w:jc w:val="left"/>
            </w:pPr>
            <w:r>
              <w:t xml:space="preserve">Confirmatory for dispersion; exploratory for the logit</w:t>
            </w:r>
          </w:p>
        </w:tc>
      </w:tr>
      <w:tr>
        <w:tc>
          <w:tcPr/>
          <w:p>
            <w:pPr>
              <w:pStyle w:val="Compact"/>
              <w:jc w:val="left"/>
            </w:pPr>
            <w:r>
              <w:t xml:space="preserve">Model-labelled hourly co-movement (4.2)</w:t>
            </w:r>
          </w:p>
        </w:tc>
        <w:tc>
          <w:tcPr/>
          <w:p>
            <w:pPr>
              <w:pStyle w:val="Compact"/>
              <w:jc w:val="left"/>
            </w:pPr>
            <w:r>
              <w:t xml:space="preserve">Amended (headline arose from an amendment); superseded by 4.4</w:t>
            </w:r>
          </w:p>
        </w:tc>
      </w:tr>
      <w:tr>
        <w:tc>
          <w:tcPr/>
          <w:p>
            <w:pPr>
              <w:pStyle w:val="Compact"/>
              <w:jc w:val="left"/>
            </w:pPr>
            <w:r>
              <w:t xml:space="preserve">Human validation κ (4.3)</w:t>
            </w:r>
          </w:p>
        </w:tc>
        <w:tc>
          <w:tcPr/>
          <w:p>
            <w:pPr>
              <w:pStyle w:val="Compact"/>
              <w:jc w:val="left"/>
            </w:pPr>
            <w:r>
              <w:t xml:space="preserve">Descriptive; round-2 and round-3 plans written before labels returned</w:t>
            </w:r>
          </w:p>
        </w:tc>
      </w:tr>
      <w:tr>
        <w:tc>
          <w:tcPr/>
          <w:p>
            <w:pPr>
              <w:pStyle w:val="Compact"/>
              <w:jc w:val="left"/>
            </w:pPr>
            <w:r>
              <w:t xml:space="preserve">Tick-level human-label direction, 5 and 30 minutes (4.4)</w:t>
            </w:r>
          </w:p>
        </w:tc>
        <w:tc>
          <w:tcPr/>
          <w:p>
            <w:pPr>
              <w:pStyle w:val="Compact"/>
              <w:jc w:val="left"/>
            </w:pPr>
            <w:r>
              <w:t xml:space="preserve">Amended (primary sample redefined after round 2)</w:t>
            </w:r>
          </w:p>
        </w:tc>
      </w:tr>
      <w:tr>
        <w:tc>
          <w:tcPr/>
          <w:p>
            <w:pPr>
              <w:pStyle w:val="Compact"/>
              <w:jc w:val="left"/>
            </w:pPr>
            <w:r>
              <w:t xml:space="preserve">Post − pre excess at 30 minutes (4.4)</w:t>
            </w:r>
          </w:p>
        </w:tc>
        <w:tc>
          <w:tcPr/>
          <w:p>
            <w:pPr>
              <w:pStyle w:val="Compact"/>
              <w:jc w:val="left"/>
            </w:pPr>
            <w:r>
              <w:t xml:space="preserve">Amended; borderline in robustness</w:t>
            </w:r>
          </w:p>
        </w:tc>
      </w:tr>
      <w:tr>
        <w:tc>
          <w:tcPr/>
          <w:p>
            <w:pPr>
              <w:pStyle w:val="Compact"/>
              <w:jc w:val="left"/>
            </w:pPr>
            <w:r>
              <w:t xml:space="preserve">Placebo and pre-post drift (4.4)</w:t>
            </w:r>
          </w:p>
        </w:tc>
        <w:tc>
          <w:tcPr/>
          <w:p>
            <w:pPr>
              <w:pStyle w:val="Compact"/>
              <w:jc w:val="left"/>
            </w:pPr>
            <w:r>
              <w:t xml:space="preserve">Planned before placebo data were analysed; applied to human labels after the sample was fixed</w:t>
            </w:r>
          </w:p>
        </w:tc>
      </w:tr>
      <w:tr>
        <w:tc>
          <w:tcPr/>
          <w:p>
            <w:pPr>
              <w:pStyle w:val="Compact"/>
              <w:jc w:val="left"/>
            </w:pPr>
            <w:r>
              <w:t xml:space="preserve">Robustness variants (Table 3)</w:t>
            </w:r>
          </w:p>
        </w:tc>
        <w:tc>
          <w:tcPr/>
          <w:p>
            <w:pPr>
              <w:pStyle w:val="Compact"/>
              <w:jc w:val="left"/>
            </w:pPr>
            <w:r>
              <w:t xml:space="preserve">Planned before computation; unadjusted</w:t>
            </w:r>
          </w:p>
        </w:tc>
      </w:tr>
      <w:tr>
        <w:tc>
          <w:tcPr/>
          <w:p>
            <w:pPr>
              <w:pStyle w:val="Compact"/>
              <w:jc w:val="left"/>
            </w:pPr>
            <w:r>
              <w:t xml:space="preserve">P1–P3 (4.5)</w:t>
            </w:r>
          </w:p>
        </w:tc>
        <w:tc>
          <w:tcPr/>
          <w:p>
            <w:pPr>
              <w:pStyle w:val="Compact"/>
              <w:jc w:val="left"/>
            </w:pPr>
            <w:r>
              <w:t xml:space="preserve">Confirmatory (pre-registered; not supported)</w:t>
            </w:r>
          </w:p>
        </w:tc>
      </w:tr>
      <w:tr>
        <w:tc>
          <w:tcPr/>
          <w:p>
            <w:pPr>
              <w:pStyle w:val="Compact"/>
              <w:jc w:val="left"/>
            </w:pPr>
            <w:r>
              <w:t xml:space="preserve">P4 (4.5)</w:t>
            </w:r>
          </w:p>
        </w:tc>
        <w:tc>
          <w:tcPr/>
          <w:p>
            <w:pPr>
              <w:pStyle w:val="Compact"/>
              <w:jc w:val="left"/>
            </w:pPr>
            <w:r>
              <w:t xml:space="preserve">Confirmatory; marginal</w:t>
            </w:r>
          </w:p>
        </w:tc>
      </w:tr>
      <w:tr>
        <w:tc>
          <w:tcPr/>
          <w:p>
            <w:pPr>
              <w:pStyle w:val="Compact"/>
              <w:jc w:val="left"/>
            </w:pPr>
            <w:r>
              <w:t xml:space="preserve">Cross-asset responses (4.2)</w:t>
            </w:r>
          </w:p>
        </w:tc>
        <w:tc>
          <w:tcPr/>
          <w:p>
            <w:pPr>
              <w:pStyle w:val="Compact"/>
              <w:jc w:val="left"/>
            </w:pPr>
            <w:r>
              <w:t xml:space="preserve">Model-labelled; Holm within assets</w:t>
            </w:r>
          </w:p>
        </w:tc>
      </w:tr>
      <w:tr>
        <w:tc>
          <w:tcPr/>
          <w:p>
            <w:pPr>
              <w:pStyle w:val="Compact"/>
              <w:jc w:val="left"/>
            </w:pPr>
            <w:r>
              <w:t xml:space="preserve">Appendices D and E</w:t>
            </w:r>
          </w:p>
        </w:tc>
        <w:tc>
          <w:tcPr/>
          <w:p>
            <w:pPr>
              <w:pStyle w:val="Compact"/>
              <w:jc w:val="left"/>
            </w:pPr>
            <w:r>
              <w:t xml:space="preserve">Exploratory or model-labelled</w:t>
            </w:r>
          </w:p>
        </w:tc>
      </w:tr>
    </w:tbl>
    <w:p>
      <w:pPr>
        <w:pStyle w:val="BodyText"/>
      </w:pPr>
      <w:r>
        <w:rPr>
          <w:iCs/>
          <w:i/>
        </w:rPr>
        <w:t xml:space="preserve">Table 5. Status of results in the main text.</w:t>
      </w:r>
    </w:p>
    <w:bookmarkEnd w:id="40"/>
    <w:bookmarkEnd w:id="41"/>
    <w:bookmarkStart w:id="46" w:name="discussion"/>
    <w:p>
      <w:pPr>
        <w:pStyle w:val="Heading2"/>
      </w:pPr>
      <w:r>
        <w:t xml:space="preserve">5. Discussion</w:t>
      </w:r>
    </w:p>
    <w:bookmarkStart w:id="42" w:name="what-the-evidence-supports"/>
    <w:p>
      <w:pPr>
        <w:pStyle w:val="Heading3"/>
      </w:pPr>
      <w:r>
        <w:t xml:space="preserve">5.1 What the evidence supports</w:t>
      </w:r>
    </w:p>
    <w:p>
      <w:pPr>
        <w:pStyle w:val="FirstParagraph"/>
      </w:pPr>
      <w:r>
        <w:t xml:space="preserve">The evidence supports four statements. First, platform speech by a head of state arrives as an overdispersed, bursty process that follows volatile market hours, so event-study designs that treat posting times as random overstate their identification. Second, during the closure, oil moves in the direction of posts that humans label de-escalation (about +1.05% over 30 minutes; median 0.47%) and, at about half the size, of posts that humans label escalation (+0.48%); the direction of this move is robust to the choices we varied, it exceeds the move at matched placebo times, and, for de-escalation posts, over 5 and 15 minutes it is not preceded by drift. Third, over longer windows it cannot be separated from drift that precedes the post, so the evidence is of co-movement, not of an effect of the post. Fourth, the labels that gave the first-stage asymmetry were wrong in a way that reversed one of its conclusions: only 36% of the model’s escalation labels were escalation in human judgment.</w:t>
      </w:r>
    </w:p>
    <w:p>
      <w:pPr>
        <w:pStyle w:val="BodyText"/>
      </w:pPr>
      <w:r>
        <w:t xml:space="preserve">The information-theoretic propositions that we tested in advance do not hold: novelty, the interaction and timing surprisal (Appendix E) do not predict the size of the reaction in any sample, and prior uncertainty does so only where it is confounded with volatility clustering.</w:t>
      </w:r>
    </w:p>
    <w:bookmarkEnd w:id="42"/>
    <w:bookmarkStart w:id="43" w:name="contributions"/>
    <w:p>
      <w:pPr>
        <w:pStyle w:val="Heading3"/>
      </w:pPr>
      <w:r>
        <w:t xml:space="preserve">5.2 Contributions</w:t>
      </w:r>
    </w:p>
    <w:p>
      <w:pPr>
        <w:pStyle w:val="FirstParagraph"/>
      </w:pPr>
      <w:r>
        <w:t xml:space="preserve">The paper’s main contribution is a worked example, with the full audit trail, of how model labelling can reverse an event-study headline. Agreement between two runs of a model was high (κ 0.62 to 0.96) throughout, but agreement with humans was moderate to weak (0.29 to 0.56), the model’s escalation label was mostly wrong, and the first-stage conclusion that escalation posts do not move oil was an artifact. For IS research that uses language models as measurement instruments, the lesson is practical: report validity against human coders by class, not only inter-run consistency, before attaching market outcomes to the labels, and treat the labelling decisions as researcher degrees of freedom. A second contribution is descriptive: a documented case in which posting timing is endogenous, and in which oil moves with posts within minutes without us being able to say that the post is the news. A third is a record of negative results: the pre-registered propositions derived from an information-theoretic account were mostly not supported, and the two instances in which they appeared to be (mutual information; prior uncertainty in tariff tweets) do not survive scrutiny.</w:t>
      </w:r>
    </w:p>
    <w:p>
      <w:pPr>
        <w:pStyle w:val="BodyText"/>
      </w:pPr>
      <w:r>
        <w:t xml:space="preserve">The paper does not offer a theory of platform-mediated speech. No platform feature varies in our data, and everything we find would be the same if the same statements had been issued by press release; what the platform changes is the volume of posts and the availability of timestamps, which is what makes the measurement possible.</w:t>
      </w:r>
    </w:p>
    <w:bookmarkEnd w:id="43"/>
    <w:bookmarkStart w:id="44" w:name="limitations"/>
    <w:p>
      <w:pPr>
        <w:pStyle w:val="Heading3"/>
      </w:pPr>
      <w:r>
        <w:t xml:space="preserve">5.3 Limitations</w:t>
      </w:r>
    </w:p>
    <w:p>
      <w:pPr>
        <w:pStyle w:val="FirstParagraph"/>
      </w:pPr>
      <w:r>
        <w:t xml:space="preserve">The identification is weak. Posts follow volatile hours, all 20 cases examined in market-wire coverage show other drivers, and the pre-post drift is as large as the post move over windows of 30 minutes and longer; the tick analysis separates them only at 5 to 15 minutes, on 29 and 16 events from one conflict, one sender and one asset (a CFD, not exchange futures). Two events supply a large part of the mean, and 83% of signal posts without a market window were made on weekends or off-hours, so the result does not extend to weekend announcements. The labels are not independent of the investigator: adjudication by the principal investigator is not blind to the hypotheses. The two human coders agree at κ = 0.51 to 0.69, which limits what any human-label result can claim, and the original coder instruments are model runs. The primary sample was redefined after seeing label quality and outcomes, and the pre-registration is a transparency device, not an independent registry. Prior uncertainty and novelty are proxies that are not the market’s information set. The 2017–2021 samples and tariff results use model labels that humans accept for only about half of the model-agreed signals (Appendix E), and human labels for the oil sample were not collected. The arrival-process and event-explanation analyses in Appendix D were run after the main results were seen.</w:t>
      </w:r>
    </w:p>
    <w:bookmarkEnd w:id="44"/>
    <w:bookmarkStart w:id="45" w:name="future-research"/>
    <w:p>
      <w:pPr>
        <w:pStyle w:val="Heading3"/>
      </w:pPr>
      <w:r>
        <w:t xml:space="preserve">5.4 Future research</w:t>
      </w:r>
    </w:p>
    <w:p>
      <w:pPr>
        <w:pStyle w:val="FirstParagraph"/>
      </w:pPr>
      <w:r>
        <w:t xml:space="preserve">The most informative next steps are replication on other episodes with human-validated labels, exchange-futures data, and a continuous measure of the physical constraint (tanker transits, insurance spreads, term structure) as a measure of prior uncertainty. A comparison between accounts of people who use posts to influence others and matched ordinary accounts is specified (ANALYSIS_PLAN_ACCOUNTS.md) and has not been run because suitable data have not been established.</w:t>
      </w:r>
    </w:p>
    <w:bookmarkEnd w:id="45"/>
    <w:bookmarkEnd w:id="46"/>
    <w:bookmarkStart w:id="47" w:name="conclusion"/>
    <w:p>
      <w:pPr>
        <w:pStyle w:val="Heading2"/>
      </w:pPr>
      <w:r>
        <w:t xml:space="preserve">6. Conclusion</w:t>
      </w:r>
    </w:p>
    <w:p>
      <w:pPr>
        <w:pStyle w:val="FirstParagraph"/>
      </w:pPr>
      <w:r>
        <w:t xml:space="preserve">In the 2026 Hormuz closure, oil moved with posts that humans labelled de-escalation and escalation, within minutes, by more than at comparable hours, and the model-labelled analysis that suggested a one-sided response was wrong because the model’s escalation label was mostly incorrect. The co-movement cannot be separated from earlier drift beyond short windows, and the information-theoretic propositions we pre-registered are not supported. We offer the case as an audited example of why model labels need human validation before they are attached to market outcomes.</w:t>
      </w:r>
    </w:p>
    <w:p>
      <w:r>
        <w:pict>
          <v:rect style="width:0;height:1.5pt" o:hralign="center" o:hrstd="t" o:hr="t"/>
        </w:pict>
      </w:r>
    </w:p>
    <w:bookmarkEnd w:id="47"/>
    <w:bookmarkStart w:id="48"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analysis plans, coder outputs, and results are in the project repository; the post archive and market data come from public sources [add anonymous repository DOI for review].</w:t>
      </w:r>
    </w:p>
    <w:bookmarkEnd w:id="48"/>
    <w:bookmarkStart w:id="49" w:name="references"/>
    <w:p>
      <w:pPr>
        <w:pStyle w:val="Heading2"/>
      </w:pPr>
      <w:r>
        <w:t xml:space="preserve">References</w:t>
      </w:r>
    </w:p>
    <w:p>
      <w:pPr>
        <w:pStyle w:val="FirstParagraph"/>
      </w:pPr>
      <w:r>
        <w:t xml:space="preserve">[On 14 October 2026 the journal articles, the Clauset chapter, the Leetaru and Schrodt paper and Richardson (1960) were checked against Crossref, publisher or library records. The textbooks (Austin, Cameron and Trivedi, Cover and Thomas, Searle) and Holm (1979) were not machine-checked and should be confirmed against the originals before submission.]</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49"/>
    <w:bookmarkStart w:id="50" w:name="appendix-a.-analysis-plans-and-outcomes"/>
    <w:p>
      <w:pPr>
        <w:pStyle w:val="Heading2"/>
      </w:pPr>
      <w:r>
        <w:t xml:space="preserve">Appendix A. Analysis plans and outcomes</w:t>
      </w:r>
    </w:p>
    <w:p>
      <w:pPr>
        <w:pStyle w:val="FirstParagraph"/>
      </w:pPr>
      <w:r>
        <w:t xml:space="preserve">Plans are files in the authors’ repository, dated 13–14 October 2026 in the commit history; the status of each result (confirmatory, amended, exploratory) is in Table 5.</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(de-escalation +0.62 vs placebo 95th pct 0.22; escalation +0.53 vs 0.26); H8a: pre-post drift also exceeds placebo for de-escalation (+0.57, +0.86)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supported for de-escalation (p = 0.0002, 0.030); escalation +0.48% (p = 0.007)</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marginal (p = 0.041; Holm over HI1–HI4 would give 0.16) and not counted as support</w:t>
            </w:r>
          </w:p>
        </w:tc>
      </w:tr>
      <w:tr>
        <w:tc>
          <w:tcPr/>
          <w:p>
            <w:pPr>
              <w:pStyle w:val="Compact"/>
              <w:jc w:val="left"/>
            </w:pPr>
            <w:r>
              <w:t xml:space="preserve">Robustness of the human-label headline</w:t>
            </w:r>
          </w:p>
        </w:tc>
        <w:tc>
          <w:tcPr/>
          <w:p>
            <w:pPr>
              <w:pStyle w:val="Compact"/>
              <w:jc w:val="left"/>
            </w:pPr>
            <w:r>
              <w:t xml:space="preserve">hf/ANALYSIS_PLAN_ROBUST_HEADLINE.md</w:t>
            </w:r>
          </w:p>
        </w:tc>
        <w:tc>
          <w:tcPr/>
          <w:p>
            <w:pPr>
              <w:pStyle w:val="Compact"/>
              <w:jc w:val="left"/>
            </w:pPr>
            <w:r>
              <w:t xml:space="preserve">Direction robust in every variant; post − pre excess borderline and window-dependent (Table 3)</w:t>
            </w:r>
          </w:p>
        </w:tc>
      </w:tr>
    </w:tbl>
    <w:bookmarkEnd w:id="50"/>
    <w:bookmarkStart w:id="51"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51"/>
    <w:bookmarkStart w:id="52"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52"/>
    <w:bookmarkStart w:id="56" w:name="X7a2b0a026ac61b487ce1e6f8f1f69ad89ee9f8b"/>
    <w:p>
      <w:pPr>
        <w:pStyle w:val="Heading2"/>
      </w:pPr>
      <w:r>
        <w:t xml:space="preserve">Appendix D. Exploratory analyses of arrival, events and other self-timed events</w:t>
      </w:r>
    </w:p>
    <w:p>
      <w:pPr>
        <w:pStyle w:val="FirstParagraph"/>
      </w:pPr>
      <w:r>
        <w:t xml:space="preserve">These analyses were run after the main results were seen. Their definitions were fixed in dated plans before the relevant data were downloaded or parsed (Appendix A), but none is confirmatory.</w:t>
      </w:r>
    </w:p>
    <w:bookmarkStart w:id="53"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Appendices E.4–E.5),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pre-registered comparison with matched ordinary accounts is specified (ANALYSIS_PLAN_ACCOUNTS.md)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pre-registered; RESULTS_ARRIVALS_MODELS.md).</w:t>
      </w:r>
    </w:p>
    <w:bookmarkEnd w:id="53"/>
    <w:bookmarkStart w:id="54"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(ANALYSIS_PLAN_EVENTS.md).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54"/>
    <w:bookmarkStart w:id="55"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(ANALYSIS_PLAN_LLM_RELEASES.md; ANALYSIS_PLAN_LLM_STOCK.md).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4.4)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55"/>
    <w:bookmarkEnd w:id="56"/>
    <w:bookmarkStart w:id="65" w:name="X7117f966726966b25e68a4ee9c3836f3668b7b4"/>
    <w:p>
      <w:pPr>
        <w:pStyle w:val="Heading2"/>
      </w:pPr>
      <w:r>
        <w:t xml:space="preserve">Appendix E. Supplementary analyses (model-labelled or exploratory)</w:t>
      </w:r>
    </w:p>
    <w:p>
      <w:pPr>
        <w:pStyle w:val="FirstParagraph"/>
      </w:pPr>
      <w:r>
        <w:t xml:space="preserve">The analyses in this appendix use model labels that humans accept for only about half of the model-agreed signals (Section 4.3; E.5), or were generated from the cases they describe, or were run after the main results were seen. They are not evidence for the information-theoretic account. In particular, the opposite signs of the oil responses in 2026 and 2017–2021 are an unvalidated observation: the 2017–2021 oil sample has model labels only, and the pre-registered test of the proposition that would have made sense of it (P6) was rejected in the opposite direction (E.5).</w:t>
      </w:r>
    </w:p>
    <w:p>
      <w:pPr>
        <w:pStyle w:val="CaptionedFigure"/>
      </w:pPr>
      <w:r>
        <w:drawing>
          <wp:inline>
            <wp:extent cx="5334000" cy="2753032"/>
            <wp:effectExtent b="0" l="0" r="0" t="0"/>
            <wp:docPr descr="Figure 3" title="" id="58" name="Picture"/>
            <a:graphic>
              <a:graphicData uri="http://schemas.openxmlformats.org/drawingml/2006/picture">
                <pic:pic>
                  <pic:nvPicPr>
                    <pic:cNvPr descr="figs/fig3_bar_decomposition.png" id="59" name="Picture"/>
                    <pic:cNvPicPr>
                      <a:picLocks noChangeArrowheads="1" noChangeAspect="1"/>
                    </pic:cNvPicPr>
                  </pic:nvPicPr>
                  <pic:blipFill>
                    <a:blip r:embed="rId57"/>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model-labelled de-escalation posts (mean ± 1 SE); the hour before the post bar already carries +0.36%.</w:t>
      </w:r>
    </w:p>
    <w:bookmarkStart w:id="60" w:name="e.1-earlier-pre-registered-mechanisms"/>
    <w:p>
      <w:pPr>
        <w:pStyle w:val="Heading3"/>
      </w:pPr>
      <w:r>
        <w:t xml:space="preserve">E.1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60"/>
    <w:bookmarkStart w:id="61" w:name="X66cd5ee863ab5a1a78bfd9fd7d21d1587b03d84"/>
    <w:p>
      <w:pPr>
        <w:pStyle w:val="Heading3"/>
      </w:pPr>
      <w:r>
        <w:t xml:space="preserve">E.2 Content analysis (hypothesis generation)</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p>
      <w:pPr>
        <w:pStyle w:val="BodyText"/>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61"/>
    <w:bookmarkStart w:id="62" w:name="Xc55d518a044bbf75c734e1bbadad911bba60243"/>
    <w:p>
      <w:pPr>
        <w:pStyle w:val="Heading3"/>
      </w:pPr>
      <w:r>
        <w:t xml:space="preserve">E.3 Timing surprisal (P7), first source and redundancy (P5)</w:t>
      </w:r>
    </w:p>
    <w:p>
      <w:pPr>
        <w:pStyle w:val="FirstParagraph"/>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(ANALYSIS_PLAN_TIMING.md,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p>
      <w:pPr>
        <w:pStyle w:val="BodyText"/>
      </w:pPr>
      <w:r>
        <w:t xml:space="preserve">The redundancy proposition (P5) was examined as the correlation between novelty and the number of same-topic posts in the previous 24 hours (−0.10, direction as expected, uninformative) and in the held-out re-post test of E.2. For the 30 events that overlap the first-source classification, the mean directional return in the 30 minutes before the post was +0.28% (POST_FIRST, n = 10), +0.66% (OTHER_FIRST, 9), +1.57% (SIMULTANEOUS, 6) and +0.30% (undeterminable, 5); POST_FIRST versus OTHER_FIRST p = 0.90, so the drift does not differ by who reported first.</w:t>
      </w:r>
    </w:p>
    <w:bookmarkEnd w:id="62"/>
    <w:bookmarkStart w:id="63" w:name="X7f75c071481e4d1a882ce628d2a70625f7aea76"/>
    <w:p>
      <w:pPr>
        <w:pStyle w:val="Heading3"/>
      </w:pPr>
      <w:r>
        <w:t xml:space="preserve">E.4 Twitter-era oil and Iran tweets (model labels)</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differed: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were not collected. Finally, the standardized reaction is larger in the 2026 posts (mean 1.39 against 0.84; exploratory permutation p = 0.002); the comparison is confounded with the war and cannot isolate the platform.</w:t>
      </w:r>
    </w:p>
    <w:bookmarkEnd w:id="63"/>
    <w:bookmarkStart w:id="64" w:name="Xfc180e0341532553c9b889b0cbfc6ae9be261b8"/>
    <w:p>
      <w:pPr>
        <w:pStyle w:val="Heading3"/>
      </w:pPr>
      <w:r>
        <w:t xml:space="preserve">E.5 Tariff and trade tweets (model labels; state-dependent sign)</w:t>
      </w:r>
    </w:p>
    <w:p>
      <w:pPr>
        <w:pStyle w:val="FirstParagraph"/>
      </w:pPr>
      <w:r>
        <w:t xml:space="preserve">The state-dependence reading of Appendix E.4 was formed after the oil results, so it could not be tested on them. For the tariff, trade, and China tweets of 2017–2021 (937 original tweets; 632 after the three-hour filter; 410 with a tick window of the S&amp;P 500 index CFD; labels from two model instances, κ = 0.80, human labels for only 150 tweets)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were not analysed.</w:t>
      </w:r>
    </w:p>
    <w:bookmarkEnd w:id="64"/>
    <w:bookmarkEnd w:id="65"/>
    <w:bookmarkEnd w:id="66"/>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33" Type="http://schemas.openxmlformats.org/officeDocument/2006/relationships/image" Target="media/rId33.png"/><Relationship Id="rId57" Type="http://schemas.openxmlformats.org/officeDocument/2006/relationships/image" Target="media/rId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2026-10-14T22:59:30Z</dcterms:created>
  <dcterms:modified xsi:type="dcterms:W3CDTF">2026-10-14T22:59:30Z</dcterms:modified>
</cp:coreProperties>
</file>

<file path=docProps/custom.xml><?xml version="1.0" encoding="utf-8"?>
<Properties xmlns="http://schemas.openxmlformats.org/officeDocument/2006/custom-properties" xmlns:vt="http://schemas.openxmlformats.org/officeDocument/2006/docPropsVTypes"/>
</file>