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online-appendix"/>
    <w:p>
      <w:pPr>
        <w:pStyle w:val="Heading1"/>
      </w:pPr>
      <w:r>
        <w:t xml:space="preserve">Online Appendix</w:t>
      </w:r>
    </w:p>
    <w:p>
      <w:pPr>
        <w:pStyle w:val="FirstParagraph"/>
      </w:pPr>
      <w:r>
        <w:rPr>
          <w:bCs/>
          <w:b/>
        </w:rPr>
        <w:t xml:space="preserve">Fewer Clicks, Not Fewer Searches: Generative AI and the Monetization of Search</w:t>
      </w:r>
    </w:p>
    <w:bookmarkStart w:id="20" w:name="appendix-a.-proofs"/>
    <w:p>
      <w:pPr>
        <w:pStyle w:val="Heading2"/>
      </w:pPr>
      <w:r>
        <w:t xml:space="preserve">Appendix A. Proofs</w:t>
      </w:r>
    </w:p>
    <w:p>
      <w:pPr>
        <w:pStyle w:val="FirstParagraph"/>
      </w:pPr>
      <w:r>
        <w:t xml:space="preserve">Let k ≡ γ/(2t), so x̂ = 1/2 + k(a_E − a_I). The AI profits are π_I = s·x̂·(m_I a_I − c) and π_E = s·(1 − x̂)·(m_E a_E − c).</w:t>
      </w:r>
    </w:p>
    <w:p>
      <w:pPr>
        <w:pStyle w:val="BodyText"/>
      </w:pPr>
      <w:r>
        <w:rPr>
          <w:bCs/>
          <w:b/>
        </w:rPr>
        <w:t xml:space="preserve">Proof of Proposition 1.</w:t>
      </w:r>
      <w:r>
        <w:t xml:space="preserve"> </w:t>
      </w:r>
      <w:r>
        <w:t xml:space="preserve">For the incumbent,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b>
                <m:e>
                  <m:r>
                    <m:t>π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s</m:t>
          </m:r>
          <m:d>
            <m:dPr>
              <m:begChr m:val="["/>
              <m:endChr m:val="]"/>
              <m:sepChr m:val=""/>
              <m:grow/>
            </m:dPr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</m:sub>
              </m:sSub>
              <m:acc>
                <m:accPr>
                  <m:chr m:val="̂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k</m:t>
              </m:r>
              <m:r>
                <m:t>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π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sSubSup>
                <m:e>
                  <m:r>
                    <m:t>a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s</m:t>
          </m:r>
          <m:r>
            <m:t>k</m:t>
          </m:r>
          <m:sSub>
            <m:e>
              <m:r>
                <m:t>m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At a_I = 0, profit is −s·x̂·c &lt; 0 and the derivative is s(m_I x̂ + kc) &gt; 0. A small increase in a_I therefore strictly raises profit, so a_I = 0 is not a best response. The argument for E is symmetric. ∎</w:t>
      </w:r>
    </w:p>
    <w:p>
      <w:pPr>
        <w:pStyle w:val="BodyText"/>
      </w:pPr>
      <w:r>
        <w:rPr>
          <w:bCs/>
          <w:b/>
        </w:rPr>
        <w:t xml:space="preserve">Proof of Proposition 2.</w:t>
      </w:r>
      <w:r>
        <w:t xml:space="preserve"> </w:t>
      </w:r>
      <w:r>
        <w:t xml:space="preserve">Strict concavity implies that best responses are given by the first-order conditions: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  <m:r>
                <m:t>k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2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a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  <m:r>
                <m:t>k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2</m:t>
              </m:r>
              <m:sSub>
                <m:e>
                  <m:r>
                    <m:t>m</m:t>
                  </m:r>
                </m:e>
                <m:sub>
                  <m:r>
                    <m:t>E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Each best response has slope 1/2, so the best-response map is a contraction and the equilibrium is unique. Substituting the second condition into the first gives (3/4)a_I = 3/(8k) + c/(2m_I) + c/(4m_E). Using 1/(2k) = t/γ yields the stated a_I^e; a_E^e follows by symmetry. Then a_E^e − a_I^e = (c/3)(1/m_E − 1/m_I), which gives x̂^e.</w:t>
      </w:r>
    </w:p>
    <w:p>
      <w:pPr>
        <w:pStyle w:val="BodyText"/>
      </w:pPr>
      <w:r>
        <w:t xml:space="preserve">From the incumbent’s first-order condition, m_I a_I − c = m_I x̂/k = 2t·m_I·x̂/γ. Hence π_I = s·x̂·(2t·m_I·x̂/γ) = s·(2t·m_I/γ)·x̂².</w:t>
      </w:r>
    </w:p>
    <w:p>
      <w:pPr>
        <w:numPr>
          <w:ilvl w:val="0"/>
          <w:numId w:val="1001"/>
        </w:numPr>
        <w:pStyle w:val="Compact"/>
      </w:pPr>
      <w:r>
        <w:t xml:space="preserve">With m_I = m_E = m, a^e = t/γ + c/m; the comparative statics are immediate. (b) The margin is m·a^e − c = m·t/γ and x̂^e = 1/2, so profit is s·m·t/(2γ), independent of c; and ∂(m·a^e)/∂c = 1. (c) If m_I &gt; m_E, then a_I^e − a_E^e = (c/3)(1/m_I − 1/m_E) &lt; 0 and x̂^e &gt; 1/2. Interiority requires (γc/(6t))·|1/m_E − 1/m_I| &lt; 1/2. ∎</w:t>
      </w:r>
    </w:p>
    <w:p>
      <w:pPr>
        <w:pStyle w:val="FirstParagraph"/>
      </w:pPr>
      <w:r>
        <w:rPr>
          <w:bCs/>
          <w:b/>
        </w:rPr>
        <w:t xml:space="preserve">Proof of Proposition 3.</w:t>
      </w:r>
      <w:r>
        <w:t xml:space="preserve"> </w:t>
      </w:r>
      <w:r>
        <w:t xml:space="preserve">With a_E = 0 and m_I = m, the incumbent’s best response is a_I = 1/(4k) + c/(2m) = t/(2γ) + c/(2m). Then x̂ = 1/2 − k·a_I = 1/4 − γc/(4tm), which is positive if and only if m·t &gt; γ·c. The margin is m·a_I − c = (m·t − γ·c)/(2γ), and x̂ = (m·t − γ·c)/(4tm). Multiplying gives π_I = s(m t − γ c)²/(8γ m t). Dividing by the symmetric-equilibrium profit s·m·t/(2γ) gives (1/4)(1 − γc/(mt))² ≤ 1/4. The entrant’s profit is −s(1 − x̂)c &lt; 0. ∎</w:t>
      </w:r>
    </w:p>
    <w:p>
      <w:pPr>
        <w:pStyle w:val="BodyText"/>
      </w:pPr>
      <w:r>
        <w:rPr>
          <w:bCs/>
          <w:b/>
        </w:rPr>
        <w:t xml:space="preserve">Proof of Proposition 4.</w:t>
      </w:r>
      <w:r>
        <w:t xml:space="preserve"> </w:t>
      </w:r>
      <w:r>
        <w:t xml:space="preserve">Equilibrium ad intensities do not depend on s, because s multiplies both AI profit functions. Write π_I^AI = s·φ, where φ is the incumbent’s equilibrium AI profit per AI-amenable query. Then Π_I = (1 − s)R + sφ and dΠ_I/ds = φ − R. (i) With a_I = 0, φ = −x̂c &lt; 0, so dΠ_I/ds &lt; −R &lt; 0 and Π_I → −x̂c &lt; 0 as s → 1. (ii) In the symmetric equilibrium φ = m·t/(2γ), so dΠ_I/ds ≥ 0 if and only if m ≥ 2γR/t. ∎</w:t>
      </w:r>
    </w:p>
    <w:p>
      <w:pPr>
        <w:pStyle w:val="BodyText"/>
      </w:pPr>
      <w:r>
        <w:rPr>
          <w:bCs/>
          <w:b/>
        </w:rPr>
        <w:t xml:space="preserve">Proof of Proposition 5.</w:t>
      </w:r>
      <w:r>
        <w:t xml:space="preserve"> </w:t>
      </w:r>
      <w:r>
        <w:t xml:space="preserve">Each platform takes m as given, so the first-order conditions of Proposition 2 apply with m_I = m_E = m. In the symmetric equilibrium, a = t/γ + c/m and x̂ = 1/2, so A = (1 − s)ā + s(t/γ + c/m). Substituting into m = μ − ηA and multiplying by m gives m² − Bm + ηsc = 0. Real roots exist if B² ≥ 4ηsc. The larger root is the stable one: there, 2m − B = √(B² − 4ηsc) &gt; 0, which is equivalent to 1 − ηsc/m² &gt; 0. Differentiating the quadratic in c gives (2m − B)·dm/dc = −ηs, hence dm/dc = −ηs/√(B² − 4ηsc) &lt; 0. Incumbent AI profit s·m·t/(2γ) and legacy revenue (1 − s)mā are increasing in m and therefore decrease in c. ∎</w:t>
      </w:r>
    </w:p>
    <w:p>
      <w:pPr>
        <w:pStyle w:val="BodyText"/>
      </w:pPr>
      <w:r>
        <w:rPr>
          <w:bCs/>
          <w:b/>
        </w:rPr>
        <w:t xml:space="preserve">Proof of Proposition 6.</w:t>
      </w:r>
      <w:r>
        <w:t xml:space="preserve"> </w:t>
      </w:r>
      <w:r>
        <w:t xml:space="preserve">Holding a_I fixed, differentiate Π_I with respect to a_E. Through x̂, the AI term changes by s·k·(m a_I − c). Through m, the legacy and AI terms change by [(1 − s)ā + s x̂ a_I]·∂m/∂a_E = V_I·∂m/∂a_E, where ∂m/∂a_E = −η·∂A/∂a_E = −ηs[(1 − x̂) + k(a_I − a_E)]. The incumbent’s first-order condition (with m given) is k(m a_I − c) = m x̂. Substituting yields the stated expression. At the symmetric equilibrium, x̂ = 1/2 and a_I = a_E, so ∂Π_I/∂a_E = (s/2)(m − ηV_I). This is positive if and only if ηV_I/m &lt; 1. Writing ηV_I/m = (ηA/m)(V_I/A) = εw_I gives the condition. ∎</w:t>
      </w:r>
    </w:p>
    <w:p>
      <w:pPr>
        <w:pStyle w:val="BodyText"/>
      </w:pPr>
      <w:r>
        <w:rPr>
          <w:bCs/>
          <w:b/>
        </w:rPr>
        <w:t xml:space="preserve">Proof of Proposition 7.</w:t>
      </w:r>
      <w:r>
        <w:t xml:space="preserve"> </w:t>
      </w:r>
      <w:r>
        <w:t xml:space="preserve">In the symmetric equilibrium, the incumbent’s AI margin is m·a − c = m·t/γ and its share is 1/2, so Π_I = (1 − s)mā + s·m·t/(2γ) = mΛ. Then dΠ_I/ds = m·Λ’(s) + Λ·m’(s), with Λ’(s) = t/(2γ) − ā. Differentiating m = μ − η[(1 − s)ā + s(t/γ + c/m)] with respect to s gives m’ = η(ā − a) + ηsc·m’/m², so m’ = η(ā − a)/(1 − ηsc/m²). The denominator is positive at the stable root (Proposition 5), so m’ has the sign of ā − a. With η = 0, the condition dΠ_I/ds ≥ 0 reduces to t/(2γ) ≥ ā, that is, m·t/(2γ) ≥ mā = R, as in Proposition 4. ∎</w:t>
      </w:r>
    </w:p>
    <w:p>
      <w:pPr>
        <w:pStyle w:val="BodyText"/>
      </w:pPr>
      <w:r>
        <w:rPr>
          <w:bCs/>
          <w:b/>
        </w:rPr>
        <w:t xml:space="preserve">Proof of the Lemma in Section 4.6.</w:t>
      </w:r>
      <w:r>
        <w:t xml:space="preserve"> </w:t>
      </w:r>
      <w:r>
        <w:t xml:space="preserve">With the incumbent’s format fixed, x̂ = 1/2 + (γa_E − g)/(2t), and the entrant maximizes s(1 − x̂)(m a_E − c), which is strictly concave in a_E. The first-order condition is m(1 − x̂) = k(m a_E − c) with k = γ/(2t). Substituting 1 − x̂ = 1/2 − k a_E + g/(2t) gives a_E = (t + g)/(2γ) + c/(2m). Then γa_E = (t + g)/2 + γc/(2m), and x̂ = 1/2 + [(t + g)/2 + γc/(2m) − g]/(2t) = (3t − g)/(4t) + γc/(4tm). The incumbent earns r on each of its x̂ queries. ∎</w:t>
      </w:r>
    </w:p>
    <w:p>
      <w:pPr>
        <w:pStyle w:val="BodyText"/>
      </w:pPr>
      <w:r>
        <w:rPr>
          <w:bCs/>
          <w:b/>
        </w:rPr>
        <w:t xml:space="preserve">Proof of Proposition 8.</w:t>
      </w:r>
      <w:r>
        <w:t xml:space="preserve"> </w:t>
      </w:r>
      <w:r>
        <w:t xml:space="preserve">(i) Summaries dominate links if (R − c_O)x̂(Δ − Δ_O) &gt; R·x̂(Δ). Multiplying by 4t and rearranging gives RΔ_O &gt; c_O(3t − Δ + Δ_O + γc/m). (ii) Full answers dominate summaries if m·t/(2γ) ≥ (R − c_O)·[(3t − Δ_H)/(4t) + γc/(4tm)]. Multiplying by 4t/(R − c_O) gives 2mt²/(γ(R − c_O)) ≥ 3t − Δ_H + γc/m, which rearranges to Δ_H ≥ Δ_H*. (iii) ∂Δ_H*/∂R = 2mt²/(γ(R − c_O)²) &gt; 0; ∂Δ_H*/∂c = γ/m &gt; 0; ∂Δ_H*/∂m = −γc/m² − 2t²/(γ(R − c_O)) &lt; 0; ∂Δ_H*/∂c_O = −2mt²/(γ(R − c_O)²) &lt; 0. The corollary follows because Δ_H* is finite while m·t/(2γ) &lt; R is a separate restriction on parameters; both can hold at once (for example, t = γ = 1, m = 2, c = 0.3, R = 1.4, c_O = 0.05 gives Δ_H* ≈ 0.19 and m·t/(2γ) = 1 &lt; R). ∎</w:t>
      </w:r>
    </w:p>
    <w:p>
      <w:pPr>
        <w:pStyle w:val="BodyText"/>
      </w:pPr>
      <w:r>
        <w:rPr>
          <w:bCs/>
          <w:b/>
        </w:rPr>
        <w:t xml:space="preserve">Proof of Proposition 9.</w:t>
      </w:r>
      <w:r>
        <w:t xml:space="preserve"> </w:t>
      </w:r>
      <w:r>
        <w:t xml:space="preserve">Fix a date d and let h(σ, d) = σ[π_A − (R_0 − c_O)x̂_H(d)] − R_1x̂_H(d)σ². Since R_1x̂_H(d) &gt; 0, h is strictly concave in σ, so the set S(d) = {σ : h(σ, d) ≥ K} is an interval, possibly empty. Moreover ∂h/∂d = −x̂_H’(d)[(R_0 − c_O)σ + R_1σ²] &gt; 0 for σ &gt; 0, because x̂_H’ &lt; 0 and R_0 &gt; c_O; hence S(d) ⊆ S(d’) for d &lt; d’. The lower contour sets of the switching date, {σ : D(σ, K) ≤ d} = S(d), are therefore nested intervals, which is the definition of quasi-convexity of D in σ and gives part (i). For part (ii), a higher K shrinks S(d) at every d, so D weakly rises. Part (iii) follows because an engine outside every S(d) never satisfies the switching condition, and a fall in K enlarges every S(d). ∎</w:t>
      </w:r>
    </w:p>
    <w:p>
      <w:pPr>
        <w:pStyle w:val="BodyText"/>
      </w:pPr>
      <w:r>
        <w:rPr>
          <w:bCs/>
          <w:b/>
        </w:rPr>
        <w:t xml:space="preserve">Proof of Proposition 10.</w:t>
      </w:r>
      <w:r>
        <w:t xml:space="preserve"> </w:t>
      </w:r>
      <w:r>
        <w:t xml:space="preserve">G is continuous and decreasing in θ, and T is continuous and decreasing in ω, so Φ = T ∘ G is continuous and increasing. Since ω ∈ [0, 1], Φ maps [q, θ̄] into itself, where θ̄ = 1 − (1 − q)ζ, and by Brouwer’s theorem (or Tarski’s, since Φ is increasing) a fixed point exists. (i) At a fixed point, θ = 1 − (1 − q)[ζ + (1 − ζ)ω], so θ − q = (1 − q)(1 − ζ)(1 − ω) ≥ 0, decreasing in ω. (ii) At the lower end of the interval Φ(q) ≥ q, and at the upper end Φ(θ̄) ≤ θ̄. If Φ crosses the 45-degree line from below at an interior fixed point θ₂, continuity implies at least one fixed point in [q, θ₂) where Φ crosses from above and one in (θ₂, θ̄]. Under the adjustment θ_{n+1} = Φ(θ_n), fixed points where Φ crosses from above are stable and θ₂ is unstable; the lowest has the most clicks (vigilant) and the highest the fewest (complacent). (iii) If e/(1 − q) exceeds the upper bound of the support of F, then G(θ) = 0 for all θ ≥ q, so Φ is constant at θ̄, its unique fixed point. (iv) Φ is decreasing in ζ at every θ. For ζ large enough, Φ lies below the 45-degree line on (θ₂, θ̄], so the monotone sequence θ_n falls below θ₂ in finite time. When ζ returns to its original value, θ_n lies in the basin of the vigilant equilibrium and converges to it. ∎</w:t>
      </w:r>
    </w:p>
    <w:bookmarkEnd w:id="20"/>
    <w:bookmarkStart w:id="21" w:name="appendix-b.-data-and-replication-package"/>
    <w:p>
      <w:pPr>
        <w:pStyle w:val="Heading2"/>
      </w:pPr>
      <w:r>
        <w:t xml:space="preserve">Appendix B. Data and Replication Package</w:t>
      </w:r>
    </w:p>
    <w:p>
      <w:pPr>
        <w:pStyle w:val="FirstParagraph"/>
      </w:pPr>
      <w:r>
        <w:t xml:space="preserve">All analyses use publicly available data. The replication package (replication_package.zip) contains the data-collection scripts, the analysis scripts that produce each table and figure, the numerical examples for Propositions 8–10, small hand-coded datasets (event dates, rollout dates by edition and country, launch dates and revenue for 17 search engines), and the processed data for the trust-shock analysis. Its README maps every script to the corresponding table or figure and lists data sources, access dates, run order, and software requirements.</w:t>
      </w:r>
    </w:p>
    <w:p>
      <w:pPr>
        <w:pStyle w:val="BodyText"/>
      </w:pPr>
      <w:r>
        <w:t xml:space="preserve">Raw data that third parties do not permit us to redistribute (for example, Google Trends extracts and Wikimedia hourly dump files) are re-downloaded by the collection scripts. Google Trends is rate-limited and returns sampled indices, so re-downloaded series can differ slightly from ours.</w:t>
      </w:r>
    </w:p>
    <w:p>
      <w:pPr>
        <w:pStyle w:val="BodyText"/>
      </w:pPr>
      <w:r>
        <w:rPr>
          <w:bCs/>
          <w:b/>
        </w:rPr>
        <w:t xml:space="preserve">Data sources.</w:t>
      </w:r>
      <w:r>
        <w:t xml:space="preserve"> </w:t>
      </w:r>
      <w:r>
        <w:t xml:space="preserve">Wikimedia hourly projectviews dumps (dumps.wikimedia.org); Google Trends (via pytrends); Eurostat datasets isoc_ai_iaiu and isoc_ci_ifp_fu; World Bank World Development Indicators (NY.GDP.PCAP.CD, IT.NET.USER.ZS, SP.POP.TOTL); StatCounter Global Stats; Alphabet, Meta, and Microsoft filings on SEC EDGAR (Forms 8-K, 10-Q, XBRL); daily stock prices for the event study; and launch dates from company announcements, archived help pages, and trade press as cited in the text. All sources were accessed in October 2026.</w:t>
      </w:r>
    </w:p>
    <w:p>
      <w:pPr>
        <w:pStyle w:val="BodyText"/>
      </w:pPr>
      <w:r>
        <w:rPr>
          <w:bCs/>
          <w:b/>
        </w:rPr>
        <w:t xml:space="preserve">Figure data.</w:t>
      </w:r>
      <w:r>
        <w:t xml:space="preserve"> </w:t>
      </w:r>
      <w:r>
        <w:t xml:space="preserve">The values plotted in Figures 1–5 are provided in figures/figure_data/ together with the plotting script (make_figures.py).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731">
    <w:nsid w:val="A99731"/>
    <w:multiLevelType w:val="multilevel"/>
    <w:lvl w:ilvl="0">
      <w:start w:val="1"/>
      <w:numFmt w:val="lowerLetter"/>
      <w:lvlText w:val="(%1)"/>
      <w:lvlJc w:val="left"/>
      <w:pPr>
        <w:ind w:left="720" w:hanging="480"/>
      </w:pPr>
    </w:lvl>
    <w:lvl w:ilvl="1">
      <w:start w:val="1"/>
      <w:numFmt w:val="lowerLetter"/>
      <w:lvlText w:val="(%2)"/>
      <w:lvlJc w:val="left"/>
      <w:pPr>
        <w:ind w:left="1440" w:hanging="480"/>
      </w:pPr>
    </w:lvl>
    <w:lvl w:ilvl="2">
      <w:start w:val="1"/>
      <w:numFmt w:val="lowerLetter"/>
      <w:lvlText w:val="(%3)"/>
      <w:lvlJc w:val="left"/>
      <w:pPr>
        <w:ind w:left="2160" w:hanging="480"/>
      </w:pPr>
    </w:lvl>
    <w:lvl w:ilvl="3">
      <w:start w:val="1"/>
      <w:numFmt w:val="lowerLetter"/>
      <w:lvlText w:val="(%4)"/>
      <w:lvlJc w:val="left"/>
      <w:pPr>
        <w:ind w:left="2880" w:hanging="480"/>
      </w:pPr>
    </w:lvl>
    <w:lvl w:ilvl="4">
      <w:start w:val="1"/>
      <w:numFmt w:val="lowerLetter"/>
      <w:lvlText w:val="(%5)"/>
      <w:lvlJc w:val="left"/>
      <w:pPr>
        <w:ind w:left="3600" w:hanging="480"/>
      </w:pPr>
    </w:lvl>
    <w:lvl w:ilvl="5">
      <w:start w:val="1"/>
      <w:numFmt w:val="lowerLetter"/>
      <w:lvlText w:val="(%6)"/>
      <w:lvlJc w:val="left"/>
      <w:pPr>
        <w:ind w:left="4320" w:hanging="480"/>
      </w:pPr>
    </w:lvl>
    <w:lvl w:ilvl="6">
      <w:start w:val="1"/>
      <w:numFmt w:val="lowerLetter"/>
      <w:lvlText w:val="(%7)"/>
      <w:lvlJc w:val="left"/>
      <w:pPr>
        <w:ind w:left="5040" w:hanging="480"/>
      </w:pPr>
    </w:lvl>
    <w:lvl w:ilvl="7">
      <w:start w:val="1"/>
      <w:numFmt w:val="lowerLetter"/>
      <w:lvlText w:val="(%8)"/>
      <w:lvlJc w:val="left"/>
      <w:pPr>
        <w:ind w:left="5760" w:hanging="480"/>
      </w:pPr>
    </w:lvl>
    <w:lvl w:ilvl="8">
      <w:start w:val="1"/>
      <w:numFmt w:val="lowerLetter"/>
      <w:lvlText w:val="(%9)"/>
      <w:lvlJc w:val="left"/>
      <w:pPr>
        <w:ind w:left="6480" w:hanging="48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480" w:lineRule="auto"/>
    </w:pPr>
    <w:rPr>
      <w:rFonts w:ascii="Times New Roman" w:cs="Times New Roman" w:eastAsia="Times New Roman" w:hAnsi="Times New Roman"/>
      <w:sz w:val="24"/>
    </w:rPr>
  </w:style>
  <w:style w:styleId="BodyText" w:type="paragraph">
    <w:name w:val="Body Text"/>
    <w:basedOn w:val="Normal"/>
    <w:link w:val="BodyTextChar"/>
    <w:pPr>
      <w:spacing w:after="180" w:before="180" w:line="480" w:lineRule="auto"/>
    </w:pPr>
    <w:qFormat/>
    <w:rPr>
      <w:rFonts w:ascii="Times New Roman" w:cs="Times New Roman" w:eastAsia="Times New Roman" w:hAnsi="Times New Roman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line="480" w:lineRule="auto"/>
    </w:pPr>
    <w:rPr>
      <w:rFonts w:ascii="Times New Roman" w:cs="Times New Roman" w:eastAsia="Times New Roman" w:hAnsi="Times New Roman"/>
      <w:sz w:val="24"/>
    </w:rPr>
  </w:style>
  <w:style w:customStyle="1" w:styleId="Compact" w:type="paragraph">
    <w:name w:val="Compact"/>
    <w:basedOn w:val="BodyText"/>
    <w:qFormat/>
    <w:pPr>
      <w:spacing w:after="36" w:before="36" w:line="240" w:lineRule="auto"/>
    </w:pPr>
    <w:rPr>
      <w:rFonts w:ascii="Times New Roman" w:cs="Times New Roman" w:eastAsia="Times New Roman" w:hAnsi="Times New Roman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imes New Roman" w:cs="Times New Roman" w:eastAsia="Times New Roman" w:hAnsi="Times New Roman"/>
      <w:b/>
      <w:bCs/>
      <w:color w:val="000000"/>
      <w:sz w:val="3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Times New Roman" w:cs="Times New Roman" w:eastAsia="Times New Roman" w:hAnsi="Times New Roman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Times New Roman" w:cs="Times New Roman" w:eastAsia="Times New Roman" w:hAnsi="Times New Roman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cs="Times New Roman" w:eastAsia="Times New Roman" w:hAnsi="Times New Roma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cs="Times New Roman" w:eastAsia="Times New Roman" w:hAnsi="Times New Roma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cs="Times New Roman" w:eastAsia="Times New Roman" w:hAnsi="Times New Roman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pPr>
      <w:spacing w:line="240" w:lineRule="auto"/>
    </w:pPr>
    <w:rPr>
      <w:rFonts w:ascii="Times New Roman" w:cs="Times New Roman" w:eastAsia="Times New Roman" w:hAnsi="Times New Roman"/>
      <w:sz w:val="2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cs="Times New Roman" w:eastAsia="Times New Roman" w:hAnsi="Times New Roman"/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Pr>
      <w:rFonts w:ascii="Times New Roman" w:cs="Times New Roman" w:eastAsia="Times New Roman" w:hAnsi="Times New Roman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2026-10-31T00:57:37Z</dcterms:created>
  <dcterms:modified xsi:type="dcterms:W3CDTF">2026-10-31T00:57:37Z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