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Cover</w:t>
      </w:r>
      <w:r>
        <w:t xml:space="preserve"> </w:t>
      </w:r>
      <w:r>
        <w:t xml:space="preserve">letter</w:t>
      </w:r>
    </w:p>
    <w:p>
      <w:pPr>
        <w:pStyle w:val="FirstParagraph"/>
      </w:pPr>
      <w:r>
        <w:t xml:space="preserve">[Date]</w:t>
      </w:r>
    </w:p>
    <w:p>
      <w:pPr>
        <w:pStyle w:val="BodyText"/>
      </w:pPr>
      <w:r>
        <w:t xml:space="preserve">Dear Editor-in-Chief of</w:t>
      </w:r>
      <w:r>
        <w:t xml:space="preserve"> </w:t>
      </w:r>
      <w:r>
        <w:rPr>
          <w:iCs/>
          <w:i/>
        </w:rPr>
        <w:t xml:space="preserve">Information &amp; Management</w:t>
      </w:r>
      <w:r>
        <w:t xml:space="preserve">,</w:t>
      </w:r>
    </w:p>
    <w:p>
      <w:pPr>
        <w:pStyle w:val="BodyText"/>
      </w:pPr>
      <w:r>
        <w:t xml:space="preserve">We submit the manuscript</w:t>
      </w:r>
      <w:r>
        <w:t xml:space="preserve"> </w:t>
      </w:r>
      <w:r>
        <w:t xml:space="preserve">“</w:t>
      </w:r>
      <w:r>
        <w:t xml:space="preserve">Do Releases Respond to Degradation? Evidence from the Open-Source LLM Tooling Ecosystem</w:t>
      </w:r>
      <w:r>
        <w:t xml:space="preserve">”</w:t>
      </w:r>
      <w:r>
        <w:t xml:space="preserve"> </w:t>
      </w:r>
      <w:r>
        <w:t xml:space="preserve">for consideration as a research article.</w:t>
      </w:r>
    </w:p>
    <w:p>
      <w:pPr>
        <w:pStyle w:val="BodyText"/>
      </w:pPr>
      <w:r>
        <w:t xml:space="preserve">Organizations that depend on third-party AI components often use release frequency as evidence that software is actively maintained, and dependency-health metrics such as CHAOSS, Snyk, and OpenSSF Scorecard build it in. We ask whether that inference holds. Drawing on signaling theory and on the distinction between state-dependent and time-dependent adjustment, we derive from a Poisson model of accumulating errors when cadence would be a valid signal, and we test the implications on issue, release, pull-request, and commit histories for 19 widely used open-source LLM tooling repositories (3,432 repository-weeks; 2,456 releases).</w:t>
      </w:r>
    </w:p>
    <w:p>
      <w:pPr>
        <w:pStyle w:val="BodyText"/>
      </w:pPr>
      <w:r>
        <w:t xml:space="preserve">We find that bug reports do not measurably rise with the age of a release, that releases respond to the volume of user issues without a response to bug reports that can be distinguished from overall volume, that releases follow upstream model launches within days in exploratory daily-resolution analyses, and that they tend to follow accumulated work. Release cadence therefore carries information about responsiveness to users and to upstream changes, and not demonstrably about responsiveness to degradation. We report confidence intervals, equivalence tests, and minimum detectable effects for the null results, and we state the limits of the evidence, including that the repositories are tooling and not deployed models.</w:t>
      </w:r>
    </w:p>
    <w:p>
      <w:pPr>
        <w:pStyle w:val="BodyText"/>
      </w:pPr>
      <w:r>
        <w:t xml:space="preserve">The manuscript is original, is not under review elsewhere, and has been submitted in anonymized form with a separate title page. [AUTHORS TO CONFIRM.] We declare our use of generative AI in the manuscript, as the journal requires. [AUTHORS TO CONFIRM.]</w:t>
      </w:r>
    </w:p>
    <w:p>
      <w:pPr>
        <w:pStyle w:val="BodyText"/>
      </w:pPr>
      <w:r>
        <w:t xml:space="preserve">Sincerely,</w:t>
      </w:r>
    </w:p>
    <w:p>
      <w:pPr>
        <w:pStyle w:val="BodyText"/>
      </w:pPr>
      <w:r>
        <w:t xml:space="preserve">[Corresponding author name, affiliation, e-mail]</w:t>
      </w:r>
    </w:p>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0" w:before="0" w:line="276" w:lineRule="auto"/>
      <w:ind w:firstLine="72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276" w:lineRule="auto" w:after="0" w:before="0"/>
      <w:ind w:firstLine="720"/>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hAnsi="Times New Roman" w:eastAsia="Times New Roman" w:cs="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40" w:lineRule="auto"/>
      <w:outlineLvl w:val="0"/>
    </w:pPr>
    <w:rPr>
      <w:rFonts w:ascii="Times New Roman" w:hAnsi="Times New Roman" w:eastAsia="Times New Roman" w:cs="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hAnsi="Times New Roman" w:eastAsia="Times New Roman" w:cs="Times New Roman"/>
      <w:b/>
      <w:bCs/>
      <w:i/>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2026-10-27T06:39:18Z</dcterms:created>
  <dcterms:modified xsi:type="dcterms:W3CDTF">2026-10-27T06:39:18Z</dcterms:modified>
</cp:coreProperties>
</file>

<file path=docProps/custom.xml><?xml version="1.0" encoding="utf-8"?>
<Properties xmlns="http://schemas.openxmlformats.org/officeDocument/2006/custom-properties" xmlns:vt="http://schemas.openxmlformats.org/officeDocument/2006/docPropsVTypes"/>
</file>