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Do</w:t>
      </w:r>
      <w:r>
        <w:t xml:space="preserve"> </w:t>
      </w:r>
      <w:r>
        <w:t xml:space="preserve">Releases</w:t>
      </w:r>
      <w:r>
        <w:t xml:space="preserve"> </w:t>
      </w:r>
      <w:r>
        <w:t xml:space="preserve">Respond</w:t>
      </w:r>
      <w:r>
        <w:t xml:space="preserve"> </w:t>
      </w:r>
      <w:r>
        <w:t xml:space="preserve">to</w:t>
      </w:r>
      <w:r>
        <w:t xml:space="preserve"> </w:t>
      </w:r>
      <w:r>
        <w:t xml:space="preserve">Degradation?</w:t>
      </w:r>
      <w:r>
        <w:t xml:space="preserve"> </w:t>
      </w:r>
      <w:r>
        <w:t xml:space="preserve">Evidence</w:t>
      </w:r>
      <w:r>
        <w:t xml:space="preserve"> </w:t>
      </w:r>
      <w:r>
        <w:t xml:space="preserve">from</w:t>
      </w:r>
      <w:r>
        <w:t xml:space="preserve"> </w:t>
      </w:r>
      <w:r>
        <w:t xml:space="preserve">the</w:t>
      </w:r>
      <w:r>
        <w:t xml:space="preserve"> </w:t>
      </w:r>
      <w:r>
        <w:t xml:space="preserve">Open-Source</w:t>
      </w:r>
      <w:r>
        <w:t xml:space="preserve"> </w:t>
      </w:r>
      <w:r>
        <w:t xml:space="preserve">LLM</w:t>
      </w:r>
      <w:r>
        <w:t xml:space="preserve"> </w:t>
      </w:r>
      <w:r>
        <w:t xml:space="preserve">Tooling</w:t>
      </w:r>
      <w:r>
        <w:t xml:space="preserve"> </w:t>
      </w:r>
      <w:r>
        <w:t xml:space="preserve">Ecosystem</w:t>
      </w:r>
    </w:p>
    <w:bookmarkStart w:id="20" w:name="abstract"/>
    <w:p>
      <w:pPr>
        <w:pStyle w:val="Heading1"/>
        <w:ind w:firstLine="0"/>
      </w:pPr>
      <w:r>
        <w:t xml:space="preserve">Abstract</w:t>
      </w:r>
    </w:p>
    <w:p>
      <w:pPr>
        <w:pStyle w:val="FirstParagraph"/>
      </w:pPr>
      <w:r>
        <w:t xml:space="preserve">Organizations increasingly deploy systems built on large language models (LLMs) and are expected to refresh them as the world drifts away from their training data, yet little is known about what triggers a refresh. Release frequency is widely read as a signal of responsive maintenance and is built into dependency-health metrics. Drawing on signaling theory and on the distinction between state-dependent and time-dependent adjustment in price setting, we derive from a Poisson model of accumulating errors when cadence would be a valid signal, and test the implications on weekly issue, release, pull-request, and commit histories for 19 widely used open-source repositories in the LLM tooling ecosystem (3,432 repository-weeks; 2,456 releases). Bug reports show no measurable rise with the time since the last release relative to total issues, although an accumulation of up to about 3.9 percent per week cannot be excluded once the post-release burst of attention is absorbed. Release probabilities rise with the volume of user issues but show no significant additional response to bug reports at a given volume. In exploratory daily-resolution analyses, repositories exposed to one of 38 upstream model launches release sooner after it, a response weekly data do not show. The release hazard also tends to rise with the stock of merged changes. Release cadence therefore carries information about responsiveness to users, to upstream launches, and to accumulated work, but the data do not identify it as a signal of responsiveness to degradation specifically. Detecting degradation requires performance data that public repositories lack.</w:t>
      </w:r>
    </w:p>
    <w:p>
      <w:pPr>
        <w:pStyle w:val="BodyText"/>
        <w:ind w:firstLine="0"/>
      </w:pPr>
      <w:r>
        <w:rPr>
          <w:bCs/>
          <w:b/>
        </w:rPr>
        <w:t xml:space="preserve">Keywords:</w:t>
      </w:r>
      <w:r>
        <w:t xml:space="preserve"> </w:t>
      </w:r>
      <w:r>
        <w:t xml:space="preserve">open-source software; artificial intelligence; software maintenance; signaling theory; state-dependent adjustment; hazard models</w:t>
      </w:r>
    </w:p>
    <w:bookmarkEnd w:id="20"/>
    <w:bookmarkStart w:id="21" w:name="introduction"/>
    <w:p>
      <w:pPr>
        <w:pStyle w:val="Heading1"/>
        <w:ind w:firstLine="0"/>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 A high release frequency is treated as evidence that a project is actively maintained, both by practitioners and by widely used project-health metrics (Section 2.4), and it is easily read as evidence that degradation is being managed. Our results do not support the second half of this inference in the open-source LLM tooling ecosystem. Bug reports show no measurable rise with release age relative to total issues, releases respond to user issues, but a response to bug reports cannot be distinguished from a response to overall issue volume, and they respond within days to upstream model launches. Release timing also tends to track the accumulation of merged work. Release cadence therefore looks more like a signal of responsiveness to users, to upstream launches, and to development work than a signal of responsiveness to system deterioration specifically—a distinction that matters for the design of monitoring and governance of deployed AI systems.</w:t>
      </w:r>
    </w:p>
    <w:p>
      <w:pPr>
        <w:pStyle w:val="BodyText"/>
      </w:pPr>
      <w:r>
        <w:t xml:space="preserve">We frame the question as one of signal validity. Release frequency is an observable signal that buyers, auditors, and regulators read as a sign of an unobservable quality, namely how responsively a system is maintained (Spence 1973, Connelly et al. 2011). A signal is informative about that quality only if it differs systematically between responsive and unresponsive maintainers. If release timing responds to degradation, cadence carries information about responsiveness. If release timing follows accumulated work, overall user activity, or the calendar, a high cadence can be as likely among maintainers who do not respond to degradation as among those who do, and reading it as evidence that degradation is managed is an error of inference. The distinction between state-dependent and time-dependent adjustment gives this question testable content: state dependence in errors is the condition under which cadence is a valid signal of responsiveness to degradation, as distinct from responsiveness to users or to accumulated work.</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Cs/>
          <w:b/>
        </w:rPr>
        <w:t xml:space="preserve">RQ1.</w:t>
      </w:r>
      <w:r>
        <w:t xml:space="preserve"> </w:t>
      </w:r>
      <w:r>
        <w:t xml:space="preserve">Does the weekly rate of bug reports rise with the time since the last release? A positive answer would mean that there is an accumulating state to which a maintainer could respond.</w:t>
      </w:r>
    </w:p>
    <w:p>
      <w:pPr>
        <w:pStyle w:val="BodyText"/>
      </w:pPr>
      <w:r>
        <w:rPr>
          <w:bCs/>
          <w:b/>
        </w:rPr>
        <w:t xml:space="preserve">RQ2.</w:t>
      </w:r>
      <w:r>
        <w:t xml:space="preserve"> </w:t>
      </w:r>
      <w:r>
        <w:t xml:space="preserve">Does the probability of a release rise with the time since the last release, as state-dependent rules imply, or is it flat in age, as time-dependent rules imply?</w:t>
      </w:r>
    </w:p>
    <w:p>
      <w:pPr>
        <w:pStyle w:val="BodyText"/>
      </w:pPr>
      <w:r>
        <w:rPr>
          <w:bCs/>
          <w:b/>
        </w:rPr>
        <w:t xml:space="preserve">RQ3.</w:t>
      </w:r>
      <w:r>
        <w:t xml:space="preserve"> </w:t>
      </w:r>
      <w:r>
        <w:t xml:space="preserve">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Cs/>
          <w:b/>
        </w:rPr>
        <w:t xml:space="preserve">RQ4.</w:t>
      </w:r>
      <w:r>
        <w:t xml:space="preserve"> </w:t>
      </w:r>
      <w:r>
        <w:t xml:space="preserve">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that bug reports do not rise measurably with the age of a release. The pooled slope is close to zero when bug reports are measured relative to total issues (−0.003 per week; 95% CI −0.015 to 0.010), but once the post-release burst of attention is absorbed the interval allows an accumulation of up to about 3.9 percent per week (+0.017; −0.003 to 0.038), so we read the result as weak evidence against an accumulating error state and not as proof of its absence.</w:t>
      </w:r>
    </w:p>
    <w:p>
      <w:pPr>
        <w:pStyle w:val="BodyText"/>
      </w:pPr>
      <w:r>
        <w:t xml:space="preserve">The answer to RQ2 is that the age profile of the release hazard is not what a response to errors would produce. Only one repository (vLLM) has a hazard that rises significantly with age, the pooled slope is not distinguishable from zero (−0.09; 95% CI −0.21 to 0.03), and the raw hazard is highest in the week after a release, when hot-fixes are issued.</w:t>
      </w:r>
    </w:p>
    <w:p>
      <w:pPr>
        <w:pStyle w:val="BodyText"/>
      </w:pPr>
      <w:r>
        <w:t xml:space="preserve">The answer to RQ3 is that release probabilities respond to user issues, including bug reports, but a response to bug reports cannot be distinguished from a response to the overall volume of issues. With non-bug issues held fixed, one standard deviation more bug reports in the previous week raises the log-odds of a release by 0.26 (wild cluster bootstrap p = 0.01), a response of about the same size as that to non-bug issues (0.23), and the additional response to bug reports at a given total volume is positive but not significant (0.19; wild cluster bootstrap p = 0.20). Because bug reports are part of total issues, this last comparison is conservative, and its interval does not exclude a sizable additional response. Releases respond to 38 upstream model launches in the days after them. The mean time to the next release is 3.4 days shorter for repositories exposed to a launch than for unexposed repositories (placebo-based p = 0.018), and the share that release within one day is 17.5 percentage points higher (p = 0.008); the response is larger when controls exposed to other launches are excluded, but it is concentrated in the first days and is smaller when hot-fixes are excluded (2.2 days; p = 0.10) unless controls exposed to other launches are also dropped (4.6 days; p = 0.002), and a weekly indicator misses it. Timing alone cannot show whether these releases address degradation or add support for the new model. We treat the daily-resolution result as exploratory, because the primary statistic was designated after the estimates had been seen (Section 4.3).</w:t>
      </w:r>
    </w:p>
    <w:p>
      <w:pPr>
        <w:pStyle w:val="BodyText"/>
      </w:pPr>
      <w:r>
        <w:t xml:space="preserve">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user activity and accumulating work, with no clear sign of accumulating errors and no clear role for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four contributions. First, it brings the distinction between state-dependent and time-dependent adjustment to the maintenance of AI software, and derives from a simple Poisson model of accumulating errors what each class of rule implies for observable data (Section 3). This specifies the conditions under which release cadence would be a valid signal of responsiveness to degradation, and it qualifies models that treat maintenance as a responsive, state-dependent control process. Second, it connects that distinction to the information systems literature on maintenance, which describes what maintenance consists of and what drives its cost but has not tested whether the timing of maintenance responds to measured deterioration (Section 2.2), and it treats release cadence as a signal whose validity can be tested (Section 2.4). Third, it reports bounded evidence rather than bare non-significance: for the central null results we give confidence intervals, equivalence tests, and minimum detectable effects, so that readers can see how large an accumulation of errors or a response to bug reports the data can exclude (Section 5.6). Fourth, it shows from 19 repositories that releases respond to user issues without a response to bug reports that can be distinguished from a response to overall volume, that their timing responds to upstream launches within days in exploratory daily-resolution analyses but not in weekly data, and that they tend to follow accumulating work (Section 5). These findings matter for practice: release cadence is used by buyers, auditors, and regulators as a health signal, and it is not by itself evidence that degradation is being managed. Detecting degradation requires performance data that public repositories do not contain; this has implications for dependency selection, for post-market monitoring under frameworks such as the EU AI Act, and for organizations that depend on third-party AI components, although our evidence concerns the tooling layer and not deployed models (Section 6). A replication package accompanies the paper.</w:t>
      </w:r>
    </w:p>
    <w:p>
      <w:pPr>
        <w:pStyle w:val="BodyText"/>
      </w:pPr>
      <w:r>
        <w:t xml:space="preserve">We should say at the outset what</w:t>
      </w:r>
      <w:r>
        <w:t xml:space="preserve"> </w:t>
      </w:r>
      <w:r>
        <w:t xml:space="preserve">“</w:t>
      </w:r>
      <w:r>
        <w:t xml:space="preserve">degradation</w:t>
      </w:r>
      <w:r>
        <w:t xml:space="preserve">”</w:t>
      </w:r>
      <w:r>
        <w:t xml:space="preserve"> </w:t>
      </w:r>
      <w:r>
        <w:t xml:space="preserve">means here and what the study does not show. The repositories are tools and not model-retraining pipelines, so we observe no model weights and a release is a proxy for a refresh. The degradation we can study is the kind that a maintainer of LLM software can observe and act on: the widening gap between a piece of software and its changing environment of upstream model versions, provider APIs, and dependencies (Lehman 1980), which surfaces as user-reported defects. This is the layer through which many organizations consume LLMs, in the form of inference engines, client SDKs, and agent frameworks, and it is where release cadence is routinely read as a health signal. The tests therefore ask whether maintainers of this layer respond to observable deterioration. They do not show how commercial operators maintain hosted models, and any extension to hosted models is a conjecture that we label as such in Section 6. Section 6.4 discusses how the use of releases as a proxy limits interpretation.</w:t>
      </w:r>
    </w:p>
    <w:bookmarkEnd w:id="21"/>
    <w:bookmarkStart w:id="26" w:name="related-literature"/>
    <w:p>
      <w:pPr>
        <w:pStyle w:val="Heading1"/>
        <w:ind w:firstLine="0"/>
      </w:pPr>
      <w:r>
        <w:t xml:space="preserve">2. Related Literature</w:t>
      </w:r>
    </w:p>
    <w:bookmarkStart w:id="22" w:name="X2f85e85b5269a092eac6518a7f7d283b3102eb7"/>
    <w:p>
      <w:pPr>
        <w:pStyle w:val="Heading2"/>
        <w:ind w:firstLine="0"/>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bookmarkEnd w:id="22"/>
    <w:bookmarkStart w:id="23" w:name="replacement-and-maintenance"/>
    <w:p>
      <w:pPr>
        <w:pStyle w:val="Heading2"/>
        <w:ind w:firstLine="0"/>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BodyText"/>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 By testing this implication, we contribute to the information systems literature on maintenance by shifting the focus from the content and cost of maintenance activities to the decision rule that governs when maintenance occurs—an aspect that determines whether deployed systems remain responsive to changing conditions.</w:t>
      </w:r>
    </w:p>
    <w:bookmarkEnd w:id="23"/>
    <w:bookmarkStart w:id="24" w:name="Xad2659e2e89a96d387dc651bc50c6885295eae7"/>
    <w:p>
      <w:pPr>
        <w:pStyle w:val="Heading2"/>
        <w:ind w:firstLine="0"/>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 Recent work in Information Systems Research is the closest to ours. Chen et al. (2026) study release timing in open-source projects as a strategic choice that competes with community co-creation for scarce team resources, and examine how release and co-creation decisions shape community interest. Their question is how maintainers allocate effort between releasing and engaging contributors. Ours is whether the timing of releases responds to observable signals of system degradation, which to our knowledge that work does not address. Song et al. (2026) show how generative AI coding tools change contribution and coordination in open-source projects. We complement this literature by examining an aspect that remains untested even as AI systems are increasingly deployed in production: whether the timing of releases responds to degradation.</w:t>
      </w:r>
    </w:p>
    <w:bookmarkEnd w:id="24"/>
    <w:bookmarkStart w:id="25" w:name="X98701d72761dcc986ca242dd1353567bf3fd3a5"/>
    <w:p>
      <w:pPr>
        <w:pStyle w:val="Heading2"/>
        <w:ind w:firstLine="0"/>
      </w:pPr>
      <w:r>
        <w:t xml:space="preserve">2.4. Release Cadence as a Signal of Maintenance Quality</w:t>
      </w:r>
    </w:p>
    <w:p>
      <w:pPr>
        <w:pStyle w:val="FirstParagraph"/>
      </w:pPr>
      <w:r>
        <w:t xml:space="preserve">Signaling theory studies how an observable action conveys information about an unobservable quality when the receiver cannot assess the quality directly (Spence 1973, Connelly et al. 2011). Two conditions make a signal informative: it must be correlated with the quality it is meant to indicate, and it must be costly enough that low-quality senders cannot mimic it. In software markets, release and update frequency is built into widely used assessments of maintenance quality, because how responsively a maintainer deals with problems is hard to observe. The Release Frequency metric of the CHAOSS project treats a higher frequency of releases as a sign that a project iterates rapidly in response to user needs (CHAOSS n.d.), Snyk’s package-health ratings judge maintenance partly by a package’s version release cadence (Snyk n.d.), and the Maintained check of the OpenSSF Scorecard scores recent commit and issue activity (OpenSSF n.d.). These assessments inform the selection of dependencies and vendor due diligence without testing whether the activity they count responds to defects. For AI components the signal is relied on more heavily still, because degradation is itself hard to observe (Section 3.3). Release frequency is cheap in one important respect: an automated pipeline can publish a release every week whatever the system needs. A cheap signal can be informative only if its timing is tied to the quality it is meant to indicate. We therefore test the correlation condition directly, asking whether release timing responds to accumulating errors, bug surges, or upstream shocks. A signal can be valid for one quality and not for another: a cadence that follows user activity is informative about responsiveness to users, but it is informative about responsiveness to degradation only if its timing moves with the error state itself. The state-dependent rule of Section 3.2 is the case in which cadence is a valid signal of responsiveness to degradation, and the time-dependent rule is the case in which it is not.</w:t>
      </w:r>
    </w:p>
    <w:bookmarkEnd w:id="25"/>
    <w:bookmarkEnd w:id="26"/>
    <w:bookmarkStart w:id="31" w:name="Xdae4aeca62ac6e15dcf3c3c13161e145abae9bc"/>
    <w:p>
      <w:pPr>
        <w:pStyle w:val="Heading1"/>
        <w:ind w:firstLine="0"/>
      </w:pPr>
      <w:r>
        <w:t xml:space="preserve">3. A Poisson Model of Accumulating Errors and Two Classes of Refresh Rules</w:t>
      </w:r>
    </w:p>
    <w:bookmarkStart w:id="27" w:name="Xf496ae20d6d73dc4a7259caa2c393e8f18a7cd2"/>
    <w:p>
      <w:pPr>
        <w:pStyle w:val="Heading2"/>
        <w:ind w:firstLine="0"/>
      </w:pPr>
      <w:r>
        <w:t xml:space="preserve">3.1. Errors as a Poisson Process Driven by Drift</w:t>
      </w:r>
    </w:p>
    <w:p>
      <w:pPr>
        <w:pStyle w:val="FirstParagraph"/>
      </w:pPr>
      <w:r>
        <w:t xml:space="preserve">Time is discrete and measured in weeks. A maintainer operates one deployed system. Let xₜ denote the drift accumulated since the system was last refreshed, where a refresh stands for any renewal action (retraining, fine-tuning, or upgrading the underlying model). Drift grows each week by a non-negative increment with mean μ and is reset to zero by a refresh. We assume that the number of errors in week t follows a Poisson distribution whose rate rises linearly with drift:</w:t>
      </w:r>
    </w:p>
    <w:p>
      <w:pPr>
        <w:pStyle w:val="BodyText"/>
      </w:pPr>
      <m:oMathPara>
        <m:oMathParaPr>
          <m:jc m:val="center"/>
        </m:oMathParaPr>
        <m:oMath>
          <m:sSub>
            <m:e>
              <m:r>
                <m:t>N</m:t>
              </m:r>
            </m:e>
            <m:sub>
              <m:r>
                <m:t>t</m:t>
              </m:r>
            </m:sub>
          </m:sSub>
          <m:r>
            <m:rPr>
              <m:sty m:val="p"/>
            </m:rPr>
            <m:t>∣</m:t>
          </m:r>
          <m:sSub>
            <m:e>
              <m:r>
                <m:t>x</m:t>
              </m:r>
            </m:e>
            <m:sub>
              <m:r>
                <m:t>t</m:t>
              </m:r>
            </m:sub>
          </m:sSub>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sepChr m:val=""/>
              <m:grow/>
            </m:dPr>
            <m:e>
              <m:sSub>
                <m:e>
                  <m:r>
                    <m:t>λ</m:t>
                  </m:r>
                </m:e>
                <m:sub>
                  <m:r>
                    <m:t>0</m:t>
                  </m:r>
                </m:sub>
              </m:sSub>
              <m:r>
                <m:rPr>
                  <m:sty m:val="p"/>
                </m:rPr>
                <m:t>+</m:t>
              </m:r>
              <m:r>
                <m:t>γ</m:t>
              </m:r>
              <m:sSub>
                <m:e>
                  <m:r>
                    <m:t>x</m:t>
                  </m:r>
                </m:e>
                <m:sub>
                  <m:r>
                    <m:t>t</m:t>
                  </m:r>
                </m:sub>
              </m:sSub>
            </m:e>
          </m:d>
          <m:r>
            <m:rPr>
              <m:sty m:val="p"/>
            </m:rPr>
            <m:t>,</m:t>
          </m:r>
          <m:r>
            <m:t>  </m:t>
          </m:r>
          <m:d>
            <m:dPr>
              <m:begChr m:val="("/>
              <m:endChr m:val=")"/>
              <m:sepChr m:val=""/>
              <m:grow/>
            </m:dPr>
            <m:e>
              <m:r>
                <m:t>1</m:t>
              </m:r>
            </m:e>
          </m:d>
        </m:oMath>
      </m:oMathPara>
    </w:p>
    <w:p>
      <w:pPr>
        <w:pStyle w:val="FirstParagraph"/>
      </w:pPr>
      <w:r>
        <w:t xml:space="preserve">where λ₀ is the error rate of a freshly refreshed system and γ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a, the number of weeks since the last refresh. Because the expected drift at age a is μa, the expected error count is</w:t>
      </w:r>
    </w:p>
    <w:p>
      <w:pPr>
        <w:pStyle w:val="BodyText"/>
      </w:pPr>
      <m:oMathPara>
        <m:oMathParaPr>
          <m:jc m:val="center"/>
        </m:oMathParaPr>
        <m:oMath>
          <m:r>
            <m:rPr>
              <m:sty m:val="p"/>
            </m:rPr>
            <m:t>E</m:t>
          </m:r>
          <m:d>
            <m:dPr>
              <m:begChr m:val="["/>
              <m:endChr m:val="]"/>
              <m:sepChr m:val=""/>
              <m:grow/>
            </m:dPr>
            <m:e>
              <m:sSub>
                <m:e>
                  <m:r>
                    <m:t>N</m:t>
                  </m:r>
                </m:e>
                <m:sub>
                  <m:r>
                    <m:t>t</m:t>
                  </m:r>
                </m:sub>
              </m:sSub>
              <m:r>
                <m:rPr>
                  <m:sty m:val="p"/>
                </m:rPr>
                <m:t>∣</m:t>
              </m:r>
              <m:r>
                <m:t>a</m:t>
              </m:r>
            </m:e>
          </m:d>
          <m:r>
            <m:rPr>
              <m:sty m:val="p"/>
            </m:rPr>
            <m:t>=</m:t>
          </m:r>
          <m:sSub>
            <m:e>
              <m:r>
                <m:t>λ</m:t>
              </m:r>
            </m:e>
            <m:sub>
              <m:r>
                <m:t>0</m:t>
              </m:r>
            </m:sub>
          </m:sSub>
          <m:r>
            <m:rPr>
              <m:sty m:val="p"/>
            </m:rPr>
            <m:t>+</m:t>
          </m:r>
          <m:r>
            <m:t>γ</m:t>
          </m:r>
          <m:r>
            <m:t>μ</m:t>
          </m:r>
          <m:r>
            <m:t>a</m:t>
          </m:r>
          <m:r>
            <m:rPr>
              <m:sty m:val="p"/>
            </m:rPr>
            <m:t>,</m:t>
          </m:r>
          <m:r>
            <m:t>  </m:t>
          </m:r>
          <m:d>
            <m:dPr>
              <m:begChr m:val="("/>
              <m:endChr m:val=")"/>
              <m:sepChr m:val=""/>
              <m:grow/>
            </m:dPr>
            <m:e>
              <m:r>
                <m:t>2</m:t>
              </m:r>
            </m:e>
          </m:d>
        </m:oMath>
      </m:oMathPara>
    </w:p>
    <w:p>
      <w:pPr>
        <w:pStyle w:val="FirstParagraph"/>
      </w:pPr>
      <w:r>
        <w:t xml:space="preserve">Whether there is an accumulating state for a maintainer to respond to depends on the sign of γ.</w:t>
      </w:r>
    </w:p>
    <w:p>
      <w:pPr>
        <w:pStyle w:val="BodyText"/>
      </w:pPr>
      <w:r>
        <w:t xml:space="preserve">For software that sits between users and models, drift is the widening gap between the software and its environment of upstream model versions, provider APIs, and dependencies, which is the maintenance counterpart of the continuing change that Lehman (1980) argued every system in use must undergo. Equation (2) concerns the number of errors and not their share of all user reports, and Section 4.3 therefore models the bug count and compares several ways of handling the attention that inflates all issue counts after a release.</w:t>
      </w:r>
    </w:p>
    <w:bookmarkEnd w:id="27"/>
    <w:bookmarkStart w:id="28" w:name="a-state-dependent-refresh-rule"/>
    <w:p>
      <w:pPr>
        <w:pStyle w:val="Heading2"/>
        <w:ind w:firstLine="0"/>
      </w:pPr>
      <w:r>
        <w:t xml:space="preserve">3.2. A State-Dependent Refresh Rule</w:t>
      </w:r>
    </w:p>
    <w:p>
      <w:pPr>
        <w:pStyle w:val="FirstParagraph"/>
      </w:pPr>
      <w:r>
        <w:t xml:space="preserve">Suppose that each error costs the maintainer c and a refresh costs RC. By (2), the expected error cost over a cycle of length T is c(λ₀T + γμT²/2), so the expected cost per week is (RC + cλ₀T + cγμT²/2)/T. Minimizing over T gives the refresh interval</w:t>
      </w:r>
    </w:p>
    <w:p>
      <w:pPr>
        <w:pStyle w:val="BodyText"/>
      </w:pPr>
      <m:oMathPara>
        <m:oMathParaPr>
          <m:jc m:val="center"/>
        </m:oMathParaPr>
        <m:oMath>
          <m:sSup>
            <m:e>
              <m:r>
                <m:t>T</m:t>
              </m:r>
            </m:e>
            <m:sup>
              <m:r>
                <m:rPr>
                  <m:sty m:val="p"/>
                </m:rPr>
                <m:t>*</m:t>
              </m:r>
            </m:sup>
          </m:sSup>
          <m:r>
            <m:rPr>
              <m:sty m:val="p"/>
            </m:rPr>
            <m:t>=</m:t>
          </m:r>
          <m:rad>
            <m:radPr>
              <m:degHide m:val="on"/>
            </m:radPr>
            <m:deg/>
            <m:e>
              <m:f>
                <m:fPr>
                  <m:type m:val="bar"/>
                </m:fPr>
                <m:num>
                  <m:r>
                    <m:t>2</m:t>
                  </m:r>
                  <m:r>
                    <m:t> </m:t>
                  </m:r>
                  <m:r>
                    <m:t>R</m:t>
                  </m:r>
                  <m:r>
                    <m:t>C</m:t>
                  </m:r>
                </m:num>
                <m:den>
                  <m:r>
                    <m:t>c</m:t>
                  </m:r>
                  <m:r>
                    <m:t>γ</m:t>
                  </m:r>
                  <m:r>
                    <m:t>μ</m:t>
                  </m:r>
                </m:den>
              </m:f>
            </m:e>
          </m:rad>
          <m:r>
            <m:rPr>
              <m:sty m:val="p"/>
            </m:rPr>
            <m:t>,</m:t>
          </m:r>
          <m:r>
            <m:t>  </m:t>
          </m:r>
          <m:d>
            <m:dPr>
              <m:begChr m:val="("/>
              <m:endChr m:val=")"/>
              <m:sepChr m:val=""/>
              <m:grow/>
            </m:dPr>
            <m:e>
              <m:r>
                <m:t>3</m:t>
              </m:r>
            </m:e>
          </m:d>
        </m:oMath>
      </m:oMathPara>
    </w:p>
    <w:p>
      <w:pPr>
        <w:pStyle w:val="FirstParagraph"/>
      </w:pPr>
      <w:r>
        <w:t xml:space="preserve">and the corresponding drift threshold x* = μT* = √(2RCμ / (cγ)). Equation (3) has three properties. First, a finite refresh interval exists only if γ &gt; 0. If drift does not raise the error rate, drift gives no reason to refresh, and T* is infinite. Second, the interval lengthens with the refresh cost and shortens as errors become costlier or the system degrades faster, while the drift threshold rises with both the refresh cost and the speed of drift. Third, the excess error cost of keeping the system, cγμa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refresh probability is non-decreasing in drift in a discounted dynamic version of the model with unobserved payoff shocks (Rust 1987).</w:t>
      </w:r>
    </w:p>
    <w:bookmarkEnd w:id="28"/>
    <w:bookmarkStart w:id="29" w:name="time-dependent-refresh-rules"/>
    <w:p>
      <w:pPr>
        <w:pStyle w:val="Heading2"/>
        <w:ind w:firstLine="0"/>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θ, so the hazard is flat in age and the time between refreshes is geometric with mean 1/θ.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γ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γ together with a flat hazard would point to inattention, while a zero γ together with a flat hazard would mean that there is no accumulating degradation for timing to respond to.</w:t>
      </w:r>
    </w:p>
    <w:bookmarkEnd w:id="29"/>
    <w:bookmarkStart w:id="30" w:name="testable-implications"/>
    <w:p>
      <w:pPr>
        <w:pStyle w:val="Heading2"/>
        <w:ind w:firstLine="0"/>
      </w:pPr>
      <w:r>
        <w:t xml:space="preserve">3.4. Testable Implications</w:t>
      </w:r>
    </w:p>
    <w:p>
      <w:pPr>
        <w:pStyle w:val="FirstParagraph"/>
      </w:pPr>
      <w:r>
        <w:rPr>
          <w:bCs/>
          <w:b/>
        </w:rPr>
        <w:t xml:space="preserve">H1 (error signature).</w:t>
      </w:r>
      <w:r>
        <w:t xml:space="preserve"> </w:t>
      </w:r>
      <w:r>
        <w:t xml:space="preserve">The expected bug count rises with the time since the last release, that is, γ &gt; 0 in (2).</w:t>
      </w:r>
    </w:p>
    <w:p>
      <w:pPr>
        <w:pStyle w:val="BodyText"/>
      </w:pPr>
      <w:r>
        <w:rPr>
          <w:bCs/>
          <w:b/>
        </w:rPr>
        <w:t xml:space="preserve">H2a (state dependence).</w:t>
      </w:r>
      <w:r>
        <w:t xml:space="preserve"> </w:t>
      </w:r>
      <w:r>
        <w:t xml:space="preserve">Within a repository, the release hazard rises with the time since the last release.</w:t>
      </w:r>
    </w:p>
    <w:p>
      <w:pPr>
        <w:pStyle w:val="BodyText"/>
      </w:pPr>
      <w:r>
        <w:rPr>
          <w:bCs/>
          <w:b/>
        </w:rPr>
        <w:t xml:space="preserve">H2b (time dependence).</w:t>
      </w:r>
      <w:r>
        <w:t xml:space="preserve"> </w:t>
      </w:r>
      <w:r>
        <w:t xml:space="preserve">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Cs/>
          <w:b/>
        </w:rPr>
        <w:t xml:space="preserve">H3 (aggregation).</w:t>
      </w:r>
      <w:r>
        <w:t xml:space="preserve"> </w:t>
      </w:r>
      <w:r>
        <w:t xml:space="preserve">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Cs/>
          <w:b/>
        </w:rPr>
        <w:t xml:space="preserve">H4 (signal response).</w:t>
      </w:r>
      <w:r>
        <w:t xml:space="preserve"> </w:t>
      </w:r>
      <w:r>
        <w:t xml:space="preserve">Within a repository, the probability of a release rises after a signal of degradation: a recent surge in bug reports (controlling for the age of the release and for either total or non-bug issue volume, which separates a response to defects from a response to user activity in general) or the launch of an upstream model to which the repository is exposed. Under state dependence in errors or in the environment, maintainers respond to the signal; under time dependence they do not.</w:t>
      </w:r>
    </w:p>
    <w:p>
      <w:pPr>
        <w:pStyle w:val="BodyText"/>
      </w:pPr>
      <w:r>
        <w:rPr>
          <w:bCs/>
          <w:b/>
        </w:rPr>
        <w:t xml:space="preserve">H5 (work-driven state).</w:t>
      </w:r>
      <w:r>
        <w:t xml:space="preserve"> </w:t>
      </w:r>
      <w:r>
        <w:t xml:space="preserve">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and with 143 to 197 weekly observations per repository an estimate of it would be imprecise, so we do not report one and concentrate on the shape of the hazard rather than on the level of the cost.</w:t>
      </w:r>
    </w:p>
    <w:bookmarkEnd w:id="30"/>
    <w:bookmarkEnd w:id="31"/>
    <w:bookmarkStart w:id="35" w:name="data-and-empirical-strategy"/>
    <w:p>
      <w:pPr>
        <w:pStyle w:val="Heading1"/>
        <w:ind w:firstLine="0"/>
      </w:pPr>
      <w:r>
        <w:t xml:space="preserve">4. Data and Empirical Strategy</w:t>
      </w:r>
    </w:p>
    <w:bookmarkStart w:id="32" w:name="repository-selection"/>
    <w:p>
      <w:pPr>
        <w:pStyle w:val="Heading2"/>
        <w:ind w:firstLine="0"/>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and DeepSeek-V3 publish model weights elsewhere and have few or no GitHub releases, and llama.cpp publishes automated builds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did not meet this rule, which leaves 19. This is a convenience sample of prominent projects and not a random sample of the ecosystem, and nearly all of them are software and tooling and not model-retraining pipelines. Two retained repositories (anthropic-sdk-python and openai-python) release at a weekly cadence and may rely on automated release pipelines. We keep them, because even an automated pipeline leaves open the question of when a release is published, and we report the results without them in Section 5.6. In what follows, a release is therefore a proxy for a refresh. The eligibility rule keeps projects that release often enough to have a release hazard, so slowly releasing or inactive projects are excluded by construction. The 19 repositories therefore describe prominent, actively releasing tooling projects hosted on GitHub, and the pooled intervals describe variation across these repositories and not across a defined population of repositories.</w:t>
      </w:r>
    </w:p>
    <w:bookmarkEnd w:id="32"/>
    <w:bookmarkStart w:id="33" w:name="data-collection"/>
    <w:p>
      <w:pPr>
        <w:pStyle w:val="Heading2"/>
        <w:ind w:firstLine="0"/>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w:t>
      </w:r>
      <w:r>
        <w:t xml:space="preserve"> </w:t>
      </w:r>
      <w:r>
        <w:t xml:space="preserve">“</w:t>
      </w:r>
      <w:r>
        <w:t xml:space="preserve">bug</w:t>
      </w:r>
      <w:r>
        <w:t xml:space="preserve">”</w:t>
      </w:r>
      <w:r>
        <w:t xml:space="preserve"> </w:t>
      </w:r>
      <w:r>
        <w:t xml:space="preserve">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BodyText"/>
      </w:pPr>
      <w:r>
        <w:rPr>
          <w:bCs/>
          <w:b/>
        </w:rPr>
        <w:t xml:space="preserve">Accumulated work and upstream launches.</w:t>
      </w:r>
      <w:r>
        <w:t xml:space="preserve"> </w:t>
      </w:r>
      <w:r>
        <w:t xml:space="preserve">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BodyText"/>
        <w:keepNext/>
        <w:ind w:firstLine="0"/>
      </w:pPr>
      <w:r>
        <w:rPr>
          <w:bCs/>
          <w:b/>
        </w:rPr>
        <w:t xml:space="preserve">Table 1.</w:t>
      </w:r>
      <w:r>
        <w:t xml:space="preserve"> </w:t>
      </w:r>
      <w:r>
        <w:t xml:space="preserve">Eligible repositories (3,432 repository-weeks; 2,456 releases) and repository-level slopes (Section 4.3).</w:t>
      </w:r>
    </w:p>
    <w:tbl>
      <w:tblPr>
        <w:tblStyle w:val="Table"/>
        <w:tblW w:type="pct" w:w="5000"/>
        <w:tblLayout w:type="fixed"/>
        <w:tblLook w:firstRow="1" w:lastRow="0" w:firstColumn="0" w:lastColumn="0" w:noHBand="0" w:noVBand="0" w:val="0020"/>
        <w:jc w:val="start"/>
        <w:tblBorders>
          <w:top w:val="single" w:sz="8" w:color="000000"/>
          <w:bottom w:val="single" w:sz="8" w:color="000000"/>
        </w:tblBorders>
        <w:tblLayout w:type="fixed"/>
      </w:tblPr>
      <w:tblGrid>
        <w:gridCol w:w="2880"/>
        <w:gridCol w:w="792"/>
        <w:gridCol w:w="1007"/>
        <w:gridCol w:w="1080"/>
        <w:gridCol w:w="1800"/>
        <w:gridCol w:w="1800"/>
      </w:tblGrid>
      <w:tr>
        <w:trPr>
          <w:tblHeader w:val="true"/>
        </w:trPr>
        <w:tc>
          <w:tcPr>
            <w:tcW w:type="dxa" w:w="2880"/>
            <w:tcBorders>
              <w:bottom w:val="single" w:sz="6" w:color="000000"/>
            </w:tcBorders>
          </w:tcPr>
          <w:p>
            <w:pPr>
              <w:pStyle w:val="Compact"/>
              <w:spacing w:line="240" w:lineRule="auto" w:after="20"/>
              <w:ind w:firstLine="0"/>
              <w:jc w:val="left"/>
            </w:pPr>
            <w:r>
              <w:rPr>
                <w:rFonts w:ascii="Times New Roman" w:hAnsi="Times New Roman"/>
                <w:b/>
                <w:sz w:val="18"/>
              </w:rPr>
              <w:t xml:space="preserve">Repository</w:t>
            </w:r>
          </w:p>
        </w:tc>
        <w:tc>
          <w:tcPr>
            <w:tcW w:type="dxa" w:w="792"/>
            <w:tcBorders>
              <w:bottom w:val="single" w:sz="6" w:color="000000"/>
            </w:tcBorders>
          </w:tcPr>
          <w:p>
            <w:pPr>
              <w:pStyle w:val="Compact"/>
              <w:spacing w:line="240" w:lineRule="auto" w:after="20"/>
              <w:ind w:firstLine="0"/>
              <w:jc w:val="right"/>
            </w:pPr>
            <w:r>
              <w:rPr>
                <w:rFonts w:ascii="Times New Roman" w:hAnsi="Times New Roman"/>
                <w:b/>
                <w:sz w:val="18"/>
              </w:rPr>
              <w:t xml:space="preserve">Weeks</w:t>
            </w:r>
          </w:p>
        </w:tc>
        <w:tc>
          <w:tcPr>
            <w:tcW w:type="dxa" w:w="1008"/>
            <w:tcBorders>
              <w:bottom w:val="single" w:sz="6" w:color="000000"/>
            </w:tcBorders>
          </w:tcPr>
          <w:p>
            <w:pPr>
              <w:pStyle w:val="Compact"/>
              <w:spacing w:line="240" w:lineRule="auto" w:after="20"/>
              <w:ind w:firstLine="0"/>
              <w:jc w:val="right"/>
            </w:pPr>
            <w:r>
              <w:rPr>
                <w:rFonts w:ascii="Times New Roman" w:hAnsi="Times New Roman"/>
                <w:b/>
                <w:sz w:val="18"/>
              </w:rPr>
              <w:t xml:space="preserve">Releases</w:t>
            </w:r>
          </w:p>
        </w:tc>
        <w:tc>
          <w:tcPr>
            <w:tcW w:type="dxa" w:w="1080"/>
            <w:tcBorders>
              <w:bottom w:val="single" w:sz="6" w:color="000000"/>
            </w:tcBorders>
          </w:tcPr>
          <w:p>
            <w:pPr>
              <w:pStyle w:val="Compact"/>
              <w:spacing w:line="240" w:lineRule="auto" w:after="20"/>
              <w:ind w:firstLine="0"/>
              <w:jc w:val="right"/>
            </w:pPr>
            <w:r>
              <w:rPr>
                <w:rFonts w:ascii="Times New Roman" w:hAnsi="Times New Roman"/>
                <w:b/>
                <w:sz w:val="18"/>
              </w:rPr>
              <w:t xml:space="preserve">Median cycle (weeks)</w:t>
            </w:r>
          </w:p>
        </w:tc>
        <w:tc>
          <w:tcPr>
            <w:tcW w:type="dxa" w:w="1800"/>
            <w:tcBorders>
              <w:bottom w:val="single" w:sz="6" w:color="000000"/>
            </w:tcBorders>
          </w:tcPr>
          <w:p>
            <w:pPr>
              <w:pStyle w:val="Compact"/>
              <w:spacing w:line="240" w:lineRule="auto" w:after="20"/>
              <w:ind w:firstLine="0"/>
              <w:jc w:val="right"/>
            </w:pPr>
            <w:r>
              <w:rPr>
                <w:rFonts w:ascii="Times New Roman" w:hAnsi="Times New Roman"/>
                <w:b/>
                <w:sz w:val="18"/>
              </w:rPr>
              <w:t xml:space="preserve">Bug log-rate slope, specification (b) (SE)</w:t>
            </w:r>
          </w:p>
        </w:tc>
        <w:tc>
          <w:tcPr>
            <w:tcW w:type="dxa" w:w="1800"/>
            <w:tcBorders>
              <w:bottom w:val="single" w:sz="6" w:color="000000"/>
            </w:tcBorders>
          </w:tcPr>
          <w:p>
            <w:pPr>
              <w:pStyle w:val="Compact"/>
              <w:spacing w:line="240" w:lineRule="auto" w:after="20"/>
              <w:ind w:firstLine="0"/>
              <w:jc w:val="right"/>
            </w:pPr>
            <w:r>
              <w:rPr>
                <w:rFonts w:ascii="Times New Roman" w:hAnsi="Times New Roman"/>
                <w:b/>
                <w:sz w:val="18"/>
              </w:rPr>
              <w:t xml:space="preserve">Release-hazard logit slope (SE)</w:t>
            </w:r>
          </w:p>
        </w:tc>
      </w:tr>
      <w:tr>
        <w:tc>
          <w:tcPr>
            <w:tcW w:type="dxa" w:w="2880"/>
          </w:tcPr>
          <w:p>
            <w:pPr>
              <w:pStyle w:val="Compact"/>
              <w:spacing w:line="240" w:lineRule="auto" w:after="20"/>
              <w:ind w:firstLine="0"/>
              <w:jc w:val="left"/>
            </w:pPr>
            <w:r>
              <w:rPr>
                <w:rFonts w:ascii="Times New Roman" w:hAnsi="Times New Roman"/>
                <w:sz w:val="18"/>
              </w:rPr>
              <w:t xml:space="preserve">anthropics/anthropic-sdk-python</w:t>
            </w:r>
          </w:p>
        </w:tc>
        <w:tc>
          <w:tcPr>
            <w:tcW w:type="dxa" w:w="792"/>
          </w:tcPr>
          <w:p>
            <w:pPr>
              <w:pStyle w:val="Compact"/>
              <w:spacing w:line="240" w:lineRule="auto" w:after="20"/>
              <w:ind w:firstLine="0"/>
              <w:jc w:val="right"/>
            </w:pPr>
            <w:r>
              <w:rPr>
                <w:rFonts w:ascii="Times New Roman" w:hAnsi="Times New Roman"/>
                <w:sz w:val="18"/>
              </w:rPr>
              <w:t xml:space="preserve">192</w:t>
            </w:r>
          </w:p>
        </w:tc>
        <w:tc>
          <w:tcPr>
            <w:tcW w:type="dxa" w:w="1008"/>
          </w:tcPr>
          <w:p>
            <w:pPr>
              <w:pStyle w:val="Compact"/>
              <w:spacing w:line="240" w:lineRule="auto" w:after="20"/>
              <w:ind w:firstLine="0"/>
              <w:jc w:val="right"/>
            </w:pPr>
            <w:r>
              <w:rPr>
                <w:rFonts w:ascii="Times New Roman" w:hAnsi="Times New Roman"/>
                <w:sz w:val="18"/>
              </w:rPr>
              <w:t xml:space="preserve">235</w:t>
            </w:r>
          </w:p>
        </w:tc>
        <w:tc>
          <w:tcPr>
            <w:tcW w:type="dxa" w:w="1080"/>
          </w:tcPr>
          <w:p>
            <w:pPr>
              <w:pStyle w:val="Compact"/>
              <w:spacing w:line="240" w:lineRule="auto" w:after="20"/>
              <w:ind w:firstLine="0"/>
              <w:jc w:val="right"/>
            </w:pPr>
            <w:r>
              <w:rPr>
                <w:rFonts w:ascii="Times New Roman" w:hAnsi="Times New Roman"/>
                <w:sz w:val="18"/>
              </w:rPr>
              <w:t xml:space="preserve">1</w:t>
            </w:r>
          </w:p>
        </w:tc>
        <w:tc>
          <w:tcPr>
            <w:tcW w:type="dxa" w:w="1800"/>
          </w:tcPr>
          <w:p>
            <w:pPr>
              <w:pStyle w:val="Compact"/>
              <w:spacing w:line="240" w:lineRule="auto" w:after="20"/>
              <w:ind w:firstLine="0"/>
              <w:jc w:val="right"/>
            </w:pPr>
            <w:r>
              <w:rPr>
                <w:rFonts w:ascii="Times New Roman" w:hAnsi="Times New Roman"/>
                <w:sz w:val="18"/>
              </w:rPr>
              <w:t xml:space="preserve">−0.023 (0.079)</w:t>
            </w:r>
          </w:p>
        </w:tc>
        <w:tc>
          <w:tcPr>
            <w:tcW w:type="dxa" w:w="1800"/>
          </w:tcPr>
          <w:p>
            <w:pPr>
              <w:pStyle w:val="Compact"/>
              <w:spacing w:line="240" w:lineRule="auto" w:after="20"/>
              <w:ind w:firstLine="0"/>
              <w:jc w:val="right"/>
            </w:pPr>
            <w:r>
              <w:rPr>
                <w:rFonts w:ascii="Times New Roman" w:hAnsi="Times New Roman"/>
                <w:sz w:val="18"/>
              </w:rPr>
              <w:t xml:space="preserve">−0.255 (0.095)</w:t>
            </w:r>
          </w:p>
        </w:tc>
      </w:tr>
      <w:tr>
        <w:tc>
          <w:tcPr>
            <w:tcW w:type="dxa" w:w="2880"/>
          </w:tcPr>
          <w:p>
            <w:pPr>
              <w:pStyle w:val="Compact"/>
              <w:spacing w:line="240" w:lineRule="auto" w:after="20"/>
              <w:ind w:firstLine="0"/>
              <w:jc w:val="left"/>
            </w:pPr>
            <w:r>
              <w:rPr>
                <w:rFonts w:ascii="Times New Roman" w:hAnsi="Times New Roman"/>
                <w:sz w:val="18"/>
              </w:rPr>
              <w:t xml:space="preserve">Dao-AILab/flash-attention</w:t>
            </w:r>
          </w:p>
        </w:tc>
        <w:tc>
          <w:tcPr>
            <w:tcW w:type="dxa" w:w="792"/>
          </w:tcPr>
          <w:p>
            <w:pPr>
              <w:pStyle w:val="Compact"/>
              <w:spacing w:line="240" w:lineRule="auto" w:after="20"/>
              <w:ind w:firstLine="0"/>
              <w:jc w:val="right"/>
            </w:pPr>
            <w:r>
              <w:rPr>
                <w:rFonts w:ascii="Times New Roman" w:hAnsi="Times New Roman"/>
                <w:sz w:val="18"/>
              </w:rPr>
              <w:t xml:space="preserve">197</w:t>
            </w:r>
          </w:p>
        </w:tc>
        <w:tc>
          <w:tcPr>
            <w:tcW w:type="dxa" w:w="1008"/>
          </w:tcPr>
          <w:p>
            <w:pPr>
              <w:pStyle w:val="Compact"/>
              <w:spacing w:line="240" w:lineRule="auto" w:after="20"/>
              <w:ind w:firstLine="0"/>
              <w:jc w:val="right"/>
            </w:pPr>
            <w:r>
              <w:rPr>
                <w:rFonts w:ascii="Times New Roman" w:hAnsi="Times New Roman"/>
                <w:sz w:val="18"/>
              </w:rPr>
              <w:t xml:space="preserve">89</w:t>
            </w:r>
          </w:p>
        </w:tc>
        <w:tc>
          <w:tcPr>
            <w:tcW w:type="dxa" w:w="1080"/>
          </w:tcPr>
          <w:p>
            <w:pPr>
              <w:pStyle w:val="Compact"/>
              <w:spacing w:line="240" w:lineRule="auto" w:after="20"/>
              <w:ind w:firstLine="0"/>
              <w:jc w:val="right"/>
            </w:pPr>
            <w:r>
              <w:rPr>
                <w:rFonts w:ascii="Times New Roman" w:hAnsi="Times New Roman"/>
                <w:sz w:val="18"/>
              </w:rPr>
              <w:t xml:space="preserve">2</w:t>
            </w:r>
          </w:p>
        </w:tc>
        <w:tc>
          <w:tcPr>
            <w:tcW w:type="dxa" w:w="1800"/>
          </w:tcPr>
          <w:p>
            <w:pPr>
              <w:pStyle w:val="Compact"/>
              <w:spacing w:line="240" w:lineRule="auto" w:after="20"/>
              <w:ind w:firstLine="0"/>
              <w:jc w:val="right"/>
            </w:pPr>
            <w:r>
              <w:rPr>
                <w:rFonts w:ascii="Times New Roman" w:hAnsi="Times New Roman"/>
                <w:sz w:val="18"/>
              </w:rPr>
              <w:t xml:space="preserve">−0.005 (0.014)</w:t>
            </w:r>
          </w:p>
        </w:tc>
        <w:tc>
          <w:tcPr>
            <w:tcW w:type="dxa" w:w="1800"/>
          </w:tcPr>
          <w:p>
            <w:pPr>
              <w:pStyle w:val="Compact"/>
              <w:spacing w:line="240" w:lineRule="auto" w:after="20"/>
              <w:ind w:firstLine="0"/>
              <w:jc w:val="right"/>
            </w:pPr>
            <w:r>
              <w:rPr>
                <w:rFonts w:ascii="Times New Roman" w:hAnsi="Times New Roman"/>
                <w:sz w:val="18"/>
              </w:rPr>
              <w:t xml:space="preserve">−0.272 (0.069)</w:t>
            </w:r>
          </w:p>
        </w:tc>
      </w:tr>
      <w:tr>
        <w:tc>
          <w:tcPr>
            <w:tcW w:type="dxa" w:w="2880"/>
          </w:tcPr>
          <w:p>
            <w:pPr>
              <w:pStyle w:val="Compact"/>
              <w:spacing w:line="240" w:lineRule="auto" w:after="20"/>
              <w:ind w:firstLine="0"/>
              <w:jc w:val="left"/>
            </w:pPr>
            <w:r>
              <w:rPr>
                <w:rFonts w:ascii="Times New Roman" w:hAnsi="Times New Roman"/>
                <w:sz w:val="18"/>
              </w:rPr>
              <w:t xml:space="preserve">EleutherAI/lm-evaluation-harness</w:t>
            </w:r>
          </w:p>
        </w:tc>
        <w:tc>
          <w:tcPr>
            <w:tcW w:type="dxa" w:w="792"/>
          </w:tcPr>
          <w:p>
            <w:pPr>
              <w:pStyle w:val="Compact"/>
              <w:spacing w:line="240" w:lineRule="auto" w:after="20"/>
              <w:ind w:firstLine="0"/>
              <w:jc w:val="right"/>
            </w:pPr>
            <w:r>
              <w:rPr>
                <w:rFonts w:ascii="Times New Roman" w:hAnsi="Times New Roman"/>
                <w:sz w:val="18"/>
              </w:rPr>
              <w:t xml:space="preserve">149</w:t>
            </w:r>
          </w:p>
        </w:tc>
        <w:tc>
          <w:tcPr>
            <w:tcW w:type="dxa" w:w="1008"/>
          </w:tcPr>
          <w:p>
            <w:pPr>
              <w:pStyle w:val="Compact"/>
              <w:spacing w:line="240" w:lineRule="auto" w:after="20"/>
              <w:ind w:firstLine="0"/>
              <w:jc w:val="right"/>
            </w:pPr>
            <w:r>
              <w:rPr>
                <w:rFonts w:ascii="Times New Roman" w:hAnsi="Times New Roman"/>
                <w:sz w:val="18"/>
              </w:rPr>
              <w:t xml:space="preserve">16</w:t>
            </w:r>
          </w:p>
        </w:tc>
        <w:tc>
          <w:tcPr>
            <w:tcW w:type="dxa" w:w="1080"/>
          </w:tcPr>
          <w:p>
            <w:pPr>
              <w:pStyle w:val="Compact"/>
              <w:spacing w:line="240" w:lineRule="auto" w:after="20"/>
              <w:ind w:firstLine="0"/>
              <w:jc w:val="right"/>
            </w:pPr>
            <w:r>
              <w:rPr>
                <w:rFonts w:ascii="Times New Roman" w:hAnsi="Times New Roman"/>
                <w:sz w:val="18"/>
              </w:rPr>
              <w:t xml:space="preserve">9</w:t>
            </w:r>
          </w:p>
        </w:tc>
        <w:tc>
          <w:tcPr>
            <w:tcW w:type="dxa" w:w="1800"/>
          </w:tcPr>
          <w:p>
            <w:pPr>
              <w:pStyle w:val="Compact"/>
              <w:spacing w:line="240" w:lineRule="auto" w:after="20"/>
              <w:ind w:firstLine="0"/>
              <w:jc w:val="right"/>
            </w:pPr>
            <w:r>
              <w:rPr>
                <w:rFonts w:ascii="Times New Roman" w:hAnsi="Times New Roman"/>
                <w:sz w:val="18"/>
              </w:rPr>
              <w:t xml:space="preserve">0.013 (0.018)</w:t>
            </w:r>
          </w:p>
        </w:tc>
        <w:tc>
          <w:tcPr>
            <w:tcW w:type="dxa" w:w="1800"/>
          </w:tcPr>
          <w:p>
            <w:pPr>
              <w:pStyle w:val="Compact"/>
              <w:spacing w:line="240" w:lineRule="auto" w:after="20"/>
              <w:ind w:firstLine="0"/>
              <w:jc w:val="right"/>
            </w:pPr>
            <w:r>
              <w:rPr>
                <w:rFonts w:ascii="Times New Roman" w:hAnsi="Times New Roman"/>
                <w:sz w:val="18"/>
              </w:rPr>
              <w:t xml:space="preserve">0.365 (0.198)</w:t>
            </w:r>
          </w:p>
        </w:tc>
      </w:tr>
      <w:tr>
        <w:tc>
          <w:tcPr>
            <w:tcW w:type="dxa" w:w="2880"/>
          </w:tcPr>
          <w:p>
            <w:pPr>
              <w:pStyle w:val="Compact"/>
              <w:spacing w:line="240" w:lineRule="auto" w:after="20"/>
              <w:ind w:firstLine="0"/>
              <w:jc w:val="left"/>
            </w:pPr>
            <w:r>
              <w:rPr>
                <w:rFonts w:ascii="Times New Roman" w:hAnsi="Times New Roman"/>
                <w:sz w:val="18"/>
              </w:rPr>
              <w:t xml:space="preserve">ggml-org/whisper.cpp</w:t>
            </w:r>
          </w:p>
        </w:tc>
        <w:tc>
          <w:tcPr>
            <w:tcW w:type="dxa" w:w="792"/>
          </w:tcPr>
          <w:p>
            <w:pPr>
              <w:pStyle w:val="Compact"/>
              <w:spacing w:line="240" w:lineRule="auto" w:after="20"/>
              <w:ind w:firstLine="0"/>
              <w:jc w:val="right"/>
            </w:pPr>
            <w:r>
              <w:rPr>
                <w:rFonts w:ascii="Times New Roman" w:hAnsi="Times New Roman"/>
                <w:sz w:val="18"/>
              </w:rPr>
              <w:t xml:space="preserve">194</w:t>
            </w:r>
          </w:p>
        </w:tc>
        <w:tc>
          <w:tcPr>
            <w:tcW w:type="dxa" w:w="1008"/>
          </w:tcPr>
          <w:p>
            <w:pPr>
              <w:pStyle w:val="Compact"/>
              <w:spacing w:line="240" w:lineRule="auto" w:after="20"/>
              <w:ind w:firstLine="0"/>
              <w:jc w:val="right"/>
            </w:pPr>
            <w:r>
              <w:rPr>
                <w:rFonts w:ascii="Times New Roman" w:hAnsi="Times New Roman"/>
                <w:sz w:val="18"/>
              </w:rPr>
              <w:t xml:space="preserve">36</w:t>
            </w:r>
          </w:p>
        </w:tc>
        <w:tc>
          <w:tcPr>
            <w:tcW w:type="dxa" w:w="1080"/>
          </w:tcPr>
          <w:p>
            <w:pPr>
              <w:pStyle w:val="Compact"/>
              <w:spacing w:line="240" w:lineRule="auto" w:after="20"/>
              <w:ind w:firstLine="0"/>
              <w:jc w:val="right"/>
            </w:pPr>
            <w:r>
              <w:rPr>
                <w:rFonts w:ascii="Times New Roman" w:hAnsi="Times New Roman"/>
                <w:sz w:val="18"/>
              </w:rPr>
              <w:t xml:space="preserve">4</w:t>
            </w:r>
          </w:p>
        </w:tc>
        <w:tc>
          <w:tcPr>
            <w:tcW w:type="dxa" w:w="1800"/>
          </w:tcPr>
          <w:p>
            <w:pPr>
              <w:pStyle w:val="Compact"/>
              <w:spacing w:line="240" w:lineRule="auto" w:after="20"/>
              <w:ind w:firstLine="0"/>
              <w:jc w:val="right"/>
            </w:pPr>
            <w:r>
              <w:rPr>
                <w:rFonts w:ascii="Times New Roman" w:hAnsi="Times New Roman"/>
                <w:sz w:val="18"/>
              </w:rPr>
              <w:t xml:space="preserve">0.008 (0.010)</w:t>
            </w:r>
          </w:p>
        </w:tc>
        <w:tc>
          <w:tcPr>
            <w:tcW w:type="dxa" w:w="1800"/>
          </w:tcPr>
          <w:p>
            <w:pPr>
              <w:pStyle w:val="Compact"/>
              <w:spacing w:line="240" w:lineRule="auto" w:after="20"/>
              <w:ind w:firstLine="0"/>
              <w:jc w:val="right"/>
            </w:pPr>
            <w:r>
              <w:rPr>
                <w:rFonts w:ascii="Times New Roman" w:hAnsi="Times New Roman"/>
                <w:sz w:val="18"/>
              </w:rPr>
              <w:t xml:space="preserve">−0.103 (0.065)</w:t>
            </w:r>
          </w:p>
        </w:tc>
      </w:tr>
      <w:tr>
        <w:tc>
          <w:tcPr>
            <w:tcW w:type="dxa" w:w="2880"/>
          </w:tcPr>
          <w:p>
            <w:pPr>
              <w:pStyle w:val="Compact"/>
              <w:spacing w:line="240" w:lineRule="auto" w:after="20"/>
              <w:ind w:firstLine="0"/>
              <w:jc w:val="left"/>
            </w:pPr>
            <w:r>
              <w:rPr>
                <w:rFonts w:ascii="Times New Roman" w:hAnsi="Times New Roman"/>
                <w:sz w:val="18"/>
              </w:rPr>
              <w:t xml:space="preserve">Hugging Face Transformers</w:t>
            </w:r>
          </w:p>
        </w:tc>
        <w:tc>
          <w:tcPr>
            <w:tcW w:type="dxa" w:w="792"/>
          </w:tcPr>
          <w:p>
            <w:pPr>
              <w:pStyle w:val="Compact"/>
              <w:spacing w:line="240" w:lineRule="auto" w:after="20"/>
              <w:ind w:firstLine="0"/>
              <w:jc w:val="right"/>
            </w:pPr>
            <w:r>
              <w:rPr>
                <w:rFonts w:ascii="Times New Roman" w:hAnsi="Times New Roman"/>
                <w:sz w:val="18"/>
              </w:rPr>
              <w:t xml:space="preserve">194</w:t>
            </w:r>
          </w:p>
        </w:tc>
        <w:tc>
          <w:tcPr>
            <w:tcW w:type="dxa" w:w="1008"/>
          </w:tcPr>
          <w:p>
            <w:pPr>
              <w:pStyle w:val="Compact"/>
              <w:spacing w:line="240" w:lineRule="auto" w:after="20"/>
              <w:ind w:firstLine="0"/>
              <w:jc w:val="right"/>
            </w:pPr>
            <w:r>
              <w:rPr>
                <w:rFonts w:ascii="Times New Roman" w:hAnsi="Times New Roman"/>
                <w:sz w:val="18"/>
              </w:rPr>
              <w:t xml:space="preserve">164</w:t>
            </w:r>
          </w:p>
        </w:tc>
        <w:tc>
          <w:tcPr>
            <w:tcW w:type="dxa" w:w="1080"/>
          </w:tcPr>
          <w:p>
            <w:pPr>
              <w:pStyle w:val="Compact"/>
              <w:spacing w:line="240" w:lineRule="auto" w:after="20"/>
              <w:ind w:firstLine="0"/>
              <w:jc w:val="right"/>
            </w:pPr>
            <w:r>
              <w:rPr>
                <w:rFonts w:ascii="Times New Roman" w:hAnsi="Times New Roman"/>
                <w:sz w:val="18"/>
              </w:rPr>
              <w:t xml:space="preserve">1</w:t>
            </w:r>
          </w:p>
        </w:tc>
        <w:tc>
          <w:tcPr>
            <w:tcW w:type="dxa" w:w="1800"/>
          </w:tcPr>
          <w:p>
            <w:pPr>
              <w:pStyle w:val="Compact"/>
              <w:spacing w:line="240" w:lineRule="auto" w:after="20"/>
              <w:ind w:firstLine="0"/>
              <w:jc w:val="right"/>
            </w:pPr>
            <w:r>
              <w:rPr>
                <w:rFonts w:ascii="Times New Roman" w:hAnsi="Times New Roman"/>
                <w:sz w:val="18"/>
              </w:rPr>
              <w:t xml:space="preserve">0.000 (0.026)</w:t>
            </w:r>
          </w:p>
        </w:tc>
        <w:tc>
          <w:tcPr>
            <w:tcW w:type="dxa" w:w="1800"/>
          </w:tcPr>
          <w:p>
            <w:pPr>
              <w:pStyle w:val="Compact"/>
              <w:spacing w:line="240" w:lineRule="auto" w:after="20"/>
              <w:ind w:firstLine="0"/>
              <w:jc w:val="right"/>
            </w:pPr>
            <w:r>
              <w:rPr>
                <w:rFonts w:ascii="Times New Roman" w:hAnsi="Times New Roman"/>
                <w:sz w:val="18"/>
              </w:rPr>
              <w:t xml:space="preserve">−0.031 (0.098)</w:t>
            </w:r>
          </w:p>
        </w:tc>
      </w:tr>
      <w:tr>
        <w:tc>
          <w:tcPr>
            <w:tcW w:type="dxa" w:w="2880"/>
          </w:tcPr>
          <w:p>
            <w:pPr>
              <w:pStyle w:val="Compact"/>
              <w:spacing w:line="240" w:lineRule="auto" w:after="20"/>
              <w:ind w:firstLine="0"/>
              <w:jc w:val="left"/>
            </w:pPr>
            <w:r>
              <w:rPr>
                <w:rFonts w:ascii="Times New Roman" w:hAnsi="Times New Roman"/>
                <w:sz w:val="18"/>
              </w:rPr>
              <w:t xml:space="preserve">huggingface/accelerate</w:t>
            </w:r>
          </w:p>
        </w:tc>
        <w:tc>
          <w:tcPr>
            <w:tcW w:type="dxa" w:w="792"/>
          </w:tcPr>
          <w:p>
            <w:pPr>
              <w:pStyle w:val="Compact"/>
              <w:spacing w:line="240" w:lineRule="auto" w:after="20"/>
              <w:ind w:firstLine="0"/>
              <w:jc w:val="right"/>
            </w:pPr>
            <w:r>
              <w:rPr>
                <w:rFonts w:ascii="Times New Roman" w:hAnsi="Times New Roman"/>
                <w:sz w:val="18"/>
              </w:rPr>
              <w:t xml:space="preserve">193</w:t>
            </w:r>
          </w:p>
        </w:tc>
        <w:tc>
          <w:tcPr>
            <w:tcW w:type="dxa" w:w="1008"/>
          </w:tcPr>
          <w:p>
            <w:pPr>
              <w:pStyle w:val="Compact"/>
              <w:spacing w:line="240" w:lineRule="auto" w:after="20"/>
              <w:ind w:firstLine="0"/>
              <w:jc w:val="right"/>
            </w:pPr>
            <w:r>
              <w:rPr>
                <w:rFonts w:ascii="Times New Roman" w:hAnsi="Times New Roman"/>
                <w:sz w:val="18"/>
              </w:rPr>
              <w:t xml:space="preserve">51</w:t>
            </w:r>
          </w:p>
        </w:tc>
        <w:tc>
          <w:tcPr>
            <w:tcW w:type="dxa" w:w="1080"/>
          </w:tcPr>
          <w:p>
            <w:pPr>
              <w:pStyle w:val="Compact"/>
              <w:spacing w:line="240" w:lineRule="auto" w:after="20"/>
              <w:ind w:firstLine="0"/>
              <w:jc w:val="right"/>
            </w:pPr>
            <w:r>
              <w:rPr>
                <w:rFonts w:ascii="Times New Roman" w:hAnsi="Times New Roman"/>
                <w:sz w:val="18"/>
              </w:rPr>
              <w:t xml:space="preserve">4</w:t>
            </w:r>
          </w:p>
        </w:tc>
        <w:tc>
          <w:tcPr>
            <w:tcW w:type="dxa" w:w="1800"/>
          </w:tcPr>
          <w:p>
            <w:pPr>
              <w:pStyle w:val="Compact"/>
              <w:spacing w:line="240" w:lineRule="auto" w:after="20"/>
              <w:ind w:firstLine="0"/>
              <w:jc w:val="right"/>
            </w:pPr>
            <w:r>
              <w:rPr>
                <w:rFonts w:ascii="Times New Roman" w:hAnsi="Times New Roman"/>
                <w:sz w:val="18"/>
              </w:rPr>
              <w:t xml:space="preserve">−0.021 (0.032)</w:t>
            </w:r>
          </w:p>
        </w:tc>
        <w:tc>
          <w:tcPr>
            <w:tcW w:type="dxa" w:w="1800"/>
          </w:tcPr>
          <w:p>
            <w:pPr>
              <w:pStyle w:val="Compact"/>
              <w:spacing w:line="240" w:lineRule="auto" w:after="20"/>
              <w:ind w:firstLine="0"/>
              <w:jc w:val="right"/>
            </w:pPr>
            <w:r>
              <w:rPr>
                <w:rFonts w:ascii="Times New Roman" w:hAnsi="Times New Roman"/>
                <w:sz w:val="18"/>
              </w:rPr>
              <w:t xml:space="preserve">0.168 (0.133)</w:t>
            </w:r>
          </w:p>
        </w:tc>
      </w:tr>
      <w:tr>
        <w:tc>
          <w:tcPr>
            <w:tcW w:type="dxa" w:w="2880"/>
          </w:tcPr>
          <w:p>
            <w:pPr>
              <w:pStyle w:val="Compact"/>
              <w:spacing w:line="240" w:lineRule="auto" w:after="20"/>
              <w:ind w:firstLine="0"/>
              <w:jc w:val="left"/>
            </w:pPr>
            <w:r>
              <w:rPr>
                <w:rFonts w:ascii="Times New Roman" w:hAnsi="Times New Roman"/>
                <w:sz w:val="18"/>
              </w:rPr>
              <w:t xml:space="preserve">huggingface/diffusers</w:t>
            </w:r>
          </w:p>
        </w:tc>
        <w:tc>
          <w:tcPr>
            <w:tcW w:type="dxa" w:w="792"/>
          </w:tcPr>
          <w:p>
            <w:pPr>
              <w:pStyle w:val="Compact"/>
              <w:spacing w:line="240" w:lineRule="auto" w:after="20"/>
              <w:ind w:firstLine="0"/>
              <w:jc w:val="right"/>
            </w:pPr>
            <w:r>
              <w:rPr>
                <w:rFonts w:ascii="Times New Roman" w:hAnsi="Times New Roman"/>
                <w:sz w:val="18"/>
              </w:rPr>
              <w:t xml:space="preserve">194</w:t>
            </w:r>
          </w:p>
        </w:tc>
        <w:tc>
          <w:tcPr>
            <w:tcW w:type="dxa" w:w="1008"/>
          </w:tcPr>
          <w:p>
            <w:pPr>
              <w:pStyle w:val="Compact"/>
              <w:spacing w:line="240" w:lineRule="auto" w:after="20"/>
              <w:ind w:firstLine="0"/>
              <w:jc w:val="right"/>
            </w:pPr>
            <w:r>
              <w:rPr>
                <w:rFonts w:ascii="Times New Roman" w:hAnsi="Times New Roman"/>
                <w:sz w:val="18"/>
              </w:rPr>
              <w:t xml:space="preserve">69</w:t>
            </w:r>
          </w:p>
        </w:tc>
        <w:tc>
          <w:tcPr>
            <w:tcW w:type="dxa" w:w="1080"/>
          </w:tcPr>
          <w:p>
            <w:pPr>
              <w:pStyle w:val="Compact"/>
              <w:spacing w:line="240" w:lineRule="auto" w:after="20"/>
              <w:ind w:firstLine="0"/>
              <w:jc w:val="right"/>
            </w:pPr>
            <w:r>
              <w:rPr>
                <w:rFonts w:ascii="Times New Roman" w:hAnsi="Times New Roman"/>
                <w:sz w:val="18"/>
              </w:rPr>
              <w:t xml:space="preserve">3</w:t>
            </w:r>
          </w:p>
        </w:tc>
        <w:tc>
          <w:tcPr>
            <w:tcW w:type="dxa" w:w="1800"/>
          </w:tcPr>
          <w:p>
            <w:pPr>
              <w:pStyle w:val="Compact"/>
              <w:spacing w:line="240" w:lineRule="auto" w:after="20"/>
              <w:ind w:firstLine="0"/>
              <w:jc w:val="right"/>
            </w:pPr>
            <w:r>
              <w:rPr>
                <w:rFonts w:ascii="Times New Roman" w:hAnsi="Times New Roman"/>
                <w:sz w:val="18"/>
              </w:rPr>
              <w:t xml:space="preserve">0.004 (0.012)</w:t>
            </w:r>
          </w:p>
        </w:tc>
        <w:tc>
          <w:tcPr>
            <w:tcW w:type="dxa" w:w="1800"/>
          </w:tcPr>
          <w:p>
            <w:pPr>
              <w:pStyle w:val="Compact"/>
              <w:spacing w:line="240" w:lineRule="auto" w:after="20"/>
              <w:ind w:firstLine="0"/>
              <w:jc w:val="right"/>
            </w:pPr>
            <w:r>
              <w:rPr>
                <w:rFonts w:ascii="Times New Roman" w:hAnsi="Times New Roman"/>
                <w:sz w:val="18"/>
              </w:rPr>
              <w:t xml:space="preserve">0.002 (0.064)</w:t>
            </w:r>
          </w:p>
        </w:tc>
      </w:tr>
      <w:tr>
        <w:tc>
          <w:tcPr>
            <w:tcW w:type="dxa" w:w="2880"/>
          </w:tcPr>
          <w:p>
            <w:pPr>
              <w:pStyle w:val="Compact"/>
              <w:spacing w:line="240" w:lineRule="auto" w:after="20"/>
              <w:ind w:firstLine="0"/>
              <w:jc w:val="left"/>
            </w:pPr>
            <w:r>
              <w:rPr>
                <w:rFonts w:ascii="Times New Roman" w:hAnsi="Times New Roman"/>
                <w:sz w:val="18"/>
              </w:rPr>
              <w:t xml:space="preserve">huggingface/peft</w:t>
            </w:r>
          </w:p>
        </w:tc>
        <w:tc>
          <w:tcPr>
            <w:tcW w:type="dxa" w:w="792"/>
          </w:tcPr>
          <w:p>
            <w:pPr>
              <w:pStyle w:val="Compact"/>
              <w:spacing w:line="240" w:lineRule="auto" w:after="20"/>
              <w:ind w:firstLine="0"/>
              <w:jc w:val="right"/>
            </w:pPr>
            <w:r>
              <w:rPr>
                <w:rFonts w:ascii="Times New Roman" w:hAnsi="Times New Roman"/>
                <w:sz w:val="18"/>
              </w:rPr>
              <w:t xml:space="preserve">192</w:t>
            </w:r>
          </w:p>
        </w:tc>
        <w:tc>
          <w:tcPr>
            <w:tcW w:type="dxa" w:w="1008"/>
          </w:tcPr>
          <w:p>
            <w:pPr>
              <w:pStyle w:val="Compact"/>
              <w:spacing w:line="240" w:lineRule="auto" w:after="20"/>
              <w:ind w:firstLine="0"/>
              <w:jc w:val="right"/>
            </w:pPr>
            <w:r>
              <w:rPr>
                <w:rFonts w:ascii="Times New Roman" w:hAnsi="Times New Roman"/>
                <w:sz w:val="18"/>
              </w:rPr>
              <w:t xml:space="preserve">36</w:t>
            </w:r>
          </w:p>
        </w:tc>
        <w:tc>
          <w:tcPr>
            <w:tcW w:type="dxa" w:w="1080"/>
          </w:tcPr>
          <w:p>
            <w:pPr>
              <w:pStyle w:val="Compact"/>
              <w:spacing w:line="240" w:lineRule="auto" w:after="20"/>
              <w:ind w:firstLine="0"/>
              <w:jc w:val="right"/>
            </w:pPr>
            <w:r>
              <w:rPr>
                <w:rFonts w:ascii="Times New Roman" w:hAnsi="Times New Roman"/>
                <w:sz w:val="18"/>
              </w:rPr>
              <w:t xml:space="preserve">7</w:t>
            </w:r>
          </w:p>
        </w:tc>
        <w:tc>
          <w:tcPr>
            <w:tcW w:type="dxa" w:w="1800"/>
          </w:tcPr>
          <w:p>
            <w:pPr>
              <w:pStyle w:val="Compact"/>
              <w:spacing w:line="240" w:lineRule="auto" w:after="20"/>
              <w:ind w:firstLine="0"/>
              <w:jc w:val="right"/>
            </w:pPr>
            <w:r>
              <w:rPr>
                <w:rFonts w:ascii="Times New Roman" w:hAnsi="Times New Roman"/>
                <w:sz w:val="18"/>
              </w:rPr>
              <w:t xml:space="preserve">−0.016 (0.018)</w:t>
            </w:r>
          </w:p>
        </w:tc>
        <w:tc>
          <w:tcPr>
            <w:tcW w:type="dxa" w:w="1800"/>
          </w:tcPr>
          <w:p>
            <w:pPr>
              <w:pStyle w:val="Compact"/>
              <w:spacing w:line="240" w:lineRule="auto" w:after="20"/>
              <w:ind w:firstLine="0"/>
              <w:jc w:val="right"/>
            </w:pPr>
            <w:r>
              <w:rPr>
                <w:rFonts w:ascii="Times New Roman" w:hAnsi="Times New Roman"/>
                <w:sz w:val="18"/>
              </w:rPr>
              <w:t xml:space="preserve">0.127 (0.082)</w:t>
            </w:r>
          </w:p>
        </w:tc>
      </w:tr>
      <w:tr>
        <w:tc>
          <w:tcPr>
            <w:tcW w:type="dxa" w:w="2880"/>
          </w:tcPr>
          <w:p>
            <w:pPr>
              <w:pStyle w:val="Compact"/>
              <w:spacing w:line="240" w:lineRule="auto" w:after="20"/>
              <w:ind w:firstLine="0"/>
              <w:jc w:val="left"/>
            </w:pPr>
            <w:r>
              <w:rPr>
                <w:rFonts w:ascii="Times New Roman" w:hAnsi="Times New Roman"/>
                <w:sz w:val="18"/>
              </w:rPr>
              <w:t xml:space="preserve">huggingface/text-generation-inference</w:t>
            </w:r>
          </w:p>
        </w:tc>
        <w:tc>
          <w:tcPr>
            <w:tcW w:type="dxa" w:w="792"/>
          </w:tcPr>
          <w:p>
            <w:pPr>
              <w:pStyle w:val="Compact"/>
              <w:spacing w:line="240" w:lineRule="auto" w:after="20"/>
              <w:ind w:firstLine="0"/>
              <w:jc w:val="right"/>
            </w:pPr>
            <w:r>
              <w:rPr>
                <w:rFonts w:ascii="Times New Roman" w:hAnsi="Times New Roman"/>
                <w:sz w:val="18"/>
              </w:rPr>
              <w:t xml:space="preserve">193</w:t>
            </w:r>
          </w:p>
        </w:tc>
        <w:tc>
          <w:tcPr>
            <w:tcW w:type="dxa" w:w="1008"/>
          </w:tcPr>
          <w:p>
            <w:pPr>
              <w:pStyle w:val="Compact"/>
              <w:spacing w:line="240" w:lineRule="auto" w:after="20"/>
              <w:ind w:firstLine="0"/>
              <w:jc w:val="right"/>
            </w:pPr>
            <w:r>
              <w:rPr>
                <w:rFonts w:ascii="Times New Roman" w:hAnsi="Times New Roman"/>
                <w:sz w:val="18"/>
              </w:rPr>
              <w:t xml:space="preserve">67</w:t>
            </w:r>
          </w:p>
        </w:tc>
        <w:tc>
          <w:tcPr>
            <w:tcW w:type="dxa" w:w="1080"/>
          </w:tcPr>
          <w:p>
            <w:pPr>
              <w:pStyle w:val="Compact"/>
              <w:spacing w:line="240" w:lineRule="auto" w:after="20"/>
              <w:ind w:firstLine="0"/>
              <w:jc w:val="right"/>
            </w:pPr>
            <w:r>
              <w:rPr>
                <w:rFonts w:ascii="Times New Roman" w:hAnsi="Times New Roman"/>
                <w:sz w:val="18"/>
              </w:rPr>
              <w:t xml:space="preserve">2</w:t>
            </w:r>
          </w:p>
        </w:tc>
        <w:tc>
          <w:tcPr>
            <w:tcW w:type="dxa" w:w="1800"/>
          </w:tcPr>
          <w:p>
            <w:pPr>
              <w:pStyle w:val="Compact"/>
              <w:spacing w:line="240" w:lineRule="auto" w:after="20"/>
              <w:ind w:firstLine="0"/>
              <w:jc w:val="right"/>
            </w:pPr>
            <w:r>
              <w:rPr>
                <w:rFonts w:ascii="Times New Roman" w:hAnsi="Times New Roman"/>
                <w:sz w:val="18"/>
              </w:rPr>
              <w:t xml:space="preserve">−0.094 (0.038)</w:t>
            </w:r>
          </w:p>
        </w:tc>
        <w:tc>
          <w:tcPr>
            <w:tcW w:type="dxa" w:w="1800"/>
          </w:tcPr>
          <w:p>
            <w:pPr>
              <w:pStyle w:val="Compact"/>
              <w:spacing w:line="240" w:lineRule="auto" w:after="20"/>
              <w:ind w:firstLine="0"/>
              <w:jc w:val="right"/>
            </w:pPr>
            <w:r>
              <w:rPr>
                <w:rFonts w:ascii="Times New Roman" w:hAnsi="Times New Roman"/>
                <w:sz w:val="18"/>
              </w:rPr>
              <w:t xml:space="preserve">−0.290 (0.139)</w:t>
            </w:r>
          </w:p>
        </w:tc>
      </w:tr>
      <w:tr>
        <w:tc>
          <w:tcPr>
            <w:tcW w:type="dxa" w:w="2880"/>
          </w:tcPr>
          <w:p>
            <w:pPr>
              <w:pStyle w:val="Compact"/>
              <w:spacing w:line="240" w:lineRule="auto" w:after="20"/>
              <w:ind w:firstLine="0"/>
              <w:jc w:val="left"/>
            </w:pPr>
            <w:r>
              <w:rPr>
                <w:rFonts w:ascii="Times New Roman" w:hAnsi="Times New Roman"/>
                <w:sz w:val="18"/>
              </w:rPr>
              <w:t xml:space="preserve">huggingface/trl</w:t>
            </w:r>
          </w:p>
        </w:tc>
        <w:tc>
          <w:tcPr>
            <w:tcW w:type="dxa" w:w="792"/>
          </w:tcPr>
          <w:p>
            <w:pPr>
              <w:pStyle w:val="Compact"/>
              <w:spacing w:line="240" w:lineRule="auto" w:after="20"/>
              <w:ind w:firstLine="0"/>
              <w:jc w:val="right"/>
            </w:pPr>
            <w:r>
              <w:rPr>
                <w:rFonts w:ascii="Times New Roman" w:hAnsi="Times New Roman"/>
                <w:sz w:val="18"/>
              </w:rPr>
              <w:t xml:space="preserve">194</w:t>
            </w:r>
          </w:p>
        </w:tc>
        <w:tc>
          <w:tcPr>
            <w:tcW w:type="dxa" w:w="1008"/>
          </w:tcPr>
          <w:p>
            <w:pPr>
              <w:pStyle w:val="Compact"/>
              <w:spacing w:line="240" w:lineRule="auto" w:after="20"/>
              <w:ind w:firstLine="0"/>
              <w:jc w:val="right"/>
            </w:pPr>
            <w:r>
              <w:rPr>
                <w:rFonts w:ascii="Times New Roman" w:hAnsi="Times New Roman"/>
                <w:sz w:val="18"/>
              </w:rPr>
              <w:t xml:space="preserve">99</w:t>
            </w:r>
          </w:p>
        </w:tc>
        <w:tc>
          <w:tcPr>
            <w:tcW w:type="dxa" w:w="1080"/>
          </w:tcPr>
          <w:p>
            <w:pPr>
              <w:pStyle w:val="Compact"/>
              <w:spacing w:line="240" w:lineRule="auto" w:after="20"/>
              <w:ind w:firstLine="0"/>
              <w:jc w:val="right"/>
            </w:pPr>
            <w:r>
              <w:rPr>
                <w:rFonts w:ascii="Times New Roman" w:hAnsi="Times New Roman"/>
                <w:sz w:val="18"/>
              </w:rPr>
              <w:t xml:space="preserve">2</w:t>
            </w:r>
          </w:p>
        </w:tc>
        <w:tc>
          <w:tcPr>
            <w:tcW w:type="dxa" w:w="1800"/>
          </w:tcPr>
          <w:p>
            <w:pPr>
              <w:pStyle w:val="Compact"/>
              <w:spacing w:line="240" w:lineRule="auto" w:after="20"/>
              <w:ind w:firstLine="0"/>
              <w:jc w:val="right"/>
            </w:pPr>
            <w:r>
              <w:rPr>
                <w:rFonts w:ascii="Times New Roman" w:hAnsi="Times New Roman"/>
                <w:sz w:val="18"/>
              </w:rPr>
              <w:t xml:space="preserve">−0.048 (0.029)</w:t>
            </w:r>
          </w:p>
        </w:tc>
        <w:tc>
          <w:tcPr>
            <w:tcW w:type="dxa" w:w="1800"/>
          </w:tcPr>
          <w:p>
            <w:pPr>
              <w:pStyle w:val="Compact"/>
              <w:spacing w:line="240" w:lineRule="auto" w:after="20"/>
              <w:ind w:firstLine="0"/>
              <w:jc w:val="right"/>
            </w:pPr>
            <w:r>
              <w:rPr>
                <w:rFonts w:ascii="Times New Roman" w:hAnsi="Times New Roman"/>
                <w:sz w:val="18"/>
              </w:rPr>
              <w:t xml:space="preserve">0.023 (0.123)</w:t>
            </w:r>
          </w:p>
        </w:tc>
      </w:tr>
      <w:tr>
        <w:tc>
          <w:tcPr>
            <w:tcW w:type="dxa" w:w="2880"/>
          </w:tcPr>
          <w:p>
            <w:pPr>
              <w:pStyle w:val="Compact"/>
              <w:spacing w:line="240" w:lineRule="auto" w:after="20"/>
              <w:ind w:firstLine="0"/>
              <w:jc w:val="left"/>
            </w:pPr>
            <w:r>
              <w:rPr>
                <w:rFonts w:ascii="Times New Roman" w:hAnsi="Times New Roman"/>
                <w:sz w:val="18"/>
              </w:rPr>
              <w:t xml:space="preserve">lm-sys/FastChat</w:t>
            </w:r>
          </w:p>
        </w:tc>
        <w:tc>
          <w:tcPr>
            <w:tcW w:type="dxa" w:w="792"/>
          </w:tcPr>
          <w:p>
            <w:pPr>
              <w:pStyle w:val="Compact"/>
              <w:spacing w:line="240" w:lineRule="auto" w:after="20"/>
              <w:ind w:firstLine="0"/>
              <w:jc w:val="right"/>
            </w:pPr>
            <w:r>
              <w:rPr>
                <w:rFonts w:ascii="Times New Roman" w:hAnsi="Times New Roman"/>
                <w:sz w:val="18"/>
              </w:rPr>
              <w:t xml:space="preserve">182</w:t>
            </w:r>
          </w:p>
        </w:tc>
        <w:tc>
          <w:tcPr>
            <w:tcW w:type="dxa" w:w="1008"/>
          </w:tcPr>
          <w:p>
            <w:pPr>
              <w:pStyle w:val="Compact"/>
              <w:spacing w:line="240" w:lineRule="auto" w:after="20"/>
              <w:ind w:firstLine="0"/>
              <w:jc w:val="right"/>
            </w:pPr>
            <w:r>
              <w:rPr>
                <w:rFonts w:ascii="Times New Roman" w:hAnsi="Times New Roman"/>
                <w:sz w:val="18"/>
              </w:rPr>
              <w:t xml:space="preserve">14</w:t>
            </w:r>
          </w:p>
        </w:tc>
        <w:tc>
          <w:tcPr>
            <w:tcW w:type="dxa" w:w="1080"/>
          </w:tcPr>
          <w:p>
            <w:pPr>
              <w:pStyle w:val="Compact"/>
              <w:spacing w:line="240" w:lineRule="auto" w:after="20"/>
              <w:ind w:firstLine="0"/>
              <w:jc w:val="right"/>
            </w:pPr>
            <w:r>
              <w:rPr>
                <w:rFonts w:ascii="Times New Roman" w:hAnsi="Times New Roman"/>
                <w:sz w:val="18"/>
              </w:rPr>
              <w:t xml:space="preserve">3</w:t>
            </w:r>
          </w:p>
        </w:tc>
        <w:tc>
          <w:tcPr>
            <w:tcW w:type="dxa" w:w="1800"/>
          </w:tcPr>
          <w:p>
            <w:pPr>
              <w:pStyle w:val="Compact"/>
              <w:spacing w:line="240" w:lineRule="auto" w:after="20"/>
              <w:ind w:firstLine="0"/>
              <w:jc w:val="right"/>
            </w:pPr>
            <w:r>
              <w:rPr>
                <w:rFonts w:ascii="Times New Roman" w:hAnsi="Times New Roman"/>
                <w:sz w:val="18"/>
              </w:rPr>
              <w:t xml:space="preserve">0.007 (0.055)</w:t>
            </w:r>
          </w:p>
        </w:tc>
        <w:tc>
          <w:tcPr>
            <w:tcW w:type="dxa" w:w="1800"/>
          </w:tcPr>
          <w:p>
            <w:pPr>
              <w:pStyle w:val="Compact"/>
              <w:spacing w:line="240" w:lineRule="auto" w:after="20"/>
              <w:ind w:firstLine="0"/>
              <w:jc w:val="right"/>
            </w:pPr>
            <w:r>
              <w:rPr>
                <w:rFonts w:ascii="Times New Roman" w:hAnsi="Times New Roman"/>
                <w:sz w:val="18"/>
              </w:rPr>
              <w:t xml:space="preserve">−0.439 (1.096)</w:t>
            </w:r>
          </w:p>
        </w:tc>
      </w:tr>
      <w:tr>
        <w:tc>
          <w:tcPr>
            <w:tcW w:type="dxa" w:w="2880"/>
          </w:tcPr>
          <w:p>
            <w:pPr>
              <w:pStyle w:val="Compact"/>
              <w:spacing w:line="240" w:lineRule="auto" w:after="20"/>
              <w:ind w:firstLine="0"/>
              <w:jc w:val="left"/>
            </w:pPr>
            <w:r>
              <w:rPr>
                <w:rFonts w:ascii="Times New Roman" w:hAnsi="Times New Roman"/>
                <w:sz w:val="18"/>
              </w:rPr>
              <w:t xml:space="preserve">microsoft/autogen</w:t>
            </w:r>
          </w:p>
        </w:tc>
        <w:tc>
          <w:tcPr>
            <w:tcW w:type="dxa" w:w="792"/>
          </w:tcPr>
          <w:p>
            <w:pPr>
              <w:pStyle w:val="Compact"/>
              <w:spacing w:line="240" w:lineRule="auto" w:after="20"/>
              <w:ind w:firstLine="0"/>
              <w:jc w:val="right"/>
            </w:pPr>
            <w:r>
              <w:rPr>
                <w:rFonts w:ascii="Times New Roman" w:hAnsi="Times New Roman"/>
                <w:sz w:val="18"/>
              </w:rPr>
              <w:t xml:space="preserve">160</w:t>
            </w:r>
          </w:p>
        </w:tc>
        <w:tc>
          <w:tcPr>
            <w:tcW w:type="dxa" w:w="1008"/>
          </w:tcPr>
          <w:p>
            <w:pPr>
              <w:pStyle w:val="Compact"/>
              <w:spacing w:line="240" w:lineRule="auto" w:after="20"/>
              <w:ind w:firstLine="0"/>
              <w:jc w:val="right"/>
            </w:pPr>
            <w:r>
              <w:rPr>
                <w:rFonts w:ascii="Times New Roman" w:hAnsi="Times New Roman"/>
                <w:sz w:val="18"/>
              </w:rPr>
              <w:t xml:space="preserve">86</w:t>
            </w:r>
          </w:p>
        </w:tc>
        <w:tc>
          <w:tcPr>
            <w:tcW w:type="dxa" w:w="1080"/>
          </w:tcPr>
          <w:p>
            <w:pPr>
              <w:pStyle w:val="Compact"/>
              <w:spacing w:line="240" w:lineRule="auto" w:after="20"/>
              <w:ind w:firstLine="0"/>
              <w:jc w:val="right"/>
            </w:pPr>
            <w:r>
              <w:rPr>
                <w:rFonts w:ascii="Times New Roman" w:hAnsi="Times New Roman"/>
                <w:sz w:val="18"/>
              </w:rPr>
              <w:t xml:space="preserve">1</w:t>
            </w:r>
          </w:p>
        </w:tc>
        <w:tc>
          <w:tcPr>
            <w:tcW w:type="dxa" w:w="1800"/>
          </w:tcPr>
          <w:p>
            <w:pPr>
              <w:pStyle w:val="Compact"/>
              <w:spacing w:line="240" w:lineRule="auto" w:after="20"/>
              <w:ind w:firstLine="0"/>
              <w:jc w:val="right"/>
            </w:pPr>
            <w:r>
              <w:rPr>
                <w:rFonts w:ascii="Times New Roman" w:hAnsi="Times New Roman"/>
                <w:sz w:val="18"/>
              </w:rPr>
              <w:t xml:space="preserve">−0.024 (0.046)</w:t>
            </w:r>
          </w:p>
        </w:tc>
        <w:tc>
          <w:tcPr>
            <w:tcW w:type="dxa" w:w="1800"/>
          </w:tcPr>
          <w:p>
            <w:pPr>
              <w:pStyle w:val="Compact"/>
              <w:spacing w:line="240" w:lineRule="auto" w:after="20"/>
              <w:ind w:firstLine="0"/>
              <w:jc w:val="right"/>
            </w:pPr>
            <w:r>
              <w:rPr>
                <w:rFonts w:ascii="Times New Roman" w:hAnsi="Times New Roman"/>
                <w:sz w:val="18"/>
              </w:rPr>
              <w:t xml:space="preserve">−0.491 (0.280)</w:t>
            </w:r>
          </w:p>
        </w:tc>
      </w:tr>
      <w:tr>
        <w:tc>
          <w:tcPr>
            <w:tcW w:type="dxa" w:w="2880"/>
          </w:tcPr>
          <w:p>
            <w:pPr>
              <w:pStyle w:val="Compact"/>
              <w:spacing w:line="240" w:lineRule="auto" w:after="20"/>
              <w:ind w:firstLine="0"/>
              <w:jc w:val="left"/>
            </w:pPr>
            <w:r>
              <w:rPr>
                <w:rFonts w:ascii="Times New Roman" w:hAnsi="Times New Roman"/>
                <w:sz w:val="18"/>
              </w:rPr>
              <w:t xml:space="preserve">microsoft/semantic-kernel</w:t>
            </w:r>
          </w:p>
        </w:tc>
        <w:tc>
          <w:tcPr>
            <w:tcW w:type="dxa" w:w="792"/>
          </w:tcPr>
          <w:p>
            <w:pPr>
              <w:pStyle w:val="Compact"/>
              <w:spacing w:line="240" w:lineRule="auto" w:after="20"/>
              <w:ind w:firstLine="0"/>
              <w:jc w:val="right"/>
            </w:pPr>
            <w:r>
              <w:rPr>
                <w:rFonts w:ascii="Times New Roman" w:hAnsi="Times New Roman"/>
                <w:sz w:val="18"/>
              </w:rPr>
              <w:t xml:space="preserve">164</w:t>
            </w:r>
          </w:p>
        </w:tc>
        <w:tc>
          <w:tcPr>
            <w:tcW w:type="dxa" w:w="1008"/>
          </w:tcPr>
          <w:p>
            <w:pPr>
              <w:pStyle w:val="Compact"/>
              <w:spacing w:line="240" w:lineRule="auto" w:after="20"/>
              <w:ind w:firstLine="0"/>
              <w:jc w:val="right"/>
            </w:pPr>
            <w:r>
              <w:rPr>
                <w:rFonts w:ascii="Times New Roman" w:hAnsi="Times New Roman"/>
                <w:sz w:val="18"/>
              </w:rPr>
              <w:t xml:space="preserve">225</w:t>
            </w:r>
          </w:p>
        </w:tc>
        <w:tc>
          <w:tcPr>
            <w:tcW w:type="dxa" w:w="1080"/>
          </w:tcPr>
          <w:p>
            <w:pPr>
              <w:pStyle w:val="Compact"/>
              <w:spacing w:line="240" w:lineRule="auto" w:after="20"/>
              <w:ind w:firstLine="0"/>
              <w:jc w:val="right"/>
            </w:pPr>
            <w:r>
              <w:rPr>
                <w:rFonts w:ascii="Times New Roman" w:hAnsi="Times New Roman"/>
                <w:sz w:val="18"/>
              </w:rPr>
              <w:t xml:space="preserve">1</w:t>
            </w:r>
          </w:p>
        </w:tc>
        <w:tc>
          <w:tcPr>
            <w:tcW w:type="dxa" w:w="1800"/>
          </w:tcPr>
          <w:p>
            <w:pPr>
              <w:pStyle w:val="Compact"/>
              <w:spacing w:line="240" w:lineRule="auto" w:after="20"/>
              <w:ind w:firstLine="0"/>
              <w:jc w:val="right"/>
            </w:pPr>
            <w:r>
              <w:rPr>
                <w:rFonts w:ascii="Times New Roman" w:hAnsi="Times New Roman"/>
                <w:sz w:val="18"/>
              </w:rPr>
              <w:t xml:space="preserve">−0.231 (0.066)</w:t>
            </w:r>
          </w:p>
        </w:tc>
        <w:tc>
          <w:tcPr>
            <w:tcW w:type="dxa" w:w="1800"/>
          </w:tcPr>
          <w:p>
            <w:pPr>
              <w:pStyle w:val="Compact"/>
              <w:spacing w:line="240" w:lineRule="auto" w:after="20"/>
              <w:ind w:firstLine="0"/>
              <w:jc w:val="right"/>
            </w:pPr>
            <w:r>
              <w:rPr>
                <w:rFonts w:ascii="Times New Roman" w:hAnsi="Times New Roman"/>
                <w:sz w:val="18"/>
              </w:rPr>
              <w:t xml:space="preserve">−0.333 (0.153)</w:t>
            </w:r>
          </w:p>
        </w:tc>
      </w:tr>
      <w:tr>
        <w:tc>
          <w:tcPr>
            <w:tcW w:type="dxa" w:w="2880"/>
          </w:tcPr>
          <w:p>
            <w:pPr>
              <w:pStyle w:val="Compact"/>
              <w:spacing w:line="240" w:lineRule="auto" w:after="20"/>
              <w:ind w:firstLine="0"/>
              <w:jc w:val="left"/>
            </w:pPr>
            <w:r>
              <w:rPr>
                <w:rFonts w:ascii="Times New Roman" w:hAnsi="Times New Roman"/>
                <w:sz w:val="18"/>
              </w:rPr>
              <w:t xml:space="preserve">NVIDIA/TensorRT-LLM</w:t>
            </w:r>
          </w:p>
        </w:tc>
        <w:tc>
          <w:tcPr>
            <w:tcW w:type="dxa" w:w="792"/>
          </w:tcPr>
          <w:p>
            <w:pPr>
              <w:pStyle w:val="Compact"/>
              <w:spacing w:line="240" w:lineRule="auto" w:after="20"/>
              <w:ind w:firstLine="0"/>
              <w:jc w:val="right"/>
            </w:pPr>
            <w:r>
              <w:rPr>
                <w:rFonts w:ascii="Times New Roman" w:hAnsi="Times New Roman"/>
                <w:sz w:val="18"/>
              </w:rPr>
              <w:t xml:space="preserve">156</w:t>
            </w:r>
          </w:p>
        </w:tc>
        <w:tc>
          <w:tcPr>
            <w:tcW w:type="dxa" w:w="1008"/>
          </w:tcPr>
          <w:p>
            <w:pPr>
              <w:pStyle w:val="Compact"/>
              <w:spacing w:line="240" w:lineRule="auto" w:after="20"/>
              <w:ind w:firstLine="0"/>
              <w:jc w:val="right"/>
            </w:pPr>
            <w:r>
              <w:rPr>
                <w:rFonts w:ascii="Times New Roman" w:hAnsi="Times New Roman"/>
                <w:sz w:val="18"/>
              </w:rPr>
              <w:t xml:space="preserve">23</w:t>
            </w:r>
          </w:p>
        </w:tc>
        <w:tc>
          <w:tcPr>
            <w:tcW w:type="dxa" w:w="1080"/>
          </w:tcPr>
          <w:p>
            <w:pPr>
              <w:pStyle w:val="Compact"/>
              <w:spacing w:line="240" w:lineRule="auto" w:after="20"/>
              <w:ind w:firstLine="0"/>
              <w:jc w:val="right"/>
            </w:pPr>
            <w:r>
              <w:rPr>
                <w:rFonts w:ascii="Times New Roman" w:hAnsi="Times New Roman"/>
                <w:sz w:val="18"/>
              </w:rPr>
              <w:t xml:space="preserve">6</w:t>
            </w:r>
          </w:p>
        </w:tc>
        <w:tc>
          <w:tcPr>
            <w:tcW w:type="dxa" w:w="1800"/>
          </w:tcPr>
          <w:p>
            <w:pPr>
              <w:pStyle w:val="Compact"/>
              <w:spacing w:line="240" w:lineRule="auto" w:after="20"/>
              <w:ind w:firstLine="0"/>
              <w:jc w:val="right"/>
            </w:pPr>
            <w:r>
              <w:rPr>
                <w:rFonts w:ascii="Times New Roman" w:hAnsi="Times New Roman"/>
                <w:sz w:val="18"/>
              </w:rPr>
              <w:t xml:space="preserve">0.020 (0.015)</w:t>
            </w:r>
          </w:p>
        </w:tc>
        <w:tc>
          <w:tcPr>
            <w:tcW w:type="dxa" w:w="1800"/>
          </w:tcPr>
          <w:p>
            <w:pPr>
              <w:pStyle w:val="Compact"/>
              <w:spacing w:line="240" w:lineRule="auto" w:after="20"/>
              <w:ind w:firstLine="0"/>
              <w:jc w:val="right"/>
            </w:pPr>
            <w:r>
              <w:rPr>
                <w:rFonts w:ascii="Times New Roman" w:hAnsi="Times New Roman"/>
                <w:sz w:val="18"/>
              </w:rPr>
              <w:t xml:space="preserve">0.224 (0.166)</w:t>
            </w:r>
          </w:p>
        </w:tc>
      </w:tr>
      <w:tr>
        <w:tc>
          <w:tcPr>
            <w:tcW w:type="dxa" w:w="2880"/>
          </w:tcPr>
          <w:p>
            <w:pPr>
              <w:pStyle w:val="Compact"/>
              <w:spacing w:line="240" w:lineRule="auto" w:after="20"/>
              <w:ind w:firstLine="0"/>
              <w:jc w:val="left"/>
            </w:pPr>
            <w:r>
              <w:rPr>
                <w:rFonts w:ascii="Times New Roman" w:hAnsi="Times New Roman"/>
                <w:sz w:val="18"/>
              </w:rPr>
              <w:t xml:space="preserve">Ollama</w:t>
            </w:r>
          </w:p>
        </w:tc>
        <w:tc>
          <w:tcPr>
            <w:tcW w:type="dxa" w:w="792"/>
          </w:tcPr>
          <w:p>
            <w:pPr>
              <w:pStyle w:val="Compact"/>
              <w:spacing w:line="240" w:lineRule="auto" w:after="20"/>
              <w:ind w:firstLine="0"/>
              <w:jc w:val="right"/>
            </w:pPr>
            <w:r>
              <w:rPr>
                <w:rFonts w:ascii="Times New Roman" w:hAnsi="Times New Roman"/>
                <w:sz w:val="18"/>
              </w:rPr>
              <w:t xml:space="preserve">171</w:t>
            </w:r>
          </w:p>
        </w:tc>
        <w:tc>
          <w:tcPr>
            <w:tcW w:type="dxa" w:w="1008"/>
          </w:tcPr>
          <w:p>
            <w:pPr>
              <w:pStyle w:val="Compact"/>
              <w:spacing w:line="240" w:lineRule="auto" w:after="20"/>
              <w:ind w:firstLine="0"/>
              <w:jc w:val="right"/>
            </w:pPr>
            <w:r>
              <w:rPr>
                <w:rFonts w:ascii="Times New Roman" w:hAnsi="Times New Roman"/>
                <w:sz w:val="18"/>
              </w:rPr>
              <w:t xml:space="preserve">257</w:t>
            </w:r>
          </w:p>
        </w:tc>
        <w:tc>
          <w:tcPr>
            <w:tcW w:type="dxa" w:w="1080"/>
          </w:tcPr>
          <w:p>
            <w:pPr>
              <w:pStyle w:val="Compact"/>
              <w:spacing w:line="240" w:lineRule="auto" w:after="20"/>
              <w:ind w:firstLine="0"/>
              <w:jc w:val="right"/>
            </w:pPr>
            <w:r>
              <w:rPr>
                <w:rFonts w:ascii="Times New Roman" w:hAnsi="Times New Roman"/>
                <w:sz w:val="18"/>
              </w:rPr>
              <w:t xml:space="preserve">1</w:t>
            </w:r>
          </w:p>
        </w:tc>
        <w:tc>
          <w:tcPr>
            <w:tcW w:type="dxa" w:w="1800"/>
          </w:tcPr>
          <w:p>
            <w:pPr>
              <w:pStyle w:val="Compact"/>
              <w:spacing w:line="240" w:lineRule="auto" w:after="20"/>
              <w:ind w:firstLine="0"/>
              <w:jc w:val="right"/>
            </w:pPr>
            <w:r>
              <w:rPr>
                <w:rFonts w:ascii="Times New Roman" w:hAnsi="Times New Roman"/>
                <w:sz w:val="18"/>
              </w:rPr>
              <w:t xml:space="preserve">0.067 (0.027)</w:t>
            </w:r>
          </w:p>
        </w:tc>
        <w:tc>
          <w:tcPr>
            <w:tcW w:type="dxa" w:w="1800"/>
          </w:tcPr>
          <w:p>
            <w:pPr>
              <w:pStyle w:val="Compact"/>
              <w:spacing w:line="240" w:lineRule="auto" w:after="20"/>
              <w:ind w:firstLine="0"/>
              <w:jc w:val="right"/>
            </w:pPr>
            <w:r>
              <w:rPr>
                <w:rFonts w:ascii="Times New Roman" w:hAnsi="Times New Roman"/>
                <w:sz w:val="18"/>
              </w:rPr>
              <w:t xml:space="preserve">−0.128 (0.327)</w:t>
            </w:r>
          </w:p>
        </w:tc>
      </w:tr>
      <w:tr>
        <w:tc>
          <w:tcPr>
            <w:tcW w:type="dxa" w:w="2880"/>
          </w:tcPr>
          <w:p>
            <w:pPr>
              <w:pStyle w:val="Compact"/>
              <w:spacing w:line="240" w:lineRule="auto" w:after="20"/>
              <w:ind w:firstLine="0"/>
              <w:jc w:val="left"/>
            </w:pPr>
            <w:r>
              <w:rPr>
                <w:rFonts w:ascii="Times New Roman" w:hAnsi="Times New Roman"/>
                <w:sz w:val="18"/>
              </w:rPr>
              <w:t xml:space="preserve">openai/openai-python</w:t>
            </w:r>
          </w:p>
        </w:tc>
        <w:tc>
          <w:tcPr>
            <w:tcW w:type="dxa" w:w="792"/>
          </w:tcPr>
          <w:p>
            <w:pPr>
              <w:pStyle w:val="Compact"/>
              <w:spacing w:line="240" w:lineRule="auto" w:after="20"/>
              <w:ind w:firstLine="0"/>
              <w:jc w:val="right"/>
            </w:pPr>
            <w:r>
              <w:rPr>
                <w:rFonts w:ascii="Times New Roman" w:hAnsi="Times New Roman"/>
                <w:sz w:val="18"/>
              </w:rPr>
              <w:t xml:space="preserve">197</w:t>
            </w:r>
          </w:p>
        </w:tc>
        <w:tc>
          <w:tcPr>
            <w:tcW w:type="dxa" w:w="1008"/>
          </w:tcPr>
          <w:p>
            <w:pPr>
              <w:pStyle w:val="Compact"/>
              <w:spacing w:line="240" w:lineRule="auto" w:after="20"/>
              <w:ind w:firstLine="0"/>
              <w:jc w:val="right"/>
            </w:pPr>
            <w:r>
              <w:rPr>
                <w:rFonts w:ascii="Times New Roman" w:hAnsi="Times New Roman"/>
                <w:sz w:val="18"/>
              </w:rPr>
              <w:t xml:space="preserve">396</w:t>
            </w:r>
          </w:p>
        </w:tc>
        <w:tc>
          <w:tcPr>
            <w:tcW w:type="dxa" w:w="1080"/>
          </w:tcPr>
          <w:p>
            <w:pPr>
              <w:pStyle w:val="Compact"/>
              <w:spacing w:line="240" w:lineRule="auto" w:after="20"/>
              <w:ind w:firstLine="0"/>
              <w:jc w:val="right"/>
            </w:pPr>
            <w:r>
              <w:rPr>
                <w:rFonts w:ascii="Times New Roman" w:hAnsi="Times New Roman"/>
                <w:sz w:val="18"/>
              </w:rPr>
              <w:t xml:space="preserve">1</w:t>
            </w:r>
          </w:p>
        </w:tc>
        <w:tc>
          <w:tcPr>
            <w:tcW w:type="dxa" w:w="1800"/>
          </w:tcPr>
          <w:p>
            <w:pPr>
              <w:pStyle w:val="Compact"/>
              <w:spacing w:line="240" w:lineRule="auto" w:after="20"/>
              <w:ind w:firstLine="0"/>
              <w:jc w:val="right"/>
            </w:pPr>
            <w:r>
              <w:rPr>
                <w:rFonts w:ascii="Times New Roman" w:hAnsi="Times New Roman"/>
                <w:sz w:val="18"/>
              </w:rPr>
              <w:t xml:space="preserve">−0.039 (0.054)</w:t>
            </w:r>
          </w:p>
        </w:tc>
        <w:tc>
          <w:tcPr>
            <w:tcW w:type="dxa" w:w="1800"/>
          </w:tcPr>
          <w:p>
            <w:pPr>
              <w:pStyle w:val="Compact"/>
              <w:spacing w:line="240" w:lineRule="auto" w:after="20"/>
              <w:ind w:firstLine="0"/>
              <w:jc w:val="right"/>
            </w:pPr>
            <w:r>
              <w:rPr>
                <w:rFonts w:ascii="Times New Roman" w:hAnsi="Times New Roman"/>
                <w:sz w:val="18"/>
              </w:rPr>
              <w:t xml:space="preserve">−0.535 (0.120)</w:t>
            </w:r>
          </w:p>
        </w:tc>
      </w:tr>
      <w:tr>
        <w:tc>
          <w:tcPr>
            <w:tcW w:type="dxa" w:w="2880"/>
          </w:tcPr>
          <w:p>
            <w:pPr>
              <w:pStyle w:val="Compact"/>
              <w:spacing w:line="240" w:lineRule="auto" w:after="20"/>
              <w:ind w:firstLine="0"/>
              <w:jc w:val="left"/>
            </w:pPr>
            <w:r>
              <w:rPr>
                <w:rFonts w:ascii="Times New Roman" w:hAnsi="Times New Roman"/>
                <w:sz w:val="18"/>
              </w:rPr>
              <w:t xml:space="preserve">run-llama/llama_index</w:t>
            </w:r>
          </w:p>
        </w:tc>
        <w:tc>
          <w:tcPr>
            <w:tcW w:type="dxa" w:w="792"/>
          </w:tcPr>
          <w:p>
            <w:pPr>
              <w:pStyle w:val="Compact"/>
              <w:spacing w:line="240" w:lineRule="auto" w:after="20"/>
              <w:ind w:firstLine="0"/>
              <w:jc w:val="right"/>
            </w:pPr>
            <w:r>
              <w:rPr>
                <w:rFonts w:ascii="Times New Roman" w:hAnsi="Times New Roman"/>
                <w:sz w:val="18"/>
              </w:rPr>
              <w:t xml:space="preserve">194</w:t>
            </w:r>
          </w:p>
        </w:tc>
        <w:tc>
          <w:tcPr>
            <w:tcW w:type="dxa" w:w="1008"/>
          </w:tcPr>
          <w:p>
            <w:pPr>
              <w:pStyle w:val="Compact"/>
              <w:spacing w:line="240" w:lineRule="auto" w:after="20"/>
              <w:ind w:firstLine="0"/>
              <w:jc w:val="right"/>
            </w:pPr>
            <w:r>
              <w:rPr>
                <w:rFonts w:ascii="Times New Roman" w:hAnsi="Times New Roman"/>
                <w:sz w:val="18"/>
              </w:rPr>
              <w:t xml:space="preserve">434</w:t>
            </w:r>
          </w:p>
        </w:tc>
        <w:tc>
          <w:tcPr>
            <w:tcW w:type="dxa" w:w="1080"/>
          </w:tcPr>
          <w:p>
            <w:pPr>
              <w:pStyle w:val="Compact"/>
              <w:spacing w:line="240" w:lineRule="auto" w:after="20"/>
              <w:ind w:firstLine="0"/>
              <w:jc w:val="right"/>
            </w:pPr>
            <w:r>
              <w:rPr>
                <w:rFonts w:ascii="Times New Roman" w:hAnsi="Times New Roman"/>
                <w:sz w:val="18"/>
              </w:rPr>
              <w:t xml:space="preserve">1</w:t>
            </w:r>
          </w:p>
        </w:tc>
        <w:tc>
          <w:tcPr>
            <w:tcW w:type="dxa" w:w="1800"/>
          </w:tcPr>
          <w:p>
            <w:pPr>
              <w:pStyle w:val="Compact"/>
              <w:spacing w:line="240" w:lineRule="auto" w:after="20"/>
              <w:ind w:firstLine="0"/>
              <w:jc w:val="right"/>
            </w:pPr>
            <w:r>
              <w:rPr>
                <w:rFonts w:ascii="Times New Roman" w:hAnsi="Times New Roman"/>
                <w:sz w:val="18"/>
              </w:rPr>
              <w:t xml:space="preserve">−0.016 (0.032)</w:t>
            </w:r>
          </w:p>
        </w:tc>
        <w:tc>
          <w:tcPr>
            <w:tcW w:type="dxa" w:w="1800"/>
          </w:tcPr>
          <w:p>
            <w:pPr>
              <w:pStyle w:val="Compact"/>
              <w:spacing w:line="240" w:lineRule="auto" w:after="20"/>
              <w:ind w:firstLine="0"/>
              <w:jc w:val="right"/>
            </w:pPr>
            <w:r>
              <w:rPr>
                <w:rFonts w:ascii="Times New Roman" w:hAnsi="Times New Roman"/>
                <w:sz w:val="18"/>
              </w:rPr>
              <w:t xml:space="preserve">−0.615 (0.107)</w:t>
            </w:r>
          </w:p>
        </w:tc>
      </w:tr>
      <w:tr>
        <w:tc>
          <w:tcPr>
            <w:tcW w:type="dxa" w:w="2880"/>
          </w:tcPr>
          <w:p>
            <w:pPr>
              <w:pStyle w:val="Compact"/>
              <w:spacing w:line="240" w:lineRule="auto" w:after="20"/>
              <w:ind w:firstLine="0"/>
              <w:jc w:val="left"/>
            </w:pPr>
            <w:r>
              <w:rPr>
                <w:rFonts w:ascii="Times New Roman" w:hAnsi="Times New Roman"/>
                <w:sz w:val="18"/>
              </w:rPr>
              <w:t xml:space="preserve">sgl-project/sglang</w:t>
            </w:r>
          </w:p>
        </w:tc>
        <w:tc>
          <w:tcPr>
            <w:tcW w:type="dxa" w:w="792"/>
          </w:tcPr>
          <w:p>
            <w:pPr>
              <w:pStyle w:val="Compact"/>
              <w:spacing w:line="240" w:lineRule="auto" w:after="20"/>
              <w:ind w:firstLine="0"/>
              <w:jc w:val="right"/>
            </w:pPr>
            <w:r>
              <w:rPr>
                <w:rFonts w:ascii="Times New Roman" w:hAnsi="Times New Roman"/>
                <w:sz w:val="18"/>
              </w:rPr>
              <w:t xml:space="preserve">143</w:t>
            </w:r>
          </w:p>
        </w:tc>
        <w:tc>
          <w:tcPr>
            <w:tcW w:type="dxa" w:w="1008"/>
          </w:tcPr>
          <w:p>
            <w:pPr>
              <w:pStyle w:val="Compact"/>
              <w:spacing w:line="240" w:lineRule="auto" w:after="20"/>
              <w:ind w:firstLine="0"/>
              <w:jc w:val="right"/>
            </w:pPr>
            <w:r>
              <w:rPr>
                <w:rFonts w:ascii="Times New Roman" w:hAnsi="Times New Roman"/>
                <w:sz w:val="18"/>
              </w:rPr>
              <w:t xml:space="preserve">61</w:t>
            </w:r>
          </w:p>
        </w:tc>
        <w:tc>
          <w:tcPr>
            <w:tcW w:type="dxa" w:w="1080"/>
          </w:tcPr>
          <w:p>
            <w:pPr>
              <w:pStyle w:val="Compact"/>
              <w:spacing w:line="240" w:lineRule="auto" w:after="20"/>
              <w:ind w:firstLine="0"/>
              <w:jc w:val="right"/>
            </w:pPr>
            <w:r>
              <w:rPr>
                <w:rFonts w:ascii="Times New Roman" w:hAnsi="Times New Roman"/>
                <w:sz w:val="18"/>
              </w:rPr>
              <w:t xml:space="preserve">2</w:t>
            </w:r>
          </w:p>
        </w:tc>
        <w:tc>
          <w:tcPr>
            <w:tcW w:type="dxa" w:w="1800"/>
          </w:tcPr>
          <w:p>
            <w:pPr>
              <w:pStyle w:val="Compact"/>
              <w:spacing w:line="240" w:lineRule="auto" w:after="20"/>
              <w:ind w:firstLine="0"/>
              <w:jc w:val="right"/>
            </w:pPr>
            <w:r>
              <w:rPr>
                <w:rFonts w:ascii="Times New Roman" w:hAnsi="Times New Roman"/>
                <w:sz w:val="18"/>
              </w:rPr>
              <w:t xml:space="preserve">−0.002 (0.012)</w:t>
            </w:r>
          </w:p>
        </w:tc>
        <w:tc>
          <w:tcPr>
            <w:tcW w:type="dxa" w:w="1800"/>
          </w:tcPr>
          <w:p>
            <w:pPr>
              <w:pStyle w:val="Compact"/>
              <w:spacing w:line="240" w:lineRule="auto" w:after="20"/>
              <w:ind w:firstLine="0"/>
              <w:jc w:val="right"/>
            </w:pPr>
            <w:r>
              <w:rPr>
                <w:rFonts w:ascii="Times New Roman" w:hAnsi="Times New Roman"/>
                <w:sz w:val="18"/>
              </w:rPr>
              <w:t xml:space="preserve">0.175 (0.117)</w:t>
            </w:r>
          </w:p>
        </w:tc>
      </w:tr>
      <w:tr>
        <w:tc>
          <w:tcPr>
            <w:tcW w:type="dxa" w:w="2880"/>
          </w:tcPr>
          <w:p>
            <w:pPr>
              <w:pStyle w:val="Compact"/>
              <w:spacing w:line="240" w:lineRule="auto" w:after="20"/>
              <w:ind w:firstLine="0"/>
              <w:jc w:val="left"/>
            </w:pPr>
            <w:r>
              <w:rPr>
                <w:rFonts w:ascii="Times New Roman" w:hAnsi="Times New Roman"/>
                <w:sz w:val="18"/>
              </w:rPr>
              <w:t xml:space="preserve">vLLM</w:t>
            </w:r>
          </w:p>
        </w:tc>
        <w:tc>
          <w:tcPr>
            <w:tcW w:type="dxa" w:w="792"/>
          </w:tcPr>
          <w:p>
            <w:pPr>
              <w:pStyle w:val="Compact"/>
              <w:spacing w:line="240" w:lineRule="auto" w:after="20"/>
              <w:ind w:firstLine="0"/>
              <w:jc w:val="right"/>
            </w:pPr>
            <w:r>
              <w:rPr>
                <w:rFonts w:ascii="Times New Roman" w:hAnsi="Times New Roman"/>
                <w:sz w:val="18"/>
              </w:rPr>
              <w:t xml:space="preserve">173</w:t>
            </w:r>
          </w:p>
        </w:tc>
        <w:tc>
          <w:tcPr>
            <w:tcW w:type="dxa" w:w="1008"/>
          </w:tcPr>
          <w:p>
            <w:pPr>
              <w:pStyle w:val="Compact"/>
              <w:spacing w:line="240" w:lineRule="auto" w:after="20"/>
              <w:ind w:firstLine="0"/>
              <w:jc w:val="right"/>
            </w:pPr>
            <w:r>
              <w:rPr>
                <w:rFonts w:ascii="Times New Roman" w:hAnsi="Times New Roman"/>
                <w:sz w:val="18"/>
              </w:rPr>
              <w:t xml:space="preserve">98</w:t>
            </w:r>
          </w:p>
        </w:tc>
        <w:tc>
          <w:tcPr>
            <w:tcW w:type="dxa" w:w="1080"/>
          </w:tcPr>
          <w:p>
            <w:pPr>
              <w:pStyle w:val="Compact"/>
              <w:spacing w:line="240" w:lineRule="auto" w:after="20"/>
              <w:ind w:firstLine="0"/>
              <w:jc w:val="right"/>
            </w:pPr>
            <w:r>
              <w:rPr>
                <w:rFonts w:ascii="Times New Roman" w:hAnsi="Times New Roman"/>
                <w:sz w:val="18"/>
              </w:rPr>
              <w:t xml:space="preserve">2</w:t>
            </w:r>
          </w:p>
        </w:tc>
        <w:tc>
          <w:tcPr>
            <w:tcW w:type="dxa" w:w="1800"/>
          </w:tcPr>
          <w:p>
            <w:pPr>
              <w:pStyle w:val="Compact"/>
              <w:spacing w:line="240" w:lineRule="auto" w:after="20"/>
              <w:ind w:firstLine="0"/>
              <w:jc w:val="right"/>
            </w:pPr>
            <w:r>
              <w:rPr>
                <w:rFonts w:ascii="Times New Roman" w:hAnsi="Times New Roman"/>
                <w:sz w:val="18"/>
              </w:rPr>
              <w:t xml:space="preserve">0.003 (0.009)</w:t>
            </w:r>
          </w:p>
        </w:tc>
        <w:tc>
          <w:tcPr>
            <w:tcW w:type="dxa" w:w="1800"/>
          </w:tcPr>
          <w:p>
            <w:pPr>
              <w:pStyle w:val="Compact"/>
              <w:spacing w:line="240" w:lineRule="auto" w:after="20"/>
              <w:ind w:firstLine="0"/>
              <w:jc w:val="right"/>
            </w:pPr>
            <w:r>
              <w:rPr>
                <w:rFonts w:ascii="Times New Roman" w:hAnsi="Times New Roman"/>
                <w:sz w:val="18"/>
              </w:rPr>
              <w:t xml:space="preserve">0.473 (0.201)</w:t>
            </w:r>
          </w:p>
        </w:tc>
      </w:tr>
    </w:tbl>
    <w:bookmarkEnd w:id="33"/>
    <w:bookmarkStart w:id="34" w:name="empirical-strategy"/>
    <w:p>
      <w:pPr>
        <w:pStyle w:val="Heading2"/>
        <w:ind w:firstLine="0"/>
      </w:pPr>
      <w:r>
        <w:t xml:space="preserve">4.3. Empirical Strategy</w:t>
      </w:r>
    </w:p>
    <w:p>
      <w:pPr>
        <w:pStyle w:val="FirstParagraph"/>
      </w:pPr>
      <w:r>
        <w:rPr>
          <w:bCs/>
          <w:b/>
        </w:rPr>
        <w:t xml:space="preserve">Error signature (RQ1).</w:t>
      </w:r>
      <w:r>
        <w:t xml:space="preserve"> </w:t>
      </w:r>
      <w:r>
        <w:t xml:space="preserve">Equation (2) concerns the number of errors, so the object of interest is the weekly bug count. Its age profile is confounded by attention, because issue filing of every kind bursts right after a release, and each way of handling that burst has a cost. For each repository we therefore fit four Poisson regressions of weekly bug counts on the weeks since release, each with a linear time trend. (a) No adjustment for issue volume, the direct counterpart of (2), which leaves the post-release burst of attention in the age slope. (b) An offset equal to the log of total weekly issues, which asks whether bug reports become a larger share of issues; because bug reports are part of total issues, it is biased toward zero if errors rise. (c) The log of weekly non-bug issues as a control, which does not contain the outcome but is a noisy proxy for attention and may leave part of the burst in the age slope. (d) Specification (c) plus indicators for ages of one to three weeks, which absorb the burst flexibly so that the age slope is identified from later weeks. We checked the four specifications on synthetic panels in which bug reports rise with age at a known rate and a release-week burst raises all issue counts (code in the replication package). Specifications (b) and (d) detected the planted rise, in attenuated form, whereas (a) and (c) did not, because the leftover burst biases the age slope downward. We therefore treat (b) and (d) as the primary tests of H1 and report (a) and (c) for completeness; a null result in (a) or (c) alone is not informative. In each, the sign of the coefficient on age is the sign of γ. We use a log link and treat the regression as Poisson quasi-maximum likelihood, which estimates the coefficients consistently as long as the conditional mean is correctly specified, even when the counts are overdispersed (Gourieroux et al. 1984). Standard errors come from the cycle bootstrap described below, so inference does not rely on the Poisson variance.</w:t>
      </w:r>
    </w:p>
    <w:p>
      <w:pPr>
        <w:pStyle w:val="BodyText"/>
      </w:pPr>
      <w:r>
        <w:rPr>
          <w:bCs/>
          <w:b/>
        </w:rPr>
        <w:t xml:space="preserve">Release hazard (RQ2).</w:t>
      </w:r>
      <w:r>
        <w:t xml:space="preserve"> </w:t>
      </w:r>
      <w:r>
        <w:t xml:space="preserve">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Cs/>
          <w:b/>
        </w:rPr>
        <w:t xml:space="preserve">Inference and pooling.</w:t>
      </w:r>
      <w:r>
        <w:t xml:space="preserve"> </w:t>
      </w:r>
      <w:r>
        <w:t xml:space="preserve">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Cs/>
          <w:b/>
        </w:rPr>
        <w:t xml:space="preserve">Direct evidence on time dependence.</w:t>
      </w:r>
      <w:r>
        <w:t xml:space="preserve"> </w:t>
      </w:r>
      <w:r>
        <w:t xml:space="preserve">We use three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 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w:t>
      </w:r>
    </w:p>
    <w:p>
      <w:pPr>
        <w:pStyle w:val="BodyText"/>
      </w:pPr>
      <w:r>
        <w:rPr>
          <w:bCs/>
          <w:b/>
        </w:rPr>
        <w:t xml:space="preserve">Response to error signals (RQ3).</w:t>
      </w:r>
      <w:r>
        <w:t xml:space="preserve"> </w:t>
      </w:r>
      <w:r>
        <w:t xml:space="preserve">For each repository-week we regress an indicator for a release on the within-repository standardized logarithm of one plus the number of bug reports in the previous week, on the same quantity in each of the previous three weeks entered jointly, and on the average of the three standardized lags. All regressions are logits that control for the standardized logarithm of issues in the previous week, the age of the release capped at eight weeks, a linear time trend, and repository fixed effects, with standard errors clustered by repository. The issue control is either total issues or non-bug issues, because the two answer different questions. With total issues held fixed, the bug coefficient measures a response to bug reports beyond overall volume. With non-bug issues held fixed, it measures a response to bug reports together with the overall activity that accompanies them, and the coefficient on non-bug issues then shows how large the response to other issues is. We also repeat the regressions on weeks at least two weeks after the previous release, because hot-fixes follow the burst of issues that a release itself provokes. Because there are only 19 clusters, we also report p-values from a wild cluster bootstrap with Webb weights (Cameron et al. 2008). Under H4 the coefficients are positive.</w:t>
      </w:r>
    </w:p>
    <w:p>
      <w:pPr>
        <w:pStyle w:val="BodyText"/>
      </w:pPr>
      <w:r>
        <w:rPr>
          <w:bCs/>
          <w:b/>
        </w:rPr>
        <w:t xml:space="preserve">Upstream launches (RQ3).</w:t>
      </w:r>
      <w:r>
        <w:t xml:space="preserve"> </w:t>
      </w:r>
      <w:r>
        <w:t xml:space="preserve">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pPr>
      <w:r>
        <w:rPr>
          <w:bCs/>
          <w:b/>
        </w:rPr>
        <w:t xml:space="preserve">Upstream launches at daily resolution.</w:t>
      </w:r>
      <w:r>
        <w:t xml:space="preserve"> </w:t>
      </w:r>
      <w:r>
        <w:t xml:space="preserve">A weekly indicator is a coarse measure of timing when the weekly release rate in treated blocks is about 0.42 and client SDKs often release on the day a model is announced. We therefore also measure timing in days. Day 0 is the date of the public announcement. For each launch and each repository that had released at least once in the preceding 90 days, we record the number of days until the next release, and we compare exposed and unexposed repositories in two ways: the difference in the share that release within k days (k = 0, 1, 3, 7, 14, 28), and the difference in the restricted mean time to the next release, truncated at 28 days. Both are averaged over launches with equal weight. Inference is by randomization: we replace each launch date with a placebo date drawn from days at least 14 days away from any real launch, keep the launch’s type and therefore its exposed and unexposed sets, recompute the statistics, and repeat 999 times. The placebo distribution absorbs any baseline difference in release rates between exposed and unexposed repositories, and the p-value is the share of placebo statistics at least as far from the placebo mean as the observed statistic. To compare timing with content, we also record, for exposed repositories, the days until the first release whose notes mention the launched model, and whether that release is the first release after the launch. We also report a version in which controls that are exposed to another launch within the window are dropped. The restricted mean time to the next release is our primary statistic, because it summarizes the first four weeks in one number and does not depend on a chosen horizon; we designated it after we had seen the estimates and not in advance.</w:t>
      </w:r>
    </w:p>
    <w:p>
      <w:pPr>
        <w:pStyle w:val="BodyText"/>
      </w:pPr>
      <w:r>
        <w:rPr>
          <w:bCs/>
          <w:b/>
        </w:rPr>
        <w:t xml:space="preserve">Receivers of the signal.</w:t>
      </w:r>
      <w:r>
        <w:t xml:space="preserve"> </w:t>
      </w:r>
      <w:r>
        <w:t xml:space="preserve">Sections 5.1 to 5.5 test whether release timing is correlated with degradation. Signaling also requires that receivers act on the signal. We therefore ask whether adoption responds to release cadence and whether it responds differently to releases that follow a surge in bug reports. For each repository-week we measure adoption growth as the change in log mean weekly PyPI downloads between weeks t−3 to t and weeks t+1 to t+4, and, for all 19 repositories, the corresponding change in log new GitHub stars from GH Archive. Three repositories (whisper.cpp, text-generation-inference, and ollama) have no PyPI artifact and enter only the star models. The regressors are the number of releases in the trailing eight weeks, the number of those releases that follow a week whose bug share exceeded the repository’s median, the number of hot-fix releases in the same window, and the log of issues in the window as a control for project activity, together with the outcome measured four weeks earlier and repository and week fixed effects. Because total releases are in the model, the coefficient on bug-preceded releases is the additional response of adoption to a release that follows a bug surge, relative to any other release. Standard errors are clustered by repository, and p-values come from a wild cluster restricted bootstrap with Webb weights. Adoption and releases share momentum, so these estimates describe how receivers’ behavior covaries with cadence and are not causal.</w:t>
      </w:r>
    </w:p>
    <w:p>
      <w:pPr>
        <w:pStyle w:val="BodyText"/>
      </w:pPr>
      <w:r>
        <w:rPr>
          <w:bCs/>
          <w:b/>
        </w:rPr>
        <w:t xml:space="preserve">Accumulated work (RQ4).</w:t>
      </w:r>
      <w:r>
        <w:t xml:space="preserve"> </w:t>
      </w:r>
      <w:r>
        <w:t xml:space="preserve">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BodyText"/>
      </w:pPr>
      <w:r>
        <w:rPr>
          <w:bCs/>
          <w:b/>
        </w:rPr>
        <w:t xml:space="preserve">Release content.</w:t>
      </w:r>
      <w:r>
        <w:t xml:space="preserve"> </w:t>
      </w:r>
      <w:r>
        <w:t xml:space="preserve">Timing and content can differ: a maintainer may ship fixes in releases that were scheduled for other reasons. We code each itemized entry of a release note as a fix if it sits under a heading that contains</w:t>
      </w:r>
      <w:r>
        <w:t xml:space="preserve"> </w:t>
      </w:r>
      <w:r>
        <w:t xml:space="preserve">“</w:t>
      </w:r>
      <w:r>
        <w:t xml:space="preserve">fix</w:t>
      </w:r>
      <w:r>
        <w:t xml:space="preserve">”</w:t>
      </w:r>
      <w:r>
        <w:t xml:space="preserve">,</w:t>
      </w:r>
      <w:r>
        <w:t xml:space="preserve"> </w:t>
      </w:r>
      <w:r>
        <w:t xml:space="preserve">“</w:t>
      </w:r>
      <w:r>
        <w:t xml:space="preserve">bug</w:t>
      </w:r>
      <w:r>
        <w:t xml:space="preserve">”</w:t>
      </w:r>
      <w:r>
        <w:t xml:space="preserve">, or</w:t>
      </w:r>
      <w:r>
        <w:t xml:space="preserve"> </w:t>
      </w:r>
      <w:r>
        <w:t xml:space="preserve">“</w:t>
      </w:r>
      <w:r>
        <w:t xml:space="preserve">patch</w:t>
      </w:r>
      <w:r>
        <w:t xml:space="preserve">”</w:t>
      </w:r>
      <w:r>
        <w:t xml:space="preserve">, or if it contains a fix keyword (fix, bugfix, hotfix, regression, crash, resolve, workaround, patch). We keep releases with at least three itemized entries and regress the share of fix entries on the standardized logarithm of bug reports in the preceding four weeks, controlling for the standardized logarithm of non-bug issues over the same weeks, the logarithm of the weeks since the previous release, a linear trend, and repository fixed effects, with repository-clustered standard errors and wild cluster bootstrap p-values. The classification is by keyword, and Section 5.6 reports a hand check of a random sample.</w:t>
      </w:r>
    </w:p>
    <w:p>
      <w:pPr>
        <w:pStyle w:val="BodyText"/>
      </w:pPr>
      <w:r>
        <w:rPr>
          <w:bCs/>
          <w:b/>
        </w:rPr>
        <w:t xml:space="preserve">Equivalence tests.</w:t>
      </w:r>
      <w:r>
        <w:t xml:space="preserve"> </w:t>
      </w:r>
      <w:r>
        <w:t xml:space="preserve">Because several of our results are null, for each of them we report a two one-sided test (TOST) p-value against a smallest effect of interest, the smallest bound at which equivalence would hold at the 5 percent level (the absolute estimate plus 1.645 standard errors), and the minimum detectable effect at 80 percent power (2.8 standard errors). The smallest effects of interest are a 2 percent weekly increase in the bug rate (RQ1); a log-odds of 0.25 per standard deviation of bug reports (RQ3), which is about the size of the response to non-bug issues that the data detect (0.23; Section 5.3); and 5 percentage points for upstream launches, about one eighth of the pre-launch release rate. These bounds are anchored to the data and are not independent of them, which is why the smallest bound for equivalence is reported as well and readers can apply their own.</w:t>
      </w:r>
    </w:p>
    <w:p>
      <w:pPr>
        <w:pStyle w:val="BodyText"/>
      </w:pPr>
      <w:r>
        <w:rPr>
          <w:bCs/>
          <w:b/>
        </w:rPr>
        <w:t xml:space="preserve">Heterogeneity.</w:t>
      </w:r>
      <w:r>
        <w:t xml:space="preserve"> </w:t>
      </w:r>
      <w:r>
        <w:t xml:space="preserve">We repeat the RQ1 and RQ3 analyses (i) excluding the two repositories that may rely on automated release pipelines (anthropic-sdk-python and openai-python), (ii) separately for the weekly releasers (the seven repositories with a median release cycle of one week in Table 1) and for the others, and (iii) by repository category where at least three repositories share a category.</w:t>
      </w:r>
    </w:p>
    <w:bookmarkEnd w:id="34"/>
    <w:bookmarkEnd w:id="35"/>
    <w:bookmarkStart w:id="55" w:name="results"/>
    <w:p>
      <w:pPr>
        <w:pStyle w:val="Heading1"/>
        <w:ind w:firstLine="0"/>
      </w:pPr>
      <w:r>
        <w:t xml:space="preserve">5. Results</w:t>
      </w:r>
    </w:p>
    <w:bookmarkStart w:id="42" w:name="X412d4d4cb532ee42614aa1309479274c1d48b74"/>
    <w:p>
      <w:pPr>
        <w:pStyle w:val="Heading2"/>
        <w:ind w:firstLine="0"/>
      </w:pPr>
      <w:r>
        <w:t xml:space="preserve">5.1. RQ1: Bug Reports Show No Measurable Rise with the Age of a Release</w:t>
      </w:r>
    </w:p>
    <w:p>
      <w:pPr>
        <w:pStyle w:val="FirstParagraph"/>
      </w:pPr>
      <w:r>
        <w:t xml:space="preserve">Under specification (b), pooling the 19 repository-level slopes with a random-effects model gives a log-rate slope of bug reports on weeks since release of −0.0029 per week (95% CI −0.015 to 0.010; τ² = 0.0003). Eight of the 19 repository-level slopes are positive. One (Ollama) is significantly positive and two (semantic-kernel and text-generation-inference) are significantly negative, three significant slopes in both directions among 19, somewhat more than the one expected by chance. The interval rules out an increase in the bug rate of more than about 1 percent per week. Because bug reports enter the offset, this estimate is biased toward zero if errors rise, but in our synthetic checks (Section 4.3) the bias was not large enough to hide a planted rise. It is one of the two primary tests of H1. Figure 1a shows the repository-level slopes.</w:t>
      </w:r>
    </w:p>
    <w:p>
      <w:pPr>
        <w:pStyle w:val="BodyText"/>
        <w:spacing w:line="240" w:lineRule="auto"/>
        <w:ind w:firstLine="0"/>
        <w:jc w:val="center"/>
      </w:pPr>
      <w:r>
        <w:drawing>
          <wp:inline>
            <wp:extent cx="5334000" cy="4000500"/>
            <wp:effectExtent b="0" l="0" r="0" t="0"/>
            <wp:docPr descr="" title="" id="37" name="Picture"/>
            <a:graphic>
              <a:graphicData uri="http://schemas.openxmlformats.org/drawingml/2006/picture">
                <pic:pic>
                  <pic:nvPicPr>
                    <pic:cNvPr descr="/home/user/fluffy-meme/emse_validation/im_submission/figures/figure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ind w:firstLine="0"/>
      </w:pPr>
      <w:r>
        <w:rPr>
          <w:bCs/>
          <w:b/>
        </w:rPr>
        <w:t xml:space="preserve">Figure 1.</w:t>
      </w:r>
      <w:r>
        <w:t xml:space="preserve"> </w:t>
      </w:r>
      <w:r>
        <w:t xml:space="preserve">Repository-level age slopes. (a) Log-rate slope of weekly bug reports on weeks since the last release, specification (b). (b) Logit slope of the release hazard on weeks since the last release. Points are estimates with 95% intervals from the cycle bootstrap; grey points are repositories with a median release cycle of one week; diamonds are random-effects pooled estimates. Rows are ordered by the release-hazard slope.</w:t>
      </w:r>
    </w:p>
    <w:p>
      <w:pPr>
        <w:pStyle w:val="BodyText"/>
      </w:pPr>
      <w:r>
        <w:t xml:space="preserve">Under specification (a), raw bug counts do fall with age: the pooled slope is −0.026 (95% CI −0.050 to −0.002). Once we account for the total number of issues filed, as in (b), the decline disappears. The early surge appears to be a general burst of issue-filing right after a release, driven by attention, announcements, and defects together, and not a change in the share of reports that concern bugs. In the terms of Section 3, specification (a) is therefore uninformative about the error state because of this burst.</w:t>
      </w:r>
    </w:p>
    <w:p>
      <w:pPr>
        <w:pStyle w:val="BodyText"/>
      </w:pPr>
      <w:r>
        <w:t xml:space="preserve">Specification (c), which controls for the log of weekly non-bug issues, gives −0.019 (95% CI −0.040 to 0.002), and specification (d), which adds indicators for the first three weeks after a release, gives +0.017 (95% CI −0.003 to 0.038). Under (d), 11 of the 19 repository-level slopes are positive and two are significantly positive. The slope is not identified for the two weekly releasers with almost no observations beyond the third week (anthropic-sdk-python and autogen, with standard errors above 4), and the random-effects estimate gives them negligible weight. H1 is therefore not supported at conventional levels, but the upper limit of the (d) interval means that an accumulation of up to about 3.9 percent per week in the bug rate cannot be ruled out once the burst of attention is absorbed. Figure 2 compares the four specifications. The evidence against an accumulating error state is thus weaker than the estimate under (b) alone suggests.</w:t>
      </w:r>
    </w:p>
    <w:p>
      <w:pPr>
        <w:pStyle w:val="BodyText"/>
        <w:spacing w:line="240" w:lineRule="auto"/>
        <w:ind w:firstLine="0"/>
        <w:jc w:val="center"/>
      </w:pPr>
      <w:r>
        <w:drawing>
          <wp:inline>
            <wp:extent cx="5334000" cy="2222500"/>
            <wp:effectExtent b="0" l="0" r="0" t="0"/>
            <wp:docPr descr="" title="" id="40" name="Picture"/>
            <a:graphic>
              <a:graphicData uri="http://schemas.openxmlformats.org/drawingml/2006/picture">
                <pic:pic>
                  <pic:nvPicPr>
                    <pic:cNvPr descr="/home/user/fluffy-meme/emse_validation/im_submission/figures/figure2.png" id="41" name="Picture"/>
                    <pic:cNvPicPr>
                      <a:picLocks noChangeArrowheads="1" noChangeAspect="1"/>
                    </pic:cNvPicPr>
                  </pic:nvPicPr>
                  <pic:blipFill>
                    <a:blip r:embed="rId39"/>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ind w:firstLine="0"/>
      </w:pPr>
      <w:r>
        <w:rPr>
          <w:bCs/>
          <w:b/>
        </w:rPr>
        <w:t xml:space="preserve">Figure 2.</w:t>
      </w:r>
      <w:r>
        <w:t xml:space="preserve"> </w:t>
      </w:r>
      <w:r>
        <w:t xml:space="preserve">Pooled age slope of bug reports under four ways of handling issue volume (Section 4.3). Specifications (b) and (d), in black, are the primary tests of H1; (a) and (c) are biased downward by the burst of issues after a release. The shaded band marks the equivalence bound of ±0.02.</w:t>
      </w:r>
    </w:p>
    <w:bookmarkEnd w:id="42"/>
    <w:bookmarkStart w:id="43" w:name="X224f844c9108ae918016cffc5ab72a11784c723"/>
    <w:p>
      <w:pPr>
        <w:pStyle w:val="Heading2"/>
        <w:ind w:firstLine="0"/>
      </w:pPr>
      <w:r>
        <w:t xml:space="preserve">5.2. RQ2: The Release Hazard Does Not Rise with Age</w:t>
      </w:r>
    </w:p>
    <w:p>
      <w:pPr>
        <w:pStyle w:val="FirstParagraph"/>
      </w:pPr>
      <w:r>
        <w:t xml:space="preserve">The pooled release-hazard logit slope is −0.090 per week of age (95% CI −0.211 to 0.030; τ² = 0.049), which is not distinguishable from zero. Figure 1b shows the repository-level slopes. Eight of the 19 repository-level slopes are positive. One, for vLLM, is significantly positive at the 5 percent level (a ratio of slope to standard error of about 2.4),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Six repositories have a significantly negative slope, and four of them (anthropic-sdk-python, semantic-kernel, openai-python, and llama_index) are among the seven repositories with a median release cycle of one week, which also publish hot-fixes soon after a release. Excluding the seven weekly releasers gives a pooled slope of 0.040 (95% CI −0.081 to 0.162),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Cs/>
          <w:b/>
        </w:rPr>
        <w:t xml:space="preserve">Separating hot-fixes.</w:t>
      </w:r>
      <w:r>
        <w:t xml:space="preserve"> </w:t>
      </w:r>
      <w:r>
        <w:t xml:space="preserve">Of the 2,659 releases in the collected histories (2,456 of them within the weekly panels; the others precede the first panel week), 43 percent are classified as hot-fixes, from none in lm-evaluation-harness and FastChat to about 70 percent in Ollama and llama_index. The hot-fix hazard is concentrated in the first week after a release: 36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60 percent of the 2,659 releases raise only the patch component of the previous version, and 71 percent of those appear within seven days of the previous release (median one day).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(19 repositories) pool to 0.073 (95% CI −0.021 to 0.166; τ² = 0.022). Three are significantly positive and one is significantly negative. In the pooled data, by contrast, the share of repository-weeks with a regular release falls from 0.39 at two weeks to 0.25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Cs/>
          <w:b/>
        </w:rPr>
        <w:t xml:space="preserve">Frailty model.</w:t>
      </w:r>
      <w:r>
        <w:t xml:space="preserve"> </w:t>
      </w:r>
      <w:r>
        <w:t xml:space="preserve">In the pooled logit with a repository-level random intercept, the slope on age is −0.119 per week for all releases (standard error 0.020; standard deviation of the intercept 0.96). It is −0.044 (0.023) when the seven weekly releasers are excluded and −0.099 (0.028) when only ages of two weeks or more are used. For regular releases measured from the last regular release the slope is 0.003 (0.020), and 0.046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Cs/>
          <w:b/>
        </w:rPr>
        <w:t xml:space="preserve">Release intervals.</w:t>
      </w:r>
      <w:r>
        <w:t xml:space="preserve"> </w:t>
      </w:r>
      <w:r>
        <w:t xml:space="preserve">The coefficient of variation of the intervals between releases of any kind has a median of 1.03 across the 19 repositories, and 10 of them exceed one, which indicates bursts and gaps. For regular releases only, the median is 0.70 (range 0.33 to 1.76)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we find no clear rise in the error rate.</w:t>
      </w:r>
    </w:p>
    <w:p>
      <w:pPr>
        <w:pStyle w:val="BodyText"/>
      </w:pPr>
      <w:r>
        <w:t xml:space="preserve">Taken together with Section 5.1, the evidence is more consistent with the second explanation in Section 3.3 than with the first: we find no clear accumulating error state to which a state-dependent rule could have responded, and release timing follows user activity and accumulated work, and perhaps the calendar, but not distinguishably errors (Sections 5.3 to 5.5). We cannot exclude that maintainers would also be inattentive if such a state existed.</w:t>
      </w:r>
    </w:p>
    <w:bookmarkEnd w:id="43"/>
    <w:bookmarkStart w:id="47" w:name="Xa958929310a765b135e8aa3bb76577cacecbd93"/>
    <w:p>
      <w:pPr>
        <w:pStyle w:val="Heading2"/>
        <w:ind w:firstLine="0"/>
      </w:pPr>
      <w:r>
        <w:t xml:space="preserve">5.3. RQ3: Releases Respond to User Activity, with No Distinguishable Extra Response to Bug Reports</w:t>
      </w:r>
    </w:p>
    <w:p>
      <w:pPr>
        <w:pStyle w:val="FirstParagraph"/>
      </w:pPr>
      <w:r>
        <w:t xml:space="preserve">Releases respond to the volume of user issues. With non-bug issues held fixed, one standard deviation more bug reports (in logs) in the previous week raises the log-odds of a release by 0.261 (clustered standard error 0.095; p = 0.01; wild cluster bootstrap p = 0.01). One standard deviation more non-bug issues in the same model raises the log-odds by 0.233 (0.082; wild cluster bootstrap p &lt; 0.01), close to the effect of bug reports, so releases follow the overall flow of user reports at least as much as they follow defects. The three-week average of bug reports gives 0.332 (0.108; wild cluster bootstrap p = 0.01), and the three lags entered separately give 0.184, 0.096, and 0.055. Figure 3a plots the main coefficients.</w:t>
      </w:r>
    </w:p>
    <w:p>
      <w:pPr>
        <w:pStyle w:val="BodyText"/>
        <w:spacing w:line="240" w:lineRule="auto"/>
        <w:ind w:firstLine="0"/>
        <w:jc w:val="center"/>
      </w:pPr>
      <w:r>
        <w:drawing>
          <wp:inline>
            <wp:extent cx="5334000" cy="2148416"/>
            <wp:effectExtent b="0" l="0" r="0" t="0"/>
            <wp:docPr descr="" title="" id="45" name="Picture"/>
            <a:graphic>
              <a:graphicData uri="http://schemas.openxmlformats.org/drawingml/2006/picture">
                <pic:pic>
                  <pic:nvPicPr>
                    <pic:cNvPr descr="/home/user/fluffy-meme/emse_validation/im_submission/figures/figure3.png" id="46" name="Picture"/>
                    <pic:cNvPicPr>
                      <a:picLocks noChangeArrowheads="1" noChangeAspect="1"/>
                    </pic:cNvPicPr>
                  </pic:nvPicPr>
                  <pic:blipFill>
                    <a:blip r:embed="rId44"/>
                    <a:stretch>
                      <a:fillRect/>
                    </a:stretch>
                  </pic:blipFill>
                  <pic:spPr bwMode="auto">
                    <a:xfrm>
                      <a:off x="0" y="0"/>
                      <a:ext cx="5334000" cy="2148416"/>
                    </a:xfrm>
                    <a:prstGeom prst="rect">
                      <a:avLst/>
                    </a:prstGeom>
                    <a:noFill/>
                    <a:ln w="9525">
                      <a:noFill/>
                      <a:headEnd/>
                      <a:tailEnd/>
                    </a:ln>
                  </pic:spPr>
                </pic:pic>
              </a:graphicData>
            </a:graphic>
          </wp:inline>
        </w:drawing>
      </w:r>
    </w:p>
    <w:p>
      <w:pPr>
        <w:pStyle w:val="BodyText"/>
        <w:ind w:firstLine="0"/>
      </w:pPr>
      <w:r>
        <w:rPr>
          <w:bCs/>
          <w:b/>
        </w:rPr>
        <w:t xml:space="preserve">Figure 3.</w:t>
      </w:r>
      <w:r>
        <w:t xml:space="preserve"> </w:t>
      </w:r>
      <w:r>
        <w:t xml:space="preserve">(a) Response of the release hazard to issues in the previous week, holding non-bug issues or total issues fixed (Section 5.3). (b) Pooled coefficients on work age and calendar age in the regular-release hazard, entered alone and jointly (Section 5.5).</w:t>
      </w:r>
    </w:p>
    <w:p>
      <w:pPr>
        <w:pStyle w:val="BodyText"/>
      </w:pPr>
      <w:r>
        <w:t xml:space="preserve">Holding total issues fixed instead, the coefficient on bug reports is 0.191 (0.123; p = 0.12; wild cluster bootstrap p = 0.20) and that on total issues is 0.225 (0.105; wild cluster bootstrap p = 0.04), and the three-week average of bug reports gives 0.272 (0.123; p = 0.03; wild cluster bootstrap p = 0.06). The positive sign leaves room for some response to bug reports beyond overall volume, but it is not significant at the 5 percent level under the wild cluster bootstrap for either measure. An approximate 95 percent interval for the one-week coefficient runs from −0.05 to 0.43 in log-odds, which is compatible with no extra response and with an increase in the odds of a release of up to about 54 percent per standard deviation.</w:t>
      </w:r>
    </w:p>
    <w:p>
      <w:pPr>
        <w:pStyle w:val="BodyText"/>
      </w:pPr>
      <w:r>
        <w:t xml:space="preserve">Hot-fixes do not appear to account for these patterns. Dropping the week right after a release, where hot-fixes follow the burst of issues that the release provokes, gives 0.251 (0.092; wild cluster bootstrap p = 0.03) for the one-week lag and 0.318 (0.098; wild cluster bootstrap p = 0.01) for the three-week average with non-bug issues held fixed, and 0.143 (0.129; wild cluster bootstrap p = 0.32) and 0.218 (0.120; wild cluster bootstrap p = 0.11) with total issues held fixed. The coefficients on non-bug and total issues in these samples are 0.250 (0.078) and 0.303 (0.115). H4 is therefore partly supported: release timing responds to user activity, of which bug reports are a component, but we cannot show that it responds to bug reports as such. The test is more demanding than the age profile, because it asks whether an observable state moves releases, which state dependence requires, and only part of that state is a sign of degradation.</w:t>
      </w:r>
    </w:p>
    <w:p>
      <w:pPr>
        <w:pStyle w:val="BodyText"/>
      </w:pPr>
      <w:r>
        <w:t xml:space="preserve">These results admit a reading that is more favorable to cadence than ours, and we state it explicitly. A release that follows a week of many user issues is itself a response to an observable state, and a maintainer who releases when users report problems of any kind is responsive in a meaningful sense; under this reading the response to non-bug issues is not a confound but part of what responsiveness means. We do not dispute it. Our question is narrower: whether release timing carries information about degradation specifically, as distinct from user activity in general. The specification that holds total issues fixed answers that question, because it asks whether a week in which a larger share of reports concern defects is more likely to end in a release. It is conservative, because bug reports are part of total issues and part of any response to them is absorbed by the total, and its interval (−0.05 to 0.43 in log-odds) is compatible both with no additional response and with a sizable one. We therefore read the evidence as failing to identify a response to degradation as such, not as showing that maintainers ignore defects. For the signal, this means that cadence is informative about responsiveness to users, and it is informative about responsiveness to degradation only to the extent that degradation is what drives user reports.</w:t>
      </w:r>
    </w:p>
    <w:bookmarkEnd w:id="47"/>
    <w:bookmarkStart w:id="51" w:name="Xdd8adb9a6e2cf8ed64e3368ff5f9ca98bc6a033"/>
    <w:p>
      <w:pPr>
        <w:pStyle w:val="Heading2"/>
        <w:ind w:firstLine="0"/>
      </w:pPr>
      <w:r>
        <w:t xml:space="preserve">5.4. RQ3: A Short-Run Release Response to Upstream Model Launches</w:t>
      </w:r>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BodyText"/>
      </w:pPr>
      <w:r>
        <w:rPr>
          <w:bCs/>
          <w:b/>
        </w:rPr>
        <w:t xml:space="preserve">Daily resolution.</w:t>
      </w:r>
      <w:r>
        <w:t xml:space="preserve"> </w:t>
      </w:r>
      <w:r>
        <w:t xml:space="preserve">Measured in days, exposed repositories release sooner after a launch than unexposed repositories do. Among the 277 repository-launch pairs in which the repository had released in the preceding 90 days, the restricted mean time to the next release, truncated at 28 days, is 3.4 days shorter for exposed than for unexposed repositories, against 0.9 days shorter on average at placebo launch dates (placebo 95 percent range −3.0 to 1.2; randomization p = 0.018). Because the primary statistic was designated after we had seen the estimates, we regard the daily analysis as exploratory and report all seven statistics. The share that release within one day of the announcement is 17.5 percentage points higher for exposed repositories, against 4.8 points at placebo dates (range −3.4 to 12.9; p = 0.008). The differences are 11.2 points on the day of the launch (p = 0.03), 15.5 within three days (p = 0.04), 13.9 within 14 days (p = 0.03), and 7.0 within 28 days (p = 0.15). The statistics are not independent. Figure 4 plots the share that have released by each day: the observed gap lies above the placebo band in the first days after a launch and near its upper edge afterward. When controls that are exposed to another launch within the window are dropped, the differences are larger and last longer: the mean time to the next release is 5.9 days shorter (p = 0.001), and the share that release is 22.2 points higher within one day (p = 0.001), 21.2 within seven days (p = 0.01), and 15.4 within 28 days (p = 0.009). When hot-fix releases are excluded and only regular releases count, the response is smaller and shorter: the mean time to the next release is 2.2 days shorter (p = 0.10), and the share that release is 7.4 points higher on the day of the launch (p = 0.02) and 10.9 points higher within one day (p = 0.006), but only 5.0 points higher within seven days (p = 0.63). Part of the response therefore consists of hot-fix releases, and the primary statistic is not significant at 5 percent once they are excluded. When controls exposed to other launches are dropped as well, the response in regular releases is again clear: the mean time to the next release is 4.6 days shorter (p = 0.002), and the share that release is 14.4 points higher within one day (p = 0.002) and 14.7 points higher within 28 days (p = 0.007). The weekly estimates miss this response because a weekly indicator is close to saturation when the weekly release rate is 0.42, and client SDKs often release on the day a model is announced. Releases therefore do respond to a change in their environment, which is a form of state dependence. Timing alone cannot show whether a release shortly after a launch addresses degradation or adds support for the new model; the release notes below suggest that adding support is at least part of it.</w:t>
      </w:r>
    </w:p>
    <w:p>
      <w:pPr>
        <w:pStyle w:val="BodyText"/>
        <w:spacing w:line="240" w:lineRule="auto"/>
        <w:ind w:firstLine="0"/>
        <w:jc w:val="center"/>
      </w:pPr>
      <w:r>
        <w:drawing>
          <wp:inline>
            <wp:extent cx="5334000" cy="2667000"/>
            <wp:effectExtent b="0" l="0" r="0" t="0"/>
            <wp:docPr descr="" title="" id="49" name="Picture"/>
            <a:graphic>
              <a:graphicData uri="http://schemas.openxmlformats.org/drawingml/2006/picture">
                <pic:pic>
                  <pic:nvPicPr>
                    <pic:cNvPr descr="/home/user/fluffy-meme/emse_validation/im_submission/figures/figure4.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ind w:firstLine="0"/>
      </w:pPr>
      <w:r>
        <w:rPr>
          <w:bCs/>
          <w:b/>
        </w:rPr>
        <w:t xml:space="preserve">Figure 4.</w:t>
      </w:r>
      <w:r>
        <w:t xml:space="preserve"> </w:t>
      </w:r>
      <w:r>
        <w:t xml:space="preserve">Difference between exposed and unexposed repositories in the share that have released by day k after an upstream launch (38 launches; 277 repository-launch pairs). The shaded band is the central 95 percent, pointwise, of the same statistic computed at placebo launch dates, and the dashed line is its mean. The primary statistic, the restricted mean time to the next release, is reported in the text.</w:t>
      </w:r>
    </w:p>
    <w:p>
      <w:pPr>
        <w:pStyle w:val="BodyText"/>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If most are correct, the pattern is consistent with releases being brought forward to ship support for a new model. H4 is supported by the upstream signal at daily resolution but not at weekly resolution, and the response is better read as one to a change in the environment than as a response to degradation in the sense of Section 3.</w:t>
      </w:r>
    </w:p>
    <w:bookmarkEnd w:id="51"/>
    <w:bookmarkStart w:id="52" w:name="X887b3feacf73f7f31ddb8485b4e520f34242cbd"/>
    <w:p>
      <w:pPr>
        <w:pStyle w:val="Heading2"/>
        <w:ind w:firstLine="0"/>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τ² = 0.020), and on work age alone it is 0.223 (0.132 to 0.314; τ² = 0.017). When both are included, work age has a pooled coefficient of 0.182 (0.029 to 0.335; τ² = 0.040) and calendar age has 0.065 (−0.089 to 0.219; τ²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 Figure 3b plots the pooled coefficients.</w:t>
      </w:r>
    </w:p>
    <w:p>
      <w:pPr>
        <w:pStyle w:val="BodyText"/>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bookmarkEnd w:id="52"/>
    <w:bookmarkStart w:id="53" w:name="Xc2a0b4d86142534b29560260fbca45821f9e89e"/>
    <w:p>
      <w:pPr>
        <w:pStyle w:val="Heading2"/>
        <w:ind w:firstLine="0"/>
      </w:pPr>
      <w:r>
        <w:t xml:space="preserve">5.6. Additional Analyses: Release Content, Equivalence, and Heterogeneity</w:t>
      </w:r>
    </w:p>
    <w:p>
      <w:pPr>
        <w:pStyle w:val="FirstParagraph"/>
      </w:pPr>
      <w:r>
        <w:rPr>
          <w:bCs/>
          <w:b/>
        </w:rPr>
        <w:t xml:space="preserve">Release content.</w:t>
      </w:r>
      <w:r>
        <w:t xml:space="preserve"> </w:t>
      </w:r>
      <w:r>
        <w:t xml:space="preserve">We keep 1,405 releases from all 19 repositories that have at least three itemized entries; on average 32 percent of the entries are fixes. The share of fix entries is, if anything, lower after weeks with more bug reports. One standard deviation more bug reports in the preceding four weeks changes the share by −0.021 (clustered standard error 0.008; p = 0.01; wild cluster bootstrap p = 0.07), controlling for non-bug issues, the time since the previous release, a trend, and repository fixed effects. The sign is opposite to the one a content response would imply, and the wild cluster bootstrap p-value does not reach 5 percent, so we find no evidence that the content of releases responds to bug reports either. A hand check of the fix-entry classifier (not the bug-report classifier; see Section 6.3) on 12 randomly drawn entries found the two flagged as fixes to be fixes and none of the other ten to be an obvious fix, although one of them was a contributor name and not a change entry, which the classifier now excludes; this small check says nothing about the recall of the classifier, and the result should be read as exploratory.</w:t>
      </w:r>
    </w:p>
    <w:p>
      <w:pPr>
        <w:pStyle w:val="BodyText"/>
      </w:pPr>
      <w:r>
        <w:rPr>
          <w:bCs/>
          <w:b/>
        </w:rPr>
        <w:t xml:space="preserve">Equivalence.</w:t>
      </w:r>
      <w:r>
        <w:t xml:space="preserve"> </w:t>
      </w:r>
      <w:r>
        <w:t xml:space="preserve">For the age slope of bug reports under specification (b), the pooled estimate (−0.003, SE 0.006) is statistically equivalent to zero within ±0.02 log points per week (TOST p = 0.004). Equivalence would hold for any bound above 0.013, and the minimum effect detectable with 80 percent power is 0.018. Under specification (d) equivalence at that bound is not established (estimate 0.017, SE 0.010; TOST p = 0.40; equivalence for any bound above 0.035; minimum detectable effect 0.029). For the weekly launch event study the estimate (−0.002, SE 0.018) is equivalent to zero within ±5 percentage points (TOST p = 0.004; smallest bound 0.032; minimum detectable effect 0.050). For the one-week response to bug reports, equivalence within ±0.25 log-odds per standard deviation is not established, with total issues held fixed (estimate 0.191, SE 0.123; TOST p = 0.32; smallest bound 0.39) or with non-bug issues held fixed (0.261, SE 0.095; TOST p = 0.55; smallest bound 0.42), as expected when the estimates are themselves positive. The bounds are anchored to the data, which is why the smallest bound for equivalence is reported as well.</w:t>
      </w:r>
    </w:p>
    <w:p>
      <w:pPr>
        <w:pStyle w:val="BodyText"/>
        <w:keepNext/>
        <w:ind w:firstLine="0"/>
      </w:pPr>
      <w:r>
        <w:t xml:space="preserve">Table 2 collects the null results in one place. The smallest effects of interest are those defined in Section 4.3. Where equivalence is established (the bug-rate age slope under specification (b) and the weekly launch response), the data exclude effects larger than the smallest equivalence bound. Where it is not (specification (d) and the response to bug reports), the interval, and not the p-value, shows how large an effect remains possible.</w:t>
      </w:r>
    </w:p>
    <w:p>
      <w:pPr>
        <w:pStyle w:val="BodyText"/>
        <w:keepNext/>
        <w:ind w:firstLine="0"/>
      </w:pPr>
      <w:r>
        <w:rPr>
          <w:bCs/>
          <w:b/>
        </w:rPr>
        <w:t xml:space="preserve">Table 2.</w:t>
      </w:r>
      <w:r>
        <w:t xml:space="preserve"> </w:t>
      </w:r>
      <w:r>
        <w:t xml:space="preserve">Null results with confidence intervals, equivalence tests, and minimum detectable effects.</w:t>
      </w:r>
    </w:p>
    <w:tbl>
      <w:tblPr>
        <w:tblStyle w:val="Table"/>
        <w:tblW w:type="pct" w:w="5000"/>
        <w:tblLayout w:type="fixed"/>
        <w:tblLook w:firstRow="1" w:lastRow="0" w:firstColumn="0" w:lastColumn="0" w:noHBand="0" w:noVBand="0" w:val="0020"/>
        <w:jc w:val="start"/>
        <w:tblBorders>
          <w:top w:val="single" w:sz="8" w:color="000000"/>
          <w:bottom w:val="single" w:sz="8" w:color="000000"/>
        </w:tblBorders>
        <w:tblLayout w:type="fixed"/>
      </w:tblPr>
      <w:tblGrid>
        <w:gridCol w:w="2448"/>
        <w:gridCol w:w="1296"/>
        <w:gridCol w:w="1296"/>
        <w:gridCol w:w="1152"/>
        <w:gridCol w:w="720"/>
        <w:gridCol w:w="1152"/>
        <w:gridCol w:w="1296"/>
      </w:tblGrid>
      <w:tr>
        <w:trPr>
          <w:tblHeader w:val="true"/>
        </w:trPr>
        <w:tc>
          <w:tcPr>
            <w:tcW w:type="dxa" w:w="2448"/>
            <w:tcBorders>
              <w:bottom w:val="single" w:sz="6" w:color="000000"/>
            </w:tcBorders>
          </w:tcPr>
          <w:p>
            <w:pPr>
              <w:pStyle w:val="Compact"/>
              <w:spacing w:line="240" w:lineRule="auto" w:after="20"/>
              <w:ind w:firstLine="0"/>
              <w:jc w:val="left"/>
            </w:pPr>
            <w:r>
              <w:rPr>
                <w:rFonts w:ascii="Times New Roman" w:hAnsi="Times New Roman"/>
                <w:b/>
                <w:sz w:val="18"/>
              </w:rPr>
              <w:t xml:space="preserve">Test</w:t>
            </w:r>
          </w:p>
        </w:tc>
        <w:tc>
          <w:tcPr>
            <w:tcW w:type="dxa" w:w="1296"/>
            <w:tcBorders>
              <w:bottom w:val="single" w:sz="6" w:color="000000"/>
            </w:tcBorders>
          </w:tcPr>
          <w:p>
            <w:pPr>
              <w:pStyle w:val="Compact"/>
              <w:spacing w:line="240" w:lineRule="auto" w:after="20"/>
              <w:ind w:firstLine="0"/>
              <w:jc w:val="right"/>
            </w:pPr>
            <w:r>
              <w:rPr>
                <w:rFonts w:ascii="Times New Roman" w:hAnsi="Times New Roman"/>
                <w:b/>
                <w:sz w:val="18"/>
              </w:rPr>
              <w:t xml:space="preserve">Estimate (SE)</w:t>
            </w:r>
          </w:p>
        </w:tc>
        <w:tc>
          <w:tcPr>
            <w:tcW w:type="dxa" w:w="1296"/>
            <w:tcBorders>
              <w:bottom w:val="single" w:sz="6" w:color="000000"/>
            </w:tcBorders>
          </w:tcPr>
          <w:p>
            <w:pPr>
              <w:pStyle w:val="Compact"/>
              <w:spacing w:line="240" w:lineRule="auto" w:after="20"/>
              <w:ind w:firstLine="0"/>
              <w:jc w:val="right"/>
            </w:pPr>
            <w:r>
              <w:rPr>
                <w:rFonts w:ascii="Times New Roman" w:hAnsi="Times New Roman"/>
                <w:b/>
                <w:sz w:val="18"/>
              </w:rPr>
              <w:t xml:space="preserve">95% CI</w:t>
            </w:r>
          </w:p>
        </w:tc>
        <w:tc>
          <w:tcPr>
            <w:tcW w:type="dxa" w:w="1152"/>
            <w:tcBorders>
              <w:bottom w:val="single" w:sz="6" w:color="000000"/>
            </w:tcBorders>
          </w:tcPr>
          <w:p>
            <w:pPr>
              <w:pStyle w:val="Compact"/>
              <w:spacing w:line="240" w:lineRule="auto" w:after="20"/>
              <w:ind w:firstLine="0"/>
              <w:jc w:val="right"/>
            </w:pPr>
            <w:r>
              <w:rPr>
                <w:rFonts w:ascii="Times New Roman" w:hAnsi="Times New Roman"/>
                <w:b/>
                <w:sz w:val="18"/>
              </w:rPr>
              <w:t xml:space="preserve">Smallest effect of interest</w:t>
            </w:r>
          </w:p>
        </w:tc>
        <w:tc>
          <w:tcPr>
            <w:tcW w:type="dxa" w:w="720"/>
            <w:tcBorders>
              <w:bottom w:val="single" w:sz="6" w:color="000000"/>
            </w:tcBorders>
          </w:tcPr>
          <w:p>
            <w:pPr>
              <w:pStyle w:val="Compact"/>
              <w:spacing w:line="240" w:lineRule="auto" w:after="20"/>
              <w:ind w:firstLine="0"/>
              <w:jc w:val="right"/>
            </w:pPr>
            <w:r>
              <w:rPr>
                <w:rFonts w:ascii="Times New Roman" w:hAnsi="Times New Roman"/>
                <w:b/>
                <w:sz w:val="18"/>
              </w:rPr>
              <w:t xml:space="preserve">TOST p</w:t>
            </w:r>
          </w:p>
        </w:tc>
        <w:tc>
          <w:tcPr>
            <w:tcW w:type="dxa" w:w="1152"/>
            <w:tcBorders>
              <w:bottom w:val="single" w:sz="6" w:color="000000"/>
            </w:tcBorders>
          </w:tcPr>
          <w:p>
            <w:pPr>
              <w:pStyle w:val="Compact"/>
              <w:spacing w:line="240" w:lineRule="auto" w:after="20"/>
              <w:ind w:firstLine="0"/>
              <w:jc w:val="right"/>
            </w:pPr>
            <w:r>
              <w:rPr>
                <w:rFonts w:ascii="Times New Roman" w:hAnsi="Times New Roman"/>
                <w:b/>
                <w:sz w:val="18"/>
              </w:rPr>
              <w:t xml:space="preserve">Smallest equivalence bound</w:t>
            </w:r>
          </w:p>
        </w:tc>
        <w:tc>
          <w:tcPr>
            <w:tcW w:type="dxa" w:w="1296"/>
            <w:tcBorders>
              <w:bottom w:val="single" w:sz="6" w:color="000000"/>
            </w:tcBorders>
          </w:tcPr>
          <w:p>
            <w:pPr>
              <w:pStyle w:val="Compact"/>
              <w:spacing w:line="240" w:lineRule="auto" w:after="20"/>
              <w:ind w:firstLine="0"/>
              <w:jc w:val="right"/>
            </w:pPr>
            <w:r>
              <w:rPr>
                <w:rFonts w:ascii="Times New Roman" w:hAnsi="Times New Roman"/>
                <w:b/>
                <w:sz w:val="18"/>
              </w:rPr>
              <w:t xml:space="preserve">Minimum detectable effect (80% power)</w:t>
            </w:r>
          </w:p>
        </w:tc>
      </w:tr>
      <w:tr>
        <w:tc>
          <w:tcPr>
            <w:tcW w:type="dxa" w:w="2448"/>
          </w:tcPr>
          <w:p>
            <w:pPr>
              <w:pStyle w:val="Compact"/>
              <w:spacing w:line="240" w:lineRule="auto" w:after="20"/>
              <w:ind w:firstLine="0"/>
              <w:jc w:val="left"/>
            </w:pPr>
            <w:r>
              <w:rPr>
                <w:rFonts w:ascii="Times New Roman" w:hAnsi="Times New Roman"/>
                <w:sz w:val="18"/>
              </w:rPr>
              <w:t xml:space="preserve">Bug-rate age slope, specification (b)</w:t>
            </w:r>
          </w:p>
        </w:tc>
        <w:tc>
          <w:tcPr>
            <w:tcW w:type="dxa" w:w="1296"/>
          </w:tcPr>
          <w:p>
            <w:pPr>
              <w:pStyle w:val="Compact"/>
              <w:spacing w:line="240" w:lineRule="auto" w:after="20"/>
              <w:ind w:firstLine="0"/>
              <w:jc w:val="right"/>
            </w:pPr>
            <w:r>
              <w:rPr>
                <w:rFonts w:ascii="Times New Roman" w:hAnsi="Times New Roman"/>
                <w:sz w:val="18"/>
              </w:rPr>
              <w:t xml:space="preserve">−0.003 (0.006)</w:t>
            </w:r>
          </w:p>
        </w:tc>
        <w:tc>
          <w:tcPr>
            <w:tcW w:type="dxa" w:w="1296"/>
          </w:tcPr>
          <w:p>
            <w:pPr>
              <w:pStyle w:val="Compact"/>
              <w:spacing w:line="240" w:lineRule="auto" w:after="20"/>
              <w:ind w:firstLine="0"/>
              <w:jc w:val="right"/>
            </w:pPr>
            <w:r>
              <w:rPr>
                <w:rFonts w:ascii="Times New Roman" w:hAnsi="Times New Roman"/>
                <w:sz w:val="18"/>
              </w:rPr>
              <w:t xml:space="preserve">−0.015 to 0.010</w:t>
            </w:r>
          </w:p>
        </w:tc>
        <w:tc>
          <w:tcPr>
            <w:tcW w:type="dxa" w:w="1152"/>
          </w:tcPr>
          <w:p>
            <w:pPr>
              <w:pStyle w:val="Compact"/>
              <w:spacing w:line="240" w:lineRule="auto" w:after="20"/>
              <w:ind w:firstLine="0"/>
              <w:jc w:val="right"/>
            </w:pPr>
            <w:r>
              <w:rPr>
                <w:rFonts w:ascii="Times New Roman" w:hAnsi="Times New Roman"/>
                <w:sz w:val="18"/>
              </w:rPr>
              <w:t xml:space="preserve">±0.02</w:t>
            </w:r>
          </w:p>
        </w:tc>
        <w:tc>
          <w:tcPr>
            <w:tcW w:type="dxa" w:w="720"/>
          </w:tcPr>
          <w:p>
            <w:pPr>
              <w:pStyle w:val="Compact"/>
              <w:spacing w:line="240" w:lineRule="auto" w:after="20"/>
              <w:ind w:firstLine="0"/>
              <w:jc w:val="right"/>
            </w:pPr>
            <w:r>
              <w:rPr>
                <w:rFonts w:ascii="Times New Roman" w:hAnsi="Times New Roman"/>
                <w:sz w:val="18"/>
              </w:rPr>
              <w:t xml:space="preserve">0.004</w:t>
            </w:r>
          </w:p>
        </w:tc>
        <w:tc>
          <w:tcPr>
            <w:tcW w:type="dxa" w:w="1152"/>
          </w:tcPr>
          <w:p>
            <w:pPr>
              <w:pStyle w:val="Compact"/>
              <w:spacing w:line="240" w:lineRule="auto" w:after="20"/>
              <w:ind w:firstLine="0"/>
              <w:jc w:val="right"/>
            </w:pPr>
            <w:r>
              <w:rPr>
                <w:rFonts w:ascii="Times New Roman" w:hAnsi="Times New Roman"/>
                <w:sz w:val="18"/>
              </w:rPr>
              <w:t xml:space="preserve">0.013</w:t>
            </w:r>
          </w:p>
        </w:tc>
        <w:tc>
          <w:tcPr>
            <w:tcW w:type="dxa" w:w="1296"/>
          </w:tcPr>
          <w:p>
            <w:pPr>
              <w:pStyle w:val="Compact"/>
              <w:spacing w:line="240" w:lineRule="auto" w:after="20"/>
              <w:ind w:firstLine="0"/>
              <w:jc w:val="right"/>
            </w:pPr>
            <w:r>
              <w:rPr>
                <w:rFonts w:ascii="Times New Roman" w:hAnsi="Times New Roman"/>
                <w:sz w:val="18"/>
              </w:rPr>
              <w:t xml:space="preserve">0.018</w:t>
            </w:r>
          </w:p>
        </w:tc>
      </w:tr>
      <w:tr>
        <w:tc>
          <w:tcPr>
            <w:tcW w:type="dxa" w:w="2448"/>
          </w:tcPr>
          <w:p>
            <w:pPr>
              <w:pStyle w:val="Compact"/>
              <w:spacing w:line="240" w:lineRule="auto" w:after="20"/>
              <w:ind w:firstLine="0"/>
              <w:jc w:val="left"/>
            </w:pPr>
            <w:r>
              <w:rPr>
                <w:rFonts w:ascii="Times New Roman" w:hAnsi="Times New Roman"/>
                <w:sz w:val="18"/>
              </w:rPr>
              <w:t xml:space="preserve">Bug-rate age slope, specification (d)</w:t>
            </w:r>
          </w:p>
        </w:tc>
        <w:tc>
          <w:tcPr>
            <w:tcW w:type="dxa" w:w="1296"/>
          </w:tcPr>
          <w:p>
            <w:pPr>
              <w:pStyle w:val="Compact"/>
              <w:spacing w:line="240" w:lineRule="auto" w:after="20"/>
              <w:ind w:firstLine="0"/>
              <w:jc w:val="right"/>
            </w:pPr>
            <w:r>
              <w:rPr>
                <w:rFonts w:ascii="Times New Roman" w:hAnsi="Times New Roman"/>
                <w:sz w:val="18"/>
              </w:rPr>
              <w:t xml:space="preserve">0.017 (0.010)</w:t>
            </w:r>
          </w:p>
        </w:tc>
        <w:tc>
          <w:tcPr>
            <w:tcW w:type="dxa" w:w="1296"/>
          </w:tcPr>
          <w:p>
            <w:pPr>
              <w:pStyle w:val="Compact"/>
              <w:spacing w:line="240" w:lineRule="auto" w:after="20"/>
              <w:ind w:firstLine="0"/>
              <w:jc w:val="right"/>
            </w:pPr>
            <w:r>
              <w:rPr>
                <w:rFonts w:ascii="Times New Roman" w:hAnsi="Times New Roman"/>
                <w:sz w:val="18"/>
              </w:rPr>
              <w:t xml:space="preserve">−0.003 to 0.038</w:t>
            </w:r>
          </w:p>
        </w:tc>
        <w:tc>
          <w:tcPr>
            <w:tcW w:type="dxa" w:w="1152"/>
          </w:tcPr>
          <w:p>
            <w:pPr>
              <w:pStyle w:val="Compact"/>
              <w:spacing w:line="240" w:lineRule="auto" w:after="20"/>
              <w:ind w:firstLine="0"/>
              <w:jc w:val="right"/>
            </w:pPr>
            <w:r>
              <w:rPr>
                <w:rFonts w:ascii="Times New Roman" w:hAnsi="Times New Roman"/>
                <w:sz w:val="18"/>
              </w:rPr>
              <w:t xml:space="preserve">±0.02</w:t>
            </w:r>
          </w:p>
        </w:tc>
        <w:tc>
          <w:tcPr>
            <w:tcW w:type="dxa" w:w="720"/>
          </w:tcPr>
          <w:p>
            <w:pPr>
              <w:pStyle w:val="Compact"/>
              <w:spacing w:line="240" w:lineRule="auto" w:after="20"/>
              <w:ind w:firstLine="0"/>
              <w:jc w:val="right"/>
            </w:pPr>
            <w:r>
              <w:rPr>
                <w:rFonts w:ascii="Times New Roman" w:hAnsi="Times New Roman"/>
                <w:sz w:val="18"/>
              </w:rPr>
              <w:t xml:space="preserve">0.40</w:t>
            </w:r>
          </w:p>
        </w:tc>
        <w:tc>
          <w:tcPr>
            <w:tcW w:type="dxa" w:w="1152"/>
          </w:tcPr>
          <w:p>
            <w:pPr>
              <w:pStyle w:val="Compact"/>
              <w:spacing w:line="240" w:lineRule="auto" w:after="20"/>
              <w:ind w:firstLine="0"/>
              <w:jc w:val="right"/>
            </w:pPr>
            <w:r>
              <w:rPr>
                <w:rFonts w:ascii="Times New Roman" w:hAnsi="Times New Roman"/>
                <w:sz w:val="18"/>
              </w:rPr>
              <w:t xml:space="preserve">0.035</w:t>
            </w:r>
          </w:p>
        </w:tc>
        <w:tc>
          <w:tcPr>
            <w:tcW w:type="dxa" w:w="1296"/>
          </w:tcPr>
          <w:p>
            <w:pPr>
              <w:pStyle w:val="Compact"/>
              <w:spacing w:line="240" w:lineRule="auto" w:after="20"/>
              <w:ind w:firstLine="0"/>
              <w:jc w:val="right"/>
            </w:pPr>
            <w:r>
              <w:rPr>
                <w:rFonts w:ascii="Times New Roman" w:hAnsi="Times New Roman"/>
                <w:sz w:val="18"/>
              </w:rPr>
              <w:t xml:space="preserve">0.029</w:t>
            </w:r>
          </w:p>
        </w:tc>
      </w:tr>
      <w:tr>
        <w:tc>
          <w:tcPr>
            <w:tcW w:type="dxa" w:w="2448"/>
          </w:tcPr>
          <w:p>
            <w:pPr>
              <w:pStyle w:val="Compact"/>
              <w:spacing w:line="240" w:lineRule="auto" w:after="20"/>
              <w:ind w:firstLine="0"/>
              <w:jc w:val="left"/>
            </w:pPr>
            <w:r>
              <w:rPr>
                <w:rFonts w:ascii="Times New Roman" w:hAnsi="Times New Roman"/>
                <w:sz w:val="18"/>
              </w:rPr>
              <w:t xml:space="preserve">Weekly launch event study (difference in release probability)</w:t>
            </w:r>
          </w:p>
        </w:tc>
        <w:tc>
          <w:tcPr>
            <w:tcW w:type="dxa" w:w="1296"/>
          </w:tcPr>
          <w:p>
            <w:pPr>
              <w:pStyle w:val="Compact"/>
              <w:spacing w:line="240" w:lineRule="auto" w:after="20"/>
              <w:ind w:firstLine="0"/>
              <w:jc w:val="right"/>
            </w:pPr>
            <w:r>
              <w:rPr>
                <w:rFonts w:ascii="Times New Roman" w:hAnsi="Times New Roman"/>
                <w:sz w:val="18"/>
              </w:rPr>
              <w:t xml:space="preserve">−0.002 (0.018)</w:t>
            </w:r>
          </w:p>
        </w:tc>
        <w:tc>
          <w:tcPr>
            <w:tcW w:type="dxa" w:w="1296"/>
          </w:tcPr>
          <w:p>
            <w:pPr>
              <w:pStyle w:val="Compact"/>
              <w:spacing w:line="240" w:lineRule="auto" w:after="20"/>
              <w:ind w:firstLine="0"/>
              <w:jc w:val="right"/>
            </w:pPr>
            <w:r>
              <w:rPr>
                <w:rFonts w:ascii="Times New Roman" w:hAnsi="Times New Roman"/>
                <w:sz w:val="18"/>
              </w:rPr>
              <w:t xml:space="preserve">−0.037 to 0.033</w:t>
            </w:r>
          </w:p>
        </w:tc>
        <w:tc>
          <w:tcPr>
            <w:tcW w:type="dxa" w:w="1152"/>
          </w:tcPr>
          <w:p>
            <w:pPr>
              <w:pStyle w:val="Compact"/>
              <w:spacing w:line="240" w:lineRule="auto" w:after="20"/>
              <w:ind w:firstLine="0"/>
              <w:jc w:val="right"/>
            </w:pPr>
            <w:r>
              <w:rPr>
                <w:rFonts w:ascii="Times New Roman" w:hAnsi="Times New Roman"/>
                <w:sz w:val="18"/>
              </w:rPr>
              <w:t xml:space="preserve">±0.05</w:t>
            </w:r>
          </w:p>
        </w:tc>
        <w:tc>
          <w:tcPr>
            <w:tcW w:type="dxa" w:w="720"/>
          </w:tcPr>
          <w:p>
            <w:pPr>
              <w:pStyle w:val="Compact"/>
              <w:spacing w:line="240" w:lineRule="auto" w:after="20"/>
              <w:ind w:firstLine="0"/>
              <w:jc w:val="right"/>
            </w:pPr>
            <w:r>
              <w:rPr>
                <w:rFonts w:ascii="Times New Roman" w:hAnsi="Times New Roman"/>
                <w:sz w:val="18"/>
              </w:rPr>
              <w:t xml:space="preserve">0.004</w:t>
            </w:r>
          </w:p>
        </w:tc>
        <w:tc>
          <w:tcPr>
            <w:tcW w:type="dxa" w:w="1152"/>
          </w:tcPr>
          <w:p>
            <w:pPr>
              <w:pStyle w:val="Compact"/>
              <w:spacing w:line="240" w:lineRule="auto" w:after="20"/>
              <w:ind w:firstLine="0"/>
              <w:jc w:val="right"/>
            </w:pPr>
            <w:r>
              <w:rPr>
                <w:rFonts w:ascii="Times New Roman" w:hAnsi="Times New Roman"/>
                <w:sz w:val="18"/>
              </w:rPr>
              <w:t xml:space="preserve">0.032</w:t>
            </w:r>
          </w:p>
        </w:tc>
        <w:tc>
          <w:tcPr>
            <w:tcW w:type="dxa" w:w="1296"/>
          </w:tcPr>
          <w:p>
            <w:pPr>
              <w:pStyle w:val="Compact"/>
              <w:spacing w:line="240" w:lineRule="auto" w:after="20"/>
              <w:ind w:firstLine="0"/>
              <w:jc w:val="right"/>
            </w:pPr>
            <w:r>
              <w:rPr>
                <w:rFonts w:ascii="Times New Roman" w:hAnsi="Times New Roman"/>
                <w:sz w:val="18"/>
              </w:rPr>
              <w:t xml:space="preserve">0.050</w:t>
            </w:r>
          </w:p>
        </w:tc>
      </w:tr>
      <w:tr>
        <w:tc>
          <w:tcPr>
            <w:tcW w:type="dxa" w:w="2448"/>
          </w:tcPr>
          <w:p>
            <w:pPr>
              <w:pStyle w:val="Compact"/>
              <w:spacing w:line="240" w:lineRule="auto" w:after="20"/>
              <w:ind w:firstLine="0"/>
              <w:jc w:val="left"/>
            </w:pPr>
            <w:r>
              <w:rPr>
                <w:rFonts w:ascii="Times New Roman" w:hAnsi="Times New Roman"/>
                <w:sz w:val="18"/>
              </w:rPr>
              <w:t xml:space="preserve">Response to bug reports, total issues held fixed</w:t>
            </w:r>
          </w:p>
        </w:tc>
        <w:tc>
          <w:tcPr>
            <w:tcW w:type="dxa" w:w="1296"/>
          </w:tcPr>
          <w:p>
            <w:pPr>
              <w:pStyle w:val="Compact"/>
              <w:spacing w:line="240" w:lineRule="auto" w:after="20"/>
              <w:ind w:firstLine="0"/>
              <w:jc w:val="right"/>
            </w:pPr>
            <w:r>
              <w:rPr>
                <w:rFonts w:ascii="Times New Roman" w:hAnsi="Times New Roman"/>
                <w:sz w:val="18"/>
              </w:rPr>
              <w:t xml:space="preserve">0.191 (0.123)</w:t>
            </w:r>
          </w:p>
        </w:tc>
        <w:tc>
          <w:tcPr>
            <w:tcW w:type="dxa" w:w="1296"/>
          </w:tcPr>
          <w:p>
            <w:pPr>
              <w:pStyle w:val="Compact"/>
              <w:spacing w:line="240" w:lineRule="auto" w:after="20"/>
              <w:ind w:firstLine="0"/>
              <w:jc w:val="right"/>
            </w:pPr>
            <w:r>
              <w:rPr>
                <w:rFonts w:ascii="Times New Roman" w:hAnsi="Times New Roman"/>
                <w:sz w:val="18"/>
              </w:rPr>
              <w:t xml:space="preserve">−0.05 to 0.43</w:t>
            </w:r>
          </w:p>
        </w:tc>
        <w:tc>
          <w:tcPr>
            <w:tcW w:type="dxa" w:w="1152"/>
          </w:tcPr>
          <w:p>
            <w:pPr>
              <w:pStyle w:val="Compact"/>
              <w:spacing w:line="240" w:lineRule="auto" w:after="20"/>
              <w:ind w:firstLine="0"/>
              <w:jc w:val="right"/>
            </w:pPr>
            <w:r>
              <w:rPr>
                <w:rFonts w:ascii="Times New Roman" w:hAnsi="Times New Roman"/>
                <w:sz w:val="18"/>
              </w:rPr>
              <w:t xml:space="preserve">±0.25</w:t>
            </w:r>
          </w:p>
        </w:tc>
        <w:tc>
          <w:tcPr>
            <w:tcW w:type="dxa" w:w="720"/>
          </w:tcPr>
          <w:p>
            <w:pPr>
              <w:pStyle w:val="Compact"/>
              <w:spacing w:line="240" w:lineRule="auto" w:after="20"/>
              <w:ind w:firstLine="0"/>
              <w:jc w:val="right"/>
            </w:pPr>
            <w:r>
              <w:rPr>
                <w:rFonts w:ascii="Times New Roman" w:hAnsi="Times New Roman"/>
                <w:sz w:val="18"/>
              </w:rPr>
              <w:t xml:space="preserve">0.32</w:t>
            </w:r>
          </w:p>
        </w:tc>
        <w:tc>
          <w:tcPr>
            <w:tcW w:type="dxa" w:w="1152"/>
          </w:tcPr>
          <w:p>
            <w:pPr>
              <w:pStyle w:val="Compact"/>
              <w:spacing w:line="240" w:lineRule="auto" w:after="20"/>
              <w:ind w:firstLine="0"/>
              <w:jc w:val="right"/>
            </w:pPr>
            <w:r>
              <w:rPr>
                <w:rFonts w:ascii="Times New Roman" w:hAnsi="Times New Roman"/>
                <w:sz w:val="18"/>
              </w:rPr>
              <w:t xml:space="preserve">0.39</w:t>
            </w:r>
          </w:p>
        </w:tc>
        <w:tc>
          <w:tcPr>
            <w:tcW w:type="dxa" w:w="1296"/>
          </w:tcPr>
          <w:p>
            <w:pPr>
              <w:pStyle w:val="Compact"/>
              <w:spacing w:line="240" w:lineRule="auto" w:after="20"/>
              <w:ind w:firstLine="0"/>
              <w:jc w:val="right"/>
            </w:pPr>
            <w:r>
              <w:rPr>
                <w:rFonts w:ascii="Times New Roman" w:hAnsi="Times New Roman"/>
                <w:sz w:val="18"/>
              </w:rPr>
              <w:t xml:space="preserve">not reported</w:t>
            </w:r>
          </w:p>
        </w:tc>
      </w:tr>
      <w:tr>
        <w:tc>
          <w:tcPr>
            <w:tcW w:type="dxa" w:w="2448"/>
          </w:tcPr>
          <w:p>
            <w:pPr>
              <w:pStyle w:val="Compact"/>
              <w:spacing w:line="240" w:lineRule="auto" w:after="20"/>
              <w:ind w:firstLine="0"/>
              <w:jc w:val="left"/>
            </w:pPr>
            <w:r>
              <w:rPr>
                <w:rFonts w:ascii="Times New Roman" w:hAnsi="Times New Roman"/>
                <w:sz w:val="18"/>
              </w:rPr>
              <w:t xml:space="preserve">Response to bug reports, non-bug issues held fixed</w:t>
            </w:r>
          </w:p>
        </w:tc>
        <w:tc>
          <w:tcPr>
            <w:tcW w:type="dxa" w:w="1296"/>
          </w:tcPr>
          <w:p>
            <w:pPr>
              <w:pStyle w:val="Compact"/>
              <w:spacing w:line="240" w:lineRule="auto" w:after="20"/>
              <w:ind w:firstLine="0"/>
              <w:jc w:val="right"/>
            </w:pPr>
            <w:r>
              <w:rPr>
                <w:rFonts w:ascii="Times New Roman" w:hAnsi="Times New Roman"/>
                <w:sz w:val="18"/>
              </w:rPr>
              <w:t xml:space="preserve">0.261 (0.095)</w:t>
            </w:r>
          </w:p>
        </w:tc>
        <w:tc>
          <w:tcPr>
            <w:tcW w:type="dxa" w:w="1296"/>
          </w:tcPr>
          <w:p>
            <w:pPr>
              <w:pStyle w:val="Compact"/>
              <w:spacing w:line="240" w:lineRule="auto" w:after="20"/>
              <w:ind w:firstLine="0"/>
              <w:jc w:val="right"/>
            </w:pPr>
            <w:r>
              <w:rPr>
                <w:rFonts w:ascii="Times New Roman" w:hAnsi="Times New Roman"/>
                <w:sz w:val="18"/>
              </w:rPr>
              <w:t xml:space="preserve">not reported</w:t>
            </w:r>
          </w:p>
        </w:tc>
        <w:tc>
          <w:tcPr>
            <w:tcW w:type="dxa" w:w="1152"/>
          </w:tcPr>
          <w:p>
            <w:pPr>
              <w:pStyle w:val="Compact"/>
              <w:spacing w:line="240" w:lineRule="auto" w:after="20"/>
              <w:ind w:firstLine="0"/>
              <w:jc w:val="right"/>
            </w:pPr>
            <w:r>
              <w:rPr>
                <w:rFonts w:ascii="Times New Roman" w:hAnsi="Times New Roman"/>
                <w:sz w:val="18"/>
              </w:rPr>
              <w:t xml:space="preserve">±0.25</w:t>
            </w:r>
          </w:p>
        </w:tc>
        <w:tc>
          <w:tcPr>
            <w:tcW w:type="dxa" w:w="720"/>
          </w:tcPr>
          <w:p>
            <w:pPr>
              <w:pStyle w:val="Compact"/>
              <w:spacing w:line="240" w:lineRule="auto" w:after="20"/>
              <w:ind w:firstLine="0"/>
              <w:jc w:val="right"/>
            </w:pPr>
            <w:r>
              <w:rPr>
                <w:rFonts w:ascii="Times New Roman" w:hAnsi="Times New Roman"/>
                <w:sz w:val="18"/>
              </w:rPr>
              <w:t xml:space="preserve">0.55</w:t>
            </w:r>
          </w:p>
        </w:tc>
        <w:tc>
          <w:tcPr>
            <w:tcW w:type="dxa" w:w="1152"/>
          </w:tcPr>
          <w:p>
            <w:pPr>
              <w:pStyle w:val="Compact"/>
              <w:spacing w:line="240" w:lineRule="auto" w:after="20"/>
              <w:ind w:firstLine="0"/>
              <w:jc w:val="right"/>
            </w:pPr>
            <w:r>
              <w:rPr>
                <w:rFonts w:ascii="Times New Roman" w:hAnsi="Times New Roman"/>
                <w:sz w:val="18"/>
              </w:rPr>
              <w:t xml:space="preserve">0.42</w:t>
            </w:r>
          </w:p>
        </w:tc>
        <w:tc>
          <w:tcPr>
            <w:tcW w:type="dxa" w:w="1296"/>
          </w:tcPr>
          <w:p>
            <w:pPr>
              <w:pStyle w:val="Compact"/>
              <w:spacing w:line="240" w:lineRule="auto" w:after="20"/>
              <w:ind w:firstLine="0"/>
              <w:jc w:val="right"/>
            </w:pPr>
            <w:r>
              <w:rPr>
                <w:rFonts w:ascii="Times New Roman" w:hAnsi="Times New Roman"/>
                <w:sz w:val="18"/>
              </w:rPr>
              <w:t xml:space="preserve">not reported</w:t>
            </w:r>
          </w:p>
        </w:tc>
      </w:tr>
    </w:tbl>
    <w:p>
      <w:pPr>
        <w:pStyle w:val="BodyText"/>
        <w:spacing w:before="200"/>
      </w:pPr>
      <w:r>
        <w:rPr>
          <w:bCs/>
          <w:b/>
        </w:rPr>
        <w:t xml:space="preserve">Heterogeneity.</w:t>
      </w:r>
      <w:r>
        <w:t xml:space="preserve"> </w:t>
      </w:r>
      <w:r>
        <w:t xml:space="preserve">Excluding the two repositories that may rely on automated release pipelines (anthropic-sdk-python and openai-python) leaves the conclusions unchanged. The pooled age slope is −0.003 under specification (b) (95% CI −0.015 to 0.010) and +0.019 under (d) (−0.007 to 0.044), and the coefficient on bug reports with non-bug issues held fixed rises to 0.304 (SE 0.093). The twelve other repositories give 0.000 under (b) (−0.009 to 0.010), +0.014 under (d) (−0.005 to 0.033), and 0.158 (SE 0.097) for the response to bug reports. For the seven weekly releasers (Table 1) the estimates are imprecise: −0.021 (−0.072 to 0.031) under (b), +0.087 (−0.150 to 0.324) under (d), and 0.341 (SE 0.182) for the response to bug reports. The (d) estimate rests on few observations beyond the third week after a release and should be read with caution. Within categories of three repositories the estimates are too imprecise to interpret; agent frameworks show a response to bug reports of 0.709 (SE 0.134) and inference engines an age slope under (d) of 0.045 (0.002 to 0.087), which we treat as exploratory.</w:t>
      </w:r>
    </w:p>
    <w:bookmarkEnd w:id="53"/>
    <w:bookmarkStart w:id="54" w:name="Xe1c6846cdc8a74b28feadfcc8d562ca216c973e"/>
    <w:p>
      <w:pPr>
        <w:pStyle w:val="Heading2"/>
        <w:ind w:firstLine="0"/>
      </w:pPr>
      <w:r>
        <w:t xml:space="preserve">5.7. Receivers: Does Adoption Respond to Cadence?</w:t>
      </w:r>
    </w:p>
    <w:p>
      <w:pPr>
        <w:pStyle w:val="FirstParagraph"/>
      </w:pPr>
      <w:r>
        <w:t xml:space="preserve">We find no detectable response of adoption to release cadence at the 5 percent level. One standard deviation more releases in the trailing eight weeks is followed by a change of −0.008 in log download growth (clustered SE 0.034; wild cluster bootstrap p = 0.94) and of 0.047 in log star growth (SE 0.025; p = 0.10). The additional response to releases that follow a bug surge is −0.026 (p = 0.50) for downloads and −0.022 (p = 0.24) for stars, and that to hot-fixes is 0.019 (p = 0.52) and −0.017 (p = 0.68). The estimates for stars are positive in all three models (0.047 to 0.064; p = 0.05 to 0.11), so a modest positive response of star growth cannot be excluded. Excluding the downloads of TensorRT-LLM, whose PyPI counts are incomplete, of autogen, whose PyPI packages are partly maintained by a fork, or of both leaves the download results unchanged (the response to releases is −0.005, −0.014, and −0.009; p = 0.91 or higher). With 16 clusters for downloads and 19 for stars, the minimum detectable effect at 80 percent power is about 0.09 and 0.07 log points per standard deviation, so the result does not show that receivers ignore cadence, only that adoption at weekly frequency does not reveal it. The argument of Section 2.4 then rests on the documented use of cadence in project-health assessments rather than on revealed behavior, and we say so in Section 6.4.</w:t>
      </w:r>
    </w:p>
    <w:bookmarkEnd w:id="54"/>
    <w:bookmarkEnd w:id="55"/>
    <w:bookmarkStart w:id="60" w:name="discussion"/>
    <w:p>
      <w:pPr>
        <w:pStyle w:val="Heading1"/>
        <w:ind w:firstLine="0"/>
      </w:pPr>
      <w:r>
        <w:t xml:space="preserve">6. Discussion</w:t>
      </w:r>
    </w:p>
    <w:bookmarkStart w:id="56" w:name="interpretation"/>
    <w:p>
      <w:pPr>
        <w:pStyle w:val="Heading2"/>
        <w:ind w:firstLine="0"/>
      </w:pPr>
      <w:r>
        <w:t xml:space="preserve">6.1. Interpretation</w:t>
      </w:r>
    </w:p>
    <w:p>
      <w:pPr>
        <w:pStyle w:val="FirstParagraph"/>
      </w:pPr>
      <w:r>
        <w:t xml:space="preserve">Releases in these repositories respond to the volume of user activity, to upstream model launches, and, more weakly, to accumulated work, but we find no clear relationship with an accumulating error state.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respond to upstream model launches within days, and the release hazard tends to rise with the stock of merged changes. These findings suggest that the observable timing of maintenance need not form a feedback loop with system deterioration. This qualifies models that treat maintenance as a responsive, state-dependent control process: such models are valid only when an accumulating error state exists and maintainers respond to it, conditions that are not clearly met in these data. The evidence is consistent with release activity in this ecosystem mainly reflecting user activity, upstream launches, and the accumulation of development work. This distinction has implications for how information systems researchers conceptualize monitoring, feedback, and control in AI-enabled systems. In particular, treating release cadence as a validated signal of responsiveness to degradation conflates responsiveness to users, to upstream launches, and to development work with a control response to deterioration.</w:t>
      </w:r>
    </w:p>
    <w:p>
      <w:pPr>
        <w:pStyle w:val="BodyText"/>
      </w:pPr>
      <w:r>
        <w:t xml:space="preserve">The repositories therefore resemble firms whose adjustment responds to observable demand and to an accumulating stock of work, as in Sheshinski and Weiss (1977), but the state to which they respond is not clearly accumulated errors. A calendar cadence, as in Taylor (1980), cannot be excluded, because work and calendar time are correlated. Because bug reports build up at most modestly, these data cannot distinguish a maintainer who ignores an accumulating error state from one who has little to respond to. Both readings carry the same practical message.</w:t>
      </w:r>
    </w:p>
    <w:p>
      <w:pPr>
        <w:pStyle w:val="BodyText"/>
      </w:pPr>
      <w:r>
        <w:t xml:space="preserve">In this ecosystem, we find no evidence that release timing is a mechanism through which degradation, if it occurs, would be corrected, although releases do respond to the flow of user reports and, within days, to upstream launches. In the language of signaling theory, release cadence meets the correlation condition for responsiveness to users, but the data do not show that it meets it for responsiveness to degradation: it covaries with user activity in general and with upstream launches, and its additional covariation with defects cannot be distinguished from zero.</w:t>
      </w:r>
    </w:p>
    <w:bookmarkEnd w:id="56"/>
    <w:bookmarkStart w:id="57" w:name="implications-for-research"/>
    <w:p>
      <w:pPr>
        <w:pStyle w:val="Heading2"/>
        <w:ind w:firstLine="0"/>
      </w:pPr>
      <w:r>
        <w:t xml:space="preserve">6.2. Implications for Research</w:t>
      </w:r>
    </w:p>
    <w:p>
      <w:pPr>
        <w:pStyle w:val="FirstParagraph"/>
      </w:pPr>
      <w:r>
        <w:rPr>
          <w:bCs/>
          <w:b/>
        </w:rPr>
        <w:t xml:space="preserve">Maintenance as feedback.</w:t>
      </w:r>
      <w:r>
        <w:t xml:space="preserve"> </w:t>
      </w:r>
      <w:r>
        <w:t xml:space="preserve">For research on information systems, the results suggest that the maintenance of AI-enabled systems should not be assumed to be a feedback process. Treating release activity as a measure of how well a system is monitored and maintained would misread development activity as a control loop. Organizations that depend on third-party AI components— such as inference engines, client SDKs, and agent frameworks—should therefore ask whether maintainers respond to measured performance metrics, not how often they release, and may consider contractual or monitoring provisions that require evidence of state-dependent responses rather than cadence alone.</w:t>
      </w:r>
    </w:p>
    <w:bookmarkEnd w:id="57"/>
    <w:bookmarkStart w:id="58" w:name="implications-for-practice-and-policy"/>
    <w:p>
      <w:pPr>
        <w:pStyle w:val="Heading2"/>
        <w:ind w:firstLine="0"/>
      </w:pPr>
      <w:r>
        <w:t xml:space="preserve">6.3. Implications for Practice and Policy</w:t>
      </w:r>
    </w:p>
    <w:p>
      <w:pPr>
        <w:pStyle w:val="FirstParagraph"/>
      </w:pPr>
      <w:r>
        <w:rPr>
          <w:bCs/>
          <w:b/>
        </w:rPr>
        <w:t xml:space="preserve">Release cadence should not be read as a signal of responsiveness to degradation.</w:t>
      </w:r>
      <w:r>
        <w:t xml:space="preserve"> </w:t>
      </w:r>
      <w:r>
        <w:t xml:space="preserve">A project that releases every week looks actively maintained, but if release timing follows user activity, upstream launches, accumulated work, or the calendar, it need not respond to degradation. Buyers, auditors, and regulators that use update frequency as an indicator of maintenance quality should not read it as evidence that degradation is being corrected. These implications concern the open-source tooling layer that we study; whether operators of hosted models behave similarly is an empirical question that public repositories cannot answer.</w:t>
      </w:r>
    </w:p>
    <w:p>
      <w:pPr>
        <w:pStyle w:val="BodyText"/>
      </w:pPr>
      <w:r>
        <w:rPr>
          <w:bCs/>
          <w:b/>
        </w:rPr>
        <w:t xml:space="preserve">Monitoring obligations may need state triggers.</w:t>
      </w:r>
      <w:r>
        <w:t xml:space="preserve"> </w:t>
      </w:r>
      <w:r>
        <w:t xml:space="preserve">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user activity, upstream launches, accumulated work, or a calendar. Where degradation is a concern, obligations framed in terms of measured error rates or performance thresholds, rather than update schedules or release cadence, are more likely to produce state-dependent responses. Regulators and auditors may therefore wish to treat release frequency as uninformative about responsiveness to degradation and to ask for performance metrics that public repositories do not contain. This inference is indirect, because our repositories are tools rather than deployed models, but it bears most directly on the open-source tooling layer through which many organizations consume LLMs.</w:t>
      </w:r>
    </w:p>
    <w:p>
      <w:pPr>
        <w:pStyle w:val="BodyText"/>
      </w:pPr>
      <w:r>
        <w:rPr>
          <w:bCs/>
          <w:b/>
        </w:rPr>
        <w:t xml:space="preserve">Observation is the binding constraint.</w:t>
      </w:r>
      <w:r>
        <w:t xml:space="preserve"> </w:t>
      </w:r>
      <w:r>
        <w:t xml:space="preserve">If time dependence reflects the cost of observing drift, as in Reis (2006), then policies that lower that cost would make state-dependent maintenance feasible and its absence detectable. Shared evaluation benchmarks that track performance drift, standardized error reporting protocols, and research or regulatory access to operators’ error logs and refresh histories are concrete examples. Without such data, neither public repositories nor cadence-based signals can confirm that degradation is being managed, which is why complementary monitoring infrastructure is needed.</w:t>
      </w:r>
    </w:p>
    <w:bookmarkEnd w:id="58"/>
    <w:bookmarkStart w:id="59" w:name="limitations-and-future-research"/>
    <w:p>
      <w:pPr>
        <w:pStyle w:val="Heading2"/>
        <w:ind w:firstLine="0"/>
      </w:pPr>
      <w:r>
        <w:t xml:space="preserve">6.4. Limitations and Future Research</w:t>
      </w:r>
    </w:p>
    <w:p>
      <w:pPr>
        <w:pStyle w:val="FirstParagraph"/>
      </w:pPr>
      <w:r>
        <w:rPr>
          <w:bCs/>
          <w:b/>
        </w:rPr>
        <w:t xml:space="preserve">Measurement.</w:t>
      </w:r>
      <w:r>
        <w:t xml:space="preserve"> </w:t>
      </w:r>
      <w:r>
        <w:t xml:space="preserve">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We did not validate the bug classification against a manually labeled sample, so misclassification remains a limitation. Two other classifiers have had only a small check or none: the coding of fix entries in release notes was checked on 12 entries (Section 5.6), which says nothing about its recall, and the matching of launched models in release notes has not been checked by hand.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Cs/>
          <w:b/>
        </w:rPr>
        <w:t xml:space="preserve">Sample.</w:t>
      </w:r>
      <w:r>
        <w:t xml:space="preserve"> </w:t>
      </w:r>
      <w:r>
        <w:t xml:space="preserve">Nineteen repositories chosen under explicit criteria are not a random sample of the ecosystem, and the results should not be generalized to commercial operators or to the maintenance of hosted models. Four limits follow. First, the repositories are prominent, actively releasing, GitHub-hosted tooling projects selected by the authors’ judgment under rules fixed in advance, so we cannot say how typical they are of the ecosystem; repository-level slopes differ (for example, the bug-rate slope runs from −0.231 for semantic-kernel to 0.067 for Ollama). Second, the eligibility rule excludes slowly releasing projects, where release timing may be more irregular. Third, the repositories are software around models, and we observe no model weights. Fourth, the data cover January 2023 to October 2026, a period of rapid change in the field. Whether the results hold for other open-source domains, for smaller projects, or for hosted models is an empirical question that replication can answer.</w:t>
      </w:r>
    </w:p>
    <w:p>
      <w:pPr>
        <w:pStyle w:val="BodyText"/>
      </w:pPr>
      <w:r>
        <w:rPr>
          <w:bCs/>
          <w:b/>
        </w:rPr>
        <w:t xml:space="preserve">Identification and power.</w:t>
      </w:r>
      <w:r>
        <w:t xml:space="preserve"> </w:t>
      </w:r>
      <w:r>
        <w:t xml:space="preserve">Age, calendar time, and project growth move together, and we report results with and without a time trend. Controls for issue volume are also delicate, because total issues contain the outcome; this is why Section 4.3 reports four specifications, and the choice among them matters for what a null result means. Several repository-level intervals are wide, and the absence of a significant result is not evidence of absence. We therefore say that the evidence does not support a hypothesis, give interval estimates, report equivalence tests where the question is whether an effect is small, and avoid claiming that the effects are zero. We also report many specifications without adjusting for multiple comparisons, and the one significant response to bug reports, which appears only when non-bug issues are held fixed, should be read in that light.</w:t>
      </w:r>
    </w:p>
    <w:p>
      <w:pPr>
        <w:pStyle w:val="BodyText"/>
      </w:pPr>
      <w:r>
        <w:rPr>
          <w:bCs/>
          <w:b/>
        </w:rPr>
        <w:t xml:space="preserve">Causality and scope.</w:t>
      </w:r>
      <w:r>
        <w:t xml:space="preserve"> </w:t>
      </w:r>
      <w:r>
        <w:t xml:space="preserve">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Cs/>
          <w:b/>
        </w:rPr>
        <w:t xml:space="preserve">Work age, calendar age, and exposure coding.</w:t>
      </w:r>
      <w:r>
        <w:t xml:space="preserve"> </w:t>
      </w:r>
      <w:r>
        <w:t xml:space="preserve">Work age and calendar age are correlated (median 0.74), so the separation of the two rules rests on limited variation in the pace of merging, and the wild cluster bootstrap does not reject at 5 percent. The coding of fix entries in release notes is by keyword,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pPr>
      <w:r>
        <w:rPr>
          <w:bCs/>
          <w:b/>
        </w:rPr>
        <w:t xml:space="preserve">Adoption measures.</w:t>
      </w:r>
      <w:r>
        <w:t xml:space="preserve"> </w:t>
      </w:r>
      <w:r>
        <w:t xml:space="preserve">The receiver-side analysis uses downloads and stars as measures of adoption. Downloads include mirrors and continuous-integration installs, stars measure attention more than use, three repositories have no PyPI artifact, and the PyPI counts of TensorRT-LLM are incomplete because early versions were distributed through the NVIDIA package index, and those of autogen combine two packages, one of which is now maintained by a fork. Excluding the downloads of either repository, or of both, leaves the estimates unchanged (Section 5.7). Adoption and releases are both driven by project momentum, which the lagged outcome and the issue control absorb only in part.</w:t>
      </w:r>
    </w:p>
    <w:p>
      <w:pPr>
        <w:pStyle w:val="BodyText"/>
      </w:pPr>
      <w:r>
        <w:rPr>
          <w:bCs/>
          <w:b/>
        </w:rPr>
        <w:t xml:space="preserve">Daily launch analysis.</w:t>
      </w:r>
      <w:r>
        <w:t xml:space="preserve"> </w:t>
      </w:r>
      <w:r>
        <w:t xml:space="preserve">The daily analysis includes only repositories that had released in the preceding 90 days, which is why it uses 277 repository-launch pairs and not the 334 of the weekly analysis. The placebo test absorbs baseline differences in release rates between exposed and unexposed repositories, but not differences in how exposed repositories respond to any announcement. The coding of exposure is a judgment, the seven daily statistics are not independent, the primary statistic was chosen after the estimates were seen and is not significant when hot-fixes are excluded unless controls exposed to other launches are also dropped, and the keyword patterns for matching models in release notes include generic terms that can match unrelated text. Because the primary statistic was designated after the estimates had been seen, the daily-resolution result is exploratory; confirming it on launches announced after this study, with the exposure coding fixed in advance by two independent coders, is the most direct way to test it.</w:t>
      </w:r>
    </w:p>
    <w:p>
      <w:pPr>
        <w:pStyle w:val="BodyText"/>
      </w:pPr>
      <w:r>
        <w:rPr>
          <w:bCs/>
          <w:b/>
        </w:rPr>
        <w:t xml:space="preserve">Reproducibility.</w:t>
      </w:r>
      <w:r>
        <w:t xml:space="preserve"> </w:t>
      </w:r>
      <w:r>
        <w:t xml:space="preserve">Collection depends on the state of the GitHub API at the time of collection, since issues can be edited or deleted afterward, and for this reason the replication package includes the weekly aggregates we used. The package also contains the scripts that produce the empirical estimates in Sections 5.1 to 5.7 and in Table 1, run with fixed random seeds and 999 bootstrap draws.</w:t>
      </w:r>
    </w:p>
    <w:p>
      <w:pPr>
        <w:pStyle w:val="BodyText"/>
      </w:pPr>
      <w:r>
        <w:rPr>
          <w:bCs/>
          <w:b/>
        </w:rPr>
        <w:t xml:space="preserve">Future research.</w:t>
      </w:r>
      <w:r>
        <w:t xml:space="preserve"> </w:t>
      </w:r>
      <w:r>
        <w:t xml:space="preserve">Four extensions follow from these limits. (i) Confirm the response to upstream launches on later launches, with exposure coded independently by two coders and the statistic fixed in advance. (ii) Validate the bug, release-note, and exposure classifiers against hand-labeled samples and report precision, recall, and agreement. (iii) Combine release histories with performance measurements, such as benchmark scores or user-reported failure rates, which would identify whether releases respond to degradation itself. (iv) Study operators of hosted models, whose refresh decisions this study cannot observe.</w:t>
      </w:r>
    </w:p>
    <w:bookmarkEnd w:id="59"/>
    <w:bookmarkEnd w:id="60"/>
    <w:bookmarkStart w:id="61" w:name="conclusion"/>
    <w:p>
      <w:pPr>
        <w:pStyle w:val="Heading1"/>
        <w:ind w:firstLine="0"/>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respond to upstream model launches within days, and the release hazard rises significantly with age in only one repository. The hazard does tend to rise with the stock of merged changes, although the data cannot cleanly separate that stock from calendar time. Release timing in this ecosystem therefore appears to follow user activity, upstream launches, and accumulating work, and we cannot identify a response to accumulating errors beyond that. Release cadence thus says something about responsiveness to users and to upstream changes, but it should not be read as evidence that degradation is managed, and that detecting and correcting degradation requires performance data that public repositories do not contain.</w:t>
      </w:r>
    </w:p>
    <w:bookmarkEnd w:id="61"/>
    <w:bookmarkStart w:id="62" w:name="Xdd2b61993d06d2e4f1f298ea807f0c3e5dc5273"/>
    <w:p>
      <w:pPr>
        <w:pStyle w:val="Heading1"/>
        <w:ind w:firstLine="0"/>
      </w:pPr>
      <w:r>
        <w:t xml:space="preserve">Appendix A. A Dynamic Version of the Model</w:t>
      </w:r>
    </w:p>
    <w:p>
      <w:pPr>
        <w:pStyle w:val="FirstParagraph"/>
      </w:pPr>
      <w:r>
        <w:t xml:space="preserve">In the dynamic version, the maintainer discounts future costs by a factor β and each week chooses either to keep the system or to refresh it. Errors arrive according to (1), each error costs c, and a refresh costs RC and resets drift. Payoffs include an unobserved shock with a Type I extreme-value distribution, so the probability of a refresh in state x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x while the value of refreshing does not depend on x, so the refresh probability is non-decreasing in drift. The comparative statics of the threshold in the refresh cost and in the speed of drift are those of the closed-form threshold x* in Section 3.2, which approximates the undiscounted case. We do not derive the effect of the discount factor here.</w:t>
      </w:r>
    </w:p>
    <w:bookmarkEnd w:id="62"/>
    <w:bookmarkStart w:id="63" w:name="declarations"/>
    <w:p>
      <w:pPr>
        <w:pStyle w:val="Heading1"/>
        <w:ind w:firstLine="0"/>
      </w:pPr>
      <w:r>
        <w:t xml:space="preserve">Declarations</w:t>
      </w:r>
    </w:p>
    <w:p>
      <w:pPr>
        <w:pStyle w:val="FirstParagraph"/>
      </w:pPr>
      <w:r>
        <w:rPr>
          <w:bCs/>
          <w:b/>
        </w:rPr>
        <w:t xml:space="preserve">Generative AI use.</w:t>
      </w:r>
      <w:r>
        <w:t xml:space="preserve"> </w:t>
      </w:r>
      <w:r>
        <w:t xml:space="preserve">[AUTHORS TO CONFIRM AND COMPLETE BEFORE SUBMISSION: state which tools were used, for what (for example, data-collection scripts, statistical code, language editing), and that the authors reviewed and take responsibility for the content.]</w:t>
      </w:r>
    </w:p>
    <w:p>
      <w:pPr>
        <w:pStyle w:val="BodyText"/>
      </w:pPr>
      <w:r>
        <w:rPr>
          <w:bCs/>
          <w:b/>
        </w:rPr>
        <w:t xml:space="preserve">Data and code availability.</w:t>
      </w:r>
      <w:r>
        <w:t xml:space="preserve"> </w:t>
      </w:r>
      <w:r>
        <w:t xml:space="preserve">[AUTHORS TO COMPLETE: DOI of the replication package containing the weekly aggregates and the scripts that produce the estimates in Sections 5.1 to 5.7 and Table 1.]</w:t>
      </w:r>
    </w:p>
    <w:p>
      <w:pPr>
        <w:pStyle w:val="BodyText"/>
      </w:pPr>
      <w:r>
        <w:t xml:space="preserve">Funding, acknowledgements, author contributions, and the declaration of competing interests are in the separate title page file.</w:t>
      </w:r>
    </w:p>
    <w:bookmarkEnd w:id="63"/>
    <w:bookmarkStart w:id="64" w:name="references"/>
    <w:p>
      <w:pPr>
        <w:pStyle w:val="Heading1"/>
        <w:ind w:firstLine="0"/>
      </w:pPr>
      <w:r>
        <w:t xml:space="preserve">References</w:t>
      </w:r>
    </w:p>
    <w:p>
      <w:pPr>
        <w:pStyle w:val="FirstParagraph"/>
        <w:spacing w:line="276" w:lineRule="auto" w:after="80"/>
        <w:ind w:hanging="720" w:left="720"/>
      </w:pPr>
      <w:r>
        <w:t xml:space="preserve">Aguirregabiria V, Mira P (2010) Dynamic discrete choice structural models: A survey. J. Econometrics 156(1):38–67.</w:t>
      </w:r>
    </w:p>
    <w:p>
      <w:pPr>
        <w:pStyle w:val="BodyText"/>
        <w:spacing w:line="276" w:lineRule="auto" w:after="80"/>
        <w:ind w:hanging="720" w:left="720"/>
      </w:pPr>
      <w:r>
        <w:t xml:space="preserve">Alvarez FE, Lippi F, Paciello L (2011) Optimal price setting with observation and menu costs. Quart. J. Econom. 126(4):1909–1960.</w:t>
      </w:r>
    </w:p>
    <w:p>
      <w:pPr>
        <w:pStyle w:val="BodyText"/>
        <w:spacing w:line="276" w:lineRule="auto" w:after="80"/>
        <w:ind w:hanging="720" w:left="720"/>
      </w:pPr>
      <w:r>
        <w:t xml:space="preserve">Amershi S, Begel A, Bird C, DeLine R, Gall H, Kamar E, Nagappan N, Nushi B, Zimmermann T (2019) Software engineering for machine learning: A case study. Proc. 41st Internat. Conf. Software Engrg. Software Engrg. Practice (ICSE-SEIP) (IEEE, Piscataway, NJ), 291–300.</w:t>
      </w:r>
    </w:p>
    <w:p>
      <w:pPr>
        <w:pStyle w:val="BodyText"/>
        <w:spacing w:line="276" w:lineRule="auto" w:after="80"/>
        <w:ind w:hanging="720" w:left="720"/>
      </w:pPr>
      <w:r>
        <w:t xml:space="preserve">Banker RD, Datar SM, Kemerer CF, Zweig D (1993) Software complexity and maintenance costs. Comm. ACM 36(11):81–94.</w:t>
      </w:r>
    </w:p>
    <w:p>
      <w:pPr>
        <w:pStyle w:val="BodyText"/>
        <w:spacing w:line="276" w:lineRule="auto" w:after="80"/>
        <w:ind w:hanging="720" w:left="720"/>
      </w:pPr>
      <w:r>
        <w:t xml:space="preserve">Barlow R, Hunter L (1960) Optimum preventive maintenance policies. Oper. Res. 8(1):90–100.</w:t>
      </w:r>
    </w:p>
    <w:p>
      <w:pPr>
        <w:pStyle w:val="BodyText"/>
        <w:spacing w:line="276" w:lineRule="auto" w:after="80"/>
        <w:ind w:hanging="720" w:left="720"/>
      </w:pPr>
      <w:r>
        <w:t xml:space="preserve">Caballero RJ, Engel EMRA (1999) Explaining investment dynamics in U.S. manufacturing: A generalized (S,s) approach. Econometrica 67:783–826.</w:t>
      </w:r>
    </w:p>
    <w:p>
      <w:pPr>
        <w:pStyle w:val="BodyText"/>
        <w:spacing w:line="276" w:lineRule="auto" w:after="80"/>
        <w:ind w:hanging="720" w:left="720"/>
      </w:pPr>
      <w:r>
        <w:t xml:space="preserve">Calvo GA (1983) Staggered prices in a utility-maximizing framework. J. Monetary Econom. 12(3):383– 398.</w:t>
      </w:r>
    </w:p>
    <w:p>
      <w:pPr>
        <w:pStyle w:val="BodyText"/>
        <w:spacing w:line="276" w:lineRule="auto" w:after="80"/>
        <w:ind w:hanging="720" w:left="720"/>
      </w:pPr>
      <w:r>
        <w:t xml:space="preserve">Cameron AC, Gelbach JB, Miller DL (2008) Bootstrap-based improvements for inference with clustered errors. Rev. Econom. Statist. 90(3):414–427.</w:t>
      </w:r>
    </w:p>
    <w:p>
      <w:pPr>
        <w:pStyle w:val="BodyText"/>
        <w:spacing w:line="276" w:lineRule="auto" w:after="80"/>
        <w:ind w:hanging="720" w:left="720"/>
      </w:pPr>
      <w:r>
        <w:t xml:space="preserve">CHAOSS (n.d.) Release frequency. CHAOSS Metrics. https://chaoss.community/?p=4765. Accessed October 13, 2026.</w:t>
      </w:r>
    </w:p>
    <w:p>
      <w:pPr>
        <w:pStyle w:val="BodyText"/>
        <w:spacing w:line="276" w:lineRule="auto" w:after="80"/>
        <w:ind w:hanging="720" w:left="720"/>
      </w:pPr>
      <w:r>
        <w:t xml:space="preserve">Chen L, Zaharia M, Zou J (2024) How is ChatGPT’s behavior changing over time? Harvard Data Sci. Rev. 6(2).</w:t>
      </w:r>
    </w:p>
    <w:p>
      <w:pPr>
        <w:pStyle w:val="BodyText"/>
        <w:spacing w:line="276" w:lineRule="auto" w:after="80"/>
        <w:ind w:hanging="720" w:left="720"/>
      </w:pPr>
      <w:r>
        <w:t xml:space="preserve">Chen W, Liu X, Krishnan V, Zhu K (2026) Strategic release and co-creation: Empirical insights for managing open-source software. Inform. Systems Res. Forthcoming.</w:t>
      </w:r>
    </w:p>
    <w:p>
      <w:pPr>
        <w:pStyle w:val="BodyText"/>
        <w:spacing w:line="276" w:lineRule="auto" w:after="80"/>
        <w:ind w:hanging="720" w:left="720"/>
      </w:pPr>
      <w:r>
        <w:t xml:space="preserve">Connelly BL, Certo ST, Ireland RD, Reutzel CR (2011) Signaling theory: A review and assessment. J. Management 37(1):39–67.</w:t>
      </w:r>
    </w:p>
    <w:p>
      <w:pPr>
        <w:pStyle w:val="BodyText"/>
        <w:spacing w:line="276" w:lineRule="auto" w:after="80"/>
        <w:ind w:hanging="720" w:left="720"/>
      </w:pPr>
      <w:r>
        <w:t xml:space="preserve">DerSimonian R, Laird N (1986) Meta-analysis in clinical trials. Controlled Clinical Trials 7(3):177–188.</w:t>
      </w:r>
    </w:p>
    <w:p>
      <w:pPr>
        <w:pStyle w:val="BodyText"/>
        <w:spacing w:line="276" w:lineRule="auto" w:after="80"/>
        <w:ind w:hanging="720" w:left="720"/>
      </w:pPr>
      <w:r>
        <w:t xml:space="preserve">Duncan AJ (1956) The economic design of X̄ charts used to maintain current control of a process. J. Amer. Statist. Assoc. 51(274):228–242.</w:t>
      </w:r>
    </w:p>
    <w:p>
      <w:pPr>
        <w:pStyle w:val="BodyText"/>
        <w:spacing w:line="276" w:lineRule="auto" w:after="80"/>
        <w:ind w:hanging="720" w:left="720"/>
      </w:pPr>
      <w:r>
        <w:t xml:space="preserve">Gama J, Žliobaitė I, Bifet A, Pechenizkiy M, Bouchachia A (2014) A survey on concept drift adaptation. ACM Comput. Surveys 46(4):Article 44.</w:t>
      </w:r>
    </w:p>
    <w:p>
      <w:pPr>
        <w:pStyle w:val="BodyText"/>
        <w:spacing w:line="276" w:lineRule="auto" w:after="80"/>
        <w:ind w:hanging="720" w:left="720"/>
      </w:pPr>
      <w:r>
        <w:t xml:space="preserve">Gourieroux C, Monfort A, Trognon A (1984) Pseudo maximum likelihood methods: Applications to Poisson models. Econometrica 52:701–720.</w:t>
      </w:r>
    </w:p>
    <w:p>
      <w:pPr>
        <w:pStyle w:val="BodyText"/>
        <w:spacing w:line="276" w:lineRule="auto" w:after="80"/>
        <w:ind w:hanging="720" w:left="720"/>
      </w:pPr>
      <w:r>
        <w:t xml:space="preserve">Heckman J, Singer B (1984) A method for minimizing the impact of distributional assumptions in</w:t>
      </w:r>
    </w:p>
    <w:p>
      <w:pPr>
        <w:pStyle w:val="BodyText"/>
        <w:spacing w:line="276" w:lineRule="auto" w:after="80"/>
        <w:ind w:hanging="720" w:left="720"/>
      </w:pPr>
      <w:r>
        <w:t xml:space="preserve">econometric models for duration data. Econometrica 52:271–320.</w:t>
      </w:r>
    </w:p>
    <w:p>
      <w:pPr>
        <w:pStyle w:val="BodyText"/>
        <w:spacing w:line="276" w:lineRule="auto" w:after="80"/>
        <w:ind w:hanging="720" w:left="720"/>
      </w:pPr>
      <w:r>
        <w:t xml:space="preserve">Hotz VJ, Miller RA (1993) Conditional choice probabilities and the estimation of dynamic models. Rev.</w:t>
      </w:r>
    </w:p>
    <w:p>
      <w:pPr>
        <w:pStyle w:val="BodyText"/>
        <w:spacing w:line="276" w:lineRule="auto" w:after="80"/>
        <w:ind w:hanging="720" w:left="720"/>
      </w:pPr>
      <w:r>
        <w:t xml:space="preserve">Econom. Stud. 60(3):497–529.</w:t>
      </w:r>
    </w:p>
    <w:p>
      <w:pPr>
        <w:pStyle w:val="BodyText"/>
        <w:spacing w:line="276" w:lineRule="auto" w:after="80"/>
        <w:ind w:hanging="720" w:left="720"/>
      </w:pPr>
      <w:r>
        <w:t xml:space="preserve">Jenkins SP (1995) Easy estimation methods for discrete-time duration models. Oxford Bull. Econom.</w:t>
      </w:r>
    </w:p>
    <w:p>
      <w:pPr>
        <w:pStyle w:val="BodyText"/>
        <w:spacing w:line="276" w:lineRule="auto" w:after="80"/>
        <w:ind w:hanging="720" w:left="720"/>
      </w:pPr>
      <w:r>
        <w:t xml:space="preserve">Statist. 57(1):129–138.</w:t>
      </w:r>
    </w:p>
    <w:p>
      <w:pPr>
        <w:pStyle w:val="BodyText"/>
        <w:spacing w:line="276" w:lineRule="auto" w:after="80"/>
        <w:ind w:hanging="720" w:left="720"/>
      </w:pPr>
      <w:r>
        <w:t xml:space="preserve">Kemerer CF, Slaughter S (1999) An empirical approach to studying software evolution. IEEE Trans.</w:t>
      </w:r>
    </w:p>
    <w:p>
      <w:pPr>
        <w:pStyle w:val="BodyText"/>
        <w:spacing w:line="276" w:lineRule="auto" w:after="80"/>
        <w:ind w:hanging="720" w:left="720"/>
      </w:pPr>
      <w:r>
        <w:t xml:space="preserve">Software Engrg. 25(4):493–509.</w:t>
      </w:r>
    </w:p>
    <w:p>
      <w:pPr>
        <w:pStyle w:val="BodyText"/>
        <w:spacing w:line="276" w:lineRule="auto" w:after="80"/>
        <w:ind w:hanging="720" w:left="720"/>
      </w:pPr>
      <w:r>
        <w:t xml:space="preserve">Khomh F, Dhaliwal T, Zou Y, Adams B (2012) Do faster releases improve software quality? An</w:t>
      </w:r>
    </w:p>
    <w:p>
      <w:pPr>
        <w:pStyle w:val="BodyText"/>
        <w:spacing w:line="276" w:lineRule="auto" w:after="80"/>
        <w:ind w:hanging="720" w:left="720"/>
      </w:pPr>
      <w:r>
        <w:t xml:space="preserve">empirical case study of Mozilla Firefox. Proc. 9th IEEE Working Conf. Mining Software</w:t>
      </w:r>
    </w:p>
    <w:p>
      <w:pPr>
        <w:pStyle w:val="BodyText"/>
        <w:spacing w:line="276" w:lineRule="auto" w:after="80"/>
        <w:ind w:hanging="720" w:left="720"/>
      </w:pPr>
      <w:r>
        <w:t xml:space="preserve">Repositories (MSR) (IEEE, Piscataway, NJ), 179–188.</w:t>
      </w:r>
    </w:p>
    <w:p>
      <w:pPr>
        <w:pStyle w:val="BodyText"/>
        <w:spacing w:line="276" w:lineRule="auto" w:after="80"/>
        <w:ind w:hanging="720" w:left="720"/>
      </w:pPr>
      <w:r>
        <w:t xml:space="preserve">Klenow PJ, Kryvtsov O (2008) State-dependent or time-dependent pricing: Does it matter for recent U.S.</w:t>
      </w:r>
    </w:p>
    <w:p>
      <w:pPr>
        <w:pStyle w:val="BodyText"/>
        <w:spacing w:line="276" w:lineRule="auto" w:after="80"/>
        <w:ind w:hanging="720" w:left="720"/>
      </w:pPr>
      <w:r>
        <w:t xml:space="preserve">inflation? Quart. J. Econom. 123(3):863–904.</w:t>
      </w:r>
    </w:p>
    <w:p>
      <w:pPr>
        <w:pStyle w:val="BodyText"/>
        <w:spacing w:line="276" w:lineRule="auto" w:after="80"/>
        <w:ind w:hanging="720" w:left="720"/>
      </w:pPr>
      <w:r>
        <w:t xml:space="preserve">Lazaridou A, Kuncoro A, Gribovskaya E, Agrawal D, Liska A, Terzi T, Gimenez M, de Masson</w:t>
      </w:r>
    </w:p>
    <w:p>
      <w:pPr>
        <w:pStyle w:val="BodyText"/>
        <w:spacing w:line="276" w:lineRule="auto" w:after="80"/>
        <w:ind w:hanging="720" w:left="720"/>
      </w:pPr>
      <w:r>
        <w:t xml:space="preserve">d’Autume C, Kocisky T, Ruder S, Yogatama D, Cao K, Young S, Blunsom P (2021) Mind the</w:t>
      </w:r>
    </w:p>
    <w:p>
      <w:pPr>
        <w:pStyle w:val="BodyText"/>
        <w:spacing w:line="276" w:lineRule="auto" w:after="80"/>
        <w:ind w:hanging="720" w:left="720"/>
      </w:pPr>
      <w:r>
        <w:t xml:space="preserve">gap: Assessing temporal generalization in neural language models. Adv. Neural Inform.</w:t>
      </w:r>
    </w:p>
    <w:p>
      <w:pPr>
        <w:pStyle w:val="BodyText"/>
        <w:spacing w:line="276" w:lineRule="auto" w:after="80"/>
        <w:ind w:hanging="720" w:left="720"/>
      </w:pPr>
      <w:r>
        <w:t xml:space="preserve">Processing Systems, vol. 34.</w:t>
      </w:r>
    </w:p>
    <w:p>
      <w:pPr>
        <w:pStyle w:val="BodyText"/>
        <w:spacing w:line="276" w:lineRule="auto" w:after="80"/>
        <w:ind w:hanging="720" w:left="720"/>
      </w:pPr>
      <w:r>
        <w:t xml:space="preserve">Lehman MM (1980) Programs, life cycles, and laws of software evolution. Proc. IEEE 68(9):1060–1076.</w:t>
      </w:r>
    </w:p>
    <w:p>
      <w:pPr>
        <w:pStyle w:val="BodyText"/>
        <w:spacing w:line="276" w:lineRule="auto" w:after="80"/>
        <w:ind w:hanging="720" w:left="720"/>
      </w:pPr>
      <w:r>
        <w:t xml:space="preserve">Lerner J, Tirole J (2002) Some simple economics of open source. J. Indust. Econom. 50(2):197–234.</w:t>
      </w:r>
    </w:p>
    <w:p>
      <w:pPr>
        <w:pStyle w:val="BodyText"/>
        <w:spacing w:line="276" w:lineRule="auto" w:after="80"/>
        <w:ind w:hanging="720" w:left="720"/>
      </w:pPr>
      <w:r>
        <w:t xml:space="preserve">Luu K, Khashabi D, Gururangan S, Mandyam K, Smith NA (2022) Time waits for no one! Analysis and</w:t>
      </w:r>
    </w:p>
    <w:p>
      <w:pPr>
        <w:pStyle w:val="BodyText"/>
        <w:spacing w:line="276" w:lineRule="auto" w:after="80"/>
        <w:ind w:hanging="720" w:left="720"/>
      </w:pPr>
      <w:r>
        <w:t xml:space="preserve">challenges of temporal misalignment. Proc. 2022 Conf. North Amer. Chapter Assoc. Comput.</w:t>
      </w:r>
    </w:p>
    <w:p>
      <w:pPr>
        <w:pStyle w:val="BodyText"/>
        <w:spacing w:line="276" w:lineRule="auto" w:after="80"/>
        <w:ind w:hanging="720" w:left="720"/>
      </w:pPr>
      <w:r>
        <w:t xml:space="preserve">Linguistics Human Language Tech. (Association for Computational Linguistics), 5944–5958.</w:t>
      </w:r>
    </w:p>
    <w:p>
      <w:pPr>
        <w:pStyle w:val="BodyText"/>
        <w:spacing w:line="276" w:lineRule="auto" w:after="80"/>
        <w:ind w:hanging="720" w:left="720"/>
      </w:pPr>
      <w:r>
        <w:t xml:space="preserve">Mankiw NG, Reis R (2002) Sticky information versus sticky prices: A proposal to replace the New</w:t>
      </w:r>
    </w:p>
    <w:p>
      <w:pPr>
        <w:pStyle w:val="BodyText"/>
        <w:spacing w:line="276" w:lineRule="auto" w:after="80"/>
        <w:ind w:hanging="720" w:left="720"/>
      </w:pPr>
      <w:r>
        <w:t xml:space="preserve">Keynesian Phillips curve. Quart. J. Econom. 117(4):1295–1328.</w:t>
      </w:r>
    </w:p>
    <w:p>
      <w:pPr>
        <w:pStyle w:val="BodyText"/>
        <w:spacing w:line="276" w:lineRule="auto" w:after="80"/>
        <w:ind w:hanging="720" w:left="720"/>
      </w:pPr>
      <w:r>
        <w:t xml:space="preserve">Nakamura E, Steinsson J (2008) Five facts about prices: A reevaluation of menu cost models. Quart. J.</w:t>
      </w:r>
    </w:p>
    <w:p>
      <w:pPr>
        <w:pStyle w:val="BodyText"/>
        <w:spacing w:line="276" w:lineRule="auto" w:after="80"/>
        <w:ind w:hanging="720" w:left="720"/>
      </w:pPr>
      <w:r>
        <w:t xml:space="preserve">Econom. 123(4):1415–1464.</w:t>
      </w:r>
    </w:p>
    <w:p>
      <w:pPr>
        <w:pStyle w:val="BodyText"/>
        <w:spacing w:line="276" w:lineRule="auto" w:after="80"/>
        <w:ind w:hanging="720" w:left="720"/>
      </w:pPr>
      <w:r>
        <w:t xml:space="preserve">OpenSSF (n.d.) Scorecard checks: Maintained.</w:t>
      </w:r>
    </w:p>
    <w:p>
      <w:pPr>
        <w:pStyle w:val="BodyText"/>
        <w:spacing w:line="276" w:lineRule="auto" w:after="80"/>
        <w:ind w:hanging="720" w:left="720"/>
      </w:pPr>
      <w:r>
        <w:t xml:space="preserve">https://github.com/ossf/scorecard/blob/main/docs/checks.md#maintained. Accessed October 13,</w:t>
      </w:r>
    </w:p>
    <w:p>
      <w:pPr>
        <w:pStyle w:val="FirstParagraph"/>
        <w:spacing w:line="276" w:lineRule="auto" w:after="80"/>
        <w:ind w:hanging="720" w:left="720"/>
      </w:pPr>
      <w:r>
        <w:t xml:space="preserve">Reis R (2006) Inattentive producers. Rev. Econom. Stud. 73(3):793–821.</w:t>
      </w:r>
    </w:p>
    <w:p>
      <w:pPr>
        <w:pStyle w:val="BodyText"/>
        <w:spacing w:line="276" w:lineRule="auto" w:after="80"/>
        <w:ind w:hanging="720" w:left="720"/>
      </w:pPr>
      <w:r>
        <w:t xml:space="preserve">Rust J (1987) Optimal replacement of GMC bus engines: An empirical model of Harold Zurcher.</w:t>
      </w:r>
    </w:p>
    <w:p>
      <w:pPr>
        <w:pStyle w:val="BodyText"/>
        <w:spacing w:line="276" w:lineRule="auto" w:after="80"/>
        <w:ind w:hanging="720" w:left="720"/>
      </w:pPr>
      <w:r>
        <w:t xml:space="preserve">Econometrica 55:999–1033.</w:t>
      </w:r>
    </w:p>
    <w:p>
      <w:pPr>
        <w:pStyle w:val="BodyText"/>
        <w:spacing w:line="276" w:lineRule="auto" w:after="80"/>
        <w:ind w:hanging="720" w:left="720"/>
      </w:pPr>
      <w:r>
        <w:t xml:space="preserve">Sculley D, Holt G, Golovin D, Davydov E, Phillips T, Ebner D, Chaudhary V, Young M, Crespo J-F, Dennison D (2015) Hidden technical debt in machine learning systems. Adv. Neural Inform. Processing Systems, vol. 28 (Curran Associates, Red Hook, NY), 2503–2511.</w:t>
      </w:r>
    </w:p>
    <w:p>
      <w:pPr>
        <w:pStyle w:val="BodyText"/>
        <w:spacing w:line="276" w:lineRule="auto" w:after="80"/>
        <w:ind w:hanging="720" w:left="720"/>
      </w:pPr>
      <w:r>
        <w:t xml:space="preserve">Sheshinski E, Weiss Y (1977) Inflation and costs of price adjustment. Rev. Econom. Stud. 44(2):287–303.</w:t>
      </w:r>
    </w:p>
    <w:p>
      <w:pPr>
        <w:pStyle w:val="BodyText"/>
        <w:spacing w:line="276" w:lineRule="auto" w:after="80"/>
        <w:ind w:hanging="720" w:left="720"/>
      </w:pPr>
      <w:r>
        <w:t xml:space="preserve">Sims CA (2003) Implications of rational inattention. J. Monetary Econom. 50(3):665–690.</w:t>
      </w:r>
    </w:p>
    <w:p>
      <w:pPr>
        <w:pStyle w:val="BodyText"/>
        <w:spacing w:line="276" w:lineRule="auto" w:after="80"/>
        <w:ind w:hanging="720" w:left="720"/>
      </w:pPr>
      <w:r>
        <w:t xml:space="preserve">Snyk (n.d.) Snyk Advisor: Package health score, maintenance. https://snyk.io/advisor/. Accessed October 13, 2026.</w:t>
      </w:r>
    </w:p>
    <w:p>
      <w:pPr>
        <w:pStyle w:val="BodyText"/>
        <w:spacing w:line="276" w:lineRule="auto" w:after="80"/>
        <w:ind w:hanging="720" w:left="720"/>
      </w:pPr>
      <w:r>
        <w:t xml:space="preserve">Song F, Agarwal A, Wen W (2026) The impact of generative AI on collaborative open-source software development: Evidence from GitHub Copilot. Inform. Systems Res. Forthcoming.</w:t>
      </w:r>
    </w:p>
    <w:p>
      <w:pPr>
        <w:pStyle w:val="BodyText"/>
        <w:spacing w:line="276" w:lineRule="auto" w:after="80"/>
        <w:ind w:hanging="720" w:left="720"/>
      </w:pPr>
      <w:r>
        <w:t xml:space="preserve">Spence M (1973) Job market signaling. Quart. J. Econom. 87(3):355–374.</w:t>
      </w:r>
    </w:p>
    <w:p>
      <w:pPr>
        <w:pStyle w:val="BodyText"/>
        <w:spacing w:line="276" w:lineRule="auto" w:after="80"/>
        <w:ind w:hanging="720" w:left="720"/>
      </w:pPr>
      <w:r>
        <w:t xml:space="preserve">Swanson EB (1976) The dimensions of maintenance. Proc. 2nd Internat. Conf. Software Engrg. (IEEE Computer Society Press), 492–497.</w:t>
      </w:r>
    </w:p>
    <w:p>
      <w:pPr>
        <w:pStyle w:val="BodyText"/>
        <w:spacing w:line="276" w:lineRule="auto" w:after="80"/>
        <w:ind w:hanging="720" w:left="720"/>
      </w:pPr>
      <w:r>
        <w:t xml:space="preserve">Taylor JB (1980) Aggregate dynamics and staggered contracts. J. Political Econom. 88(1):1–23.</w:t>
      </w:r>
    </w:p>
    <w:p>
      <w:pPr>
        <w:pStyle w:val="BodyText"/>
        <w:spacing w:line="276" w:lineRule="auto" w:after="80"/>
        <w:ind w:hanging="720" w:left="720"/>
      </w:pPr>
      <w:r>
        <w:t xml:space="preserve">von Hippel E, von Krogh G (2003) Open source software and the</w:t>
      </w:r>
      <w:r>
        <w:t xml:space="preserve"> </w:t>
      </w:r>
      <w:r>
        <w:t xml:space="preserve">“</w:t>
      </w:r>
      <w:r>
        <w:t xml:space="preserve">private-collective</w:t>
      </w:r>
      <w:r>
        <w:t xml:space="preserve">”</w:t>
      </w:r>
      <w:r>
        <w:t xml:space="preserve"> </w:t>
      </w:r>
      <w:r>
        <w:t xml:space="preserve">innovation model: Issues for organization science. Organ. Sci. 14(2):209–223.</w:t>
      </w:r>
    </w:p>
    <w:bookmarkEnd w:id="64"/>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026">
    <w:nsid w:val="A99412026"/>
    <w:multiLevelType w:val="multilevel"/>
    <w:lvl w:ilvl="0">
      <w:start w:val="2026"/>
      <w:numFmt w:val="decimal"/>
      <w:lvlText w:val="%1."/>
      <w:lvlJc w:val="left"/>
      <w:pPr>
        <w:ind w:left="720" w:hanging="480"/>
      </w:pPr>
    </w:lvl>
    <w:lvl w:ilvl="1">
      <w:start w:val="2026"/>
      <w:numFmt w:val="decimal"/>
      <w:lvlText w:val="%2."/>
      <w:lvlJc w:val="left"/>
      <w:pPr>
        <w:ind w:left="1440" w:hanging="480"/>
      </w:pPr>
    </w:lvl>
    <w:lvl w:ilvl="2">
      <w:start w:val="2026"/>
      <w:numFmt w:val="decimal"/>
      <w:lvlText w:val="%3."/>
      <w:lvlJc w:val="left"/>
      <w:pPr>
        <w:ind w:left="2160" w:hanging="480"/>
      </w:pPr>
    </w:lvl>
    <w:lvl w:ilvl="3">
      <w:start w:val="2026"/>
      <w:numFmt w:val="decimal"/>
      <w:lvlText w:val="%4."/>
      <w:lvlJc w:val="left"/>
      <w:pPr>
        <w:ind w:left="2880" w:hanging="480"/>
      </w:pPr>
    </w:lvl>
    <w:lvl w:ilvl="4">
      <w:start w:val="2026"/>
      <w:numFmt w:val="decimal"/>
      <w:lvlText w:val="%5."/>
      <w:lvlJc w:val="left"/>
      <w:pPr>
        <w:ind w:left="3600" w:hanging="480"/>
      </w:pPr>
    </w:lvl>
    <w:lvl w:ilvl="5">
      <w:start w:val="2026"/>
      <w:numFmt w:val="decimal"/>
      <w:lvlText w:val="%6."/>
      <w:lvlJc w:val="left"/>
      <w:pPr>
        <w:ind w:left="4320" w:hanging="480"/>
      </w:pPr>
    </w:lvl>
    <w:lvl w:ilvl="6">
      <w:start w:val="2026"/>
      <w:numFmt w:val="decimal"/>
      <w:lvlText w:val="%7."/>
      <w:lvlJc w:val="left"/>
      <w:pPr>
        <w:ind w:left="5040" w:hanging="480"/>
      </w:pPr>
    </w:lvl>
    <w:lvl w:ilvl="7">
      <w:start w:val="2026"/>
      <w:numFmt w:val="decimal"/>
      <w:lvlText w:val="%8."/>
      <w:lvlJc w:val="left"/>
      <w:pPr>
        <w:ind w:left="5760" w:hanging="480"/>
      </w:pPr>
    </w:lvl>
    <w:lvl w:ilvl="8">
      <w:start w:val="2026"/>
      <w:numFmt w:val="decimal"/>
      <w:lvlText w:val="%9."/>
      <w:lvlJc w:val="left"/>
      <w:pPr>
        <w:ind w:left="6480" w:hanging="480"/>
      </w:pPr>
    </w:lvl>
  </w:abstractNum>
  <w:num w:numId="1000">
    <w:abstractNumId w:val="990"/>
  </w:num>
  <w:num w:numId="1001">
    <w:abstractNumId w:val="99412026"/>
    <w:lvlOverride w:ilvl="0">
      <w:startOverride w:val="2026"/>
    </w:lvlOverride>
    <w:lvlOverride w:ilvl="1">
      <w:startOverride w:val="2026"/>
    </w:lvlOverride>
    <w:lvlOverride w:ilvl="2">
      <w:startOverride w:val="2026"/>
    </w:lvlOverride>
    <w:lvlOverride w:ilvl="3">
      <w:startOverride w:val="2026"/>
    </w:lvlOverride>
    <w:lvlOverride w:ilvl="4">
      <w:startOverride w:val="2026"/>
    </w:lvlOverride>
    <w:lvlOverride w:ilvl="5">
      <w:startOverride w:val="2026"/>
    </w:lvlOverride>
    <w:lvlOverride w:ilvl="6">
      <w:startOverride w:val="2026"/>
    </w:lvlOverride>
    <w:lvlOverride w:ilvl="7">
      <w:startOverride w:val="2026"/>
    </w:lvlOverride>
    <w:lvlOverride w:ilvl="8">
      <w:startOverride w:val="202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480" w:lineRule="auto" w:after="0" w:before="0"/>
      <w:ind w:firstLine="720"/>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hAnsi="Times New Roman" w:eastAsia="Times New Roman" w:cs="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40" w:lineRule="auto"/>
      <w:outlineLvl w:val="0"/>
    </w:pPr>
    <w:rPr>
      <w:rFonts w:ascii="Times New Roman" w:hAnsi="Times New Roman" w:eastAsia="Times New Roman" w:cs="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hAnsi="Times New Roman" w:eastAsia="Times New Roman" w:cs="Times New Roman"/>
      <w:b/>
      <w:bCs/>
      <w:i/>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hAnsi="Times New Roman" w:eastAsia="Times New Roman" w:cs="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4" Type="http://schemas.openxmlformats.org/officeDocument/2006/relationships/image" Target="media/rId44.png"/><Relationship Id="rId48" Type="http://schemas.openxmlformats.org/officeDocument/2006/relationships/image" Target="media/rId4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Releases Respond to Degradation? Evidence from the Open-Source LLM Tooling Ecosystem</dc:title>
  <dc:creator/>
  <cp:keywords/>
  <dcterms:created xsi:type="dcterms:W3CDTF">2026-10-27T06:39:18Z</dcterms:created>
  <dcterms:modified xsi:type="dcterms:W3CDTF">2026-10-27T06:39:18Z</dcterms:modified>
</cp:coreProperties>
</file>

<file path=docProps/custom.xml><?xml version="1.0" encoding="utf-8"?>
<Properties xmlns="http://schemas.openxmlformats.org/officeDocument/2006/custom-properties" xmlns:vt="http://schemas.openxmlformats.org/officeDocument/2006/docPropsVTypes"/>
</file>